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8A0AF">
      <w:pPr>
        <w:spacing w:line="360" w:lineRule="auto"/>
        <w:jc w:val="center"/>
        <w:rPr>
          <w:rFonts w:hint="eastAsia" w:ascii="宋体" w:hAnsi="宋体" w:cs="宋体"/>
          <w:b/>
          <w:color w:val="auto"/>
          <w:sz w:val="100"/>
          <w:szCs w:val="100"/>
          <w:highlight w:val="none"/>
        </w:rPr>
      </w:pPr>
      <w:r>
        <w:rPr>
          <w:rFonts w:hint="eastAsia" w:ascii="宋体" w:hAnsi="宋体" w:cs="宋体"/>
          <w:b/>
          <w:bCs/>
          <w:color w:val="auto"/>
          <w:sz w:val="48"/>
          <w:szCs w:val="48"/>
          <w:highlight w:val="none"/>
          <w:lang w:eastAsia="zh-CN"/>
        </w:rPr>
        <w:t>南通市公安局交通管理支队</w:t>
      </w:r>
      <w:r>
        <w:rPr>
          <w:rFonts w:hint="eastAsia" w:ascii="宋体" w:hAnsi="宋体" w:cs="宋体"/>
          <w:b/>
          <w:bCs/>
          <w:color w:val="auto"/>
          <w:sz w:val="48"/>
          <w:szCs w:val="48"/>
          <w:highlight w:val="none"/>
        </w:rPr>
        <w:t>高速公路七大队光伏车棚充电桩安装项目</w:t>
      </w:r>
    </w:p>
    <w:p w14:paraId="31492BEC">
      <w:pPr>
        <w:spacing w:line="360" w:lineRule="auto"/>
        <w:rPr>
          <w:rFonts w:hint="eastAsia" w:ascii="宋体" w:hAnsi="宋体" w:cs="宋体"/>
          <w:b/>
          <w:color w:val="auto"/>
          <w:sz w:val="100"/>
          <w:szCs w:val="100"/>
          <w:highlight w:val="none"/>
        </w:rPr>
      </w:pPr>
    </w:p>
    <w:p w14:paraId="5F26C81C">
      <w:pPr>
        <w:spacing w:line="360" w:lineRule="auto"/>
        <w:jc w:val="center"/>
        <w:rPr>
          <w:rFonts w:hint="eastAsia" w:ascii="宋体" w:hAnsi="宋体" w:cs="宋体"/>
          <w:b/>
          <w:color w:val="auto"/>
          <w:sz w:val="100"/>
          <w:szCs w:val="100"/>
          <w:highlight w:val="none"/>
        </w:rPr>
      </w:pPr>
      <w:r>
        <w:rPr>
          <w:rFonts w:hint="eastAsia" w:ascii="宋体" w:hAnsi="宋体" w:cs="宋体"/>
          <w:b/>
          <w:color w:val="auto"/>
          <w:sz w:val="100"/>
          <w:szCs w:val="100"/>
          <w:highlight w:val="none"/>
        </w:rPr>
        <w:t>磋商采购文件</w:t>
      </w:r>
    </w:p>
    <w:p w14:paraId="6DD7D008">
      <w:pPr>
        <w:keepNext/>
        <w:spacing w:line="360" w:lineRule="auto"/>
        <w:jc w:val="center"/>
        <w:rPr>
          <w:rFonts w:hint="eastAsia" w:ascii="宋体" w:hAnsi="宋体" w:cs="宋体"/>
          <w:b/>
          <w:color w:val="auto"/>
          <w:kern w:val="0"/>
          <w:sz w:val="36"/>
          <w:szCs w:val="36"/>
          <w:highlight w:val="none"/>
        </w:rPr>
      </w:pPr>
    </w:p>
    <w:p w14:paraId="0B54B866">
      <w:pPr>
        <w:keepNext/>
        <w:spacing w:line="360" w:lineRule="auto"/>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采购文件编号：</w:t>
      </w:r>
      <w:r>
        <w:rPr>
          <w:rFonts w:hint="eastAsia" w:ascii="宋体" w:hAnsi="宋体" w:cs="宋体"/>
          <w:b/>
          <w:bCs/>
          <w:color w:val="auto"/>
          <w:sz w:val="36"/>
          <w:szCs w:val="36"/>
          <w:highlight w:val="none"/>
        </w:rPr>
        <w:t>ZRNT20250200</w:t>
      </w:r>
    </w:p>
    <w:p w14:paraId="4C32CD56">
      <w:pPr>
        <w:spacing w:line="360" w:lineRule="auto"/>
        <w:jc w:val="center"/>
        <w:rPr>
          <w:rFonts w:hint="eastAsia" w:ascii="宋体" w:hAnsi="宋体" w:cs="宋体"/>
          <w:b/>
          <w:color w:val="auto"/>
          <w:sz w:val="36"/>
          <w:highlight w:val="none"/>
        </w:rPr>
      </w:pPr>
    </w:p>
    <w:p w14:paraId="53FC437E">
      <w:pPr>
        <w:spacing w:line="360" w:lineRule="auto"/>
        <w:jc w:val="center"/>
        <w:rPr>
          <w:rFonts w:hint="eastAsia" w:ascii="宋体" w:hAnsi="宋体" w:cs="宋体"/>
          <w:b/>
          <w:color w:val="auto"/>
          <w:sz w:val="36"/>
          <w:highlight w:val="none"/>
        </w:rPr>
      </w:pPr>
    </w:p>
    <w:p w14:paraId="0FB61E28">
      <w:pPr>
        <w:spacing w:line="360" w:lineRule="auto"/>
        <w:jc w:val="center"/>
        <w:rPr>
          <w:rFonts w:hint="eastAsia" w:ascii="宋体" w:hAnsi="宋体" w:cs="宋体"/>
          <w:b/>
          <w:color w:val="auto"/>
          <w:sz w:val="36"/>
          <w:highlight w:val="none"/>
        </w:rPr>
      </w:pPr>
    </w:p>
    <w:p w14:paraId="58AF8ECA">
      <w:pPr>
        <w:spacing w:line="360" w:lineRule="auto"/>
        <w:jc w:val="center"/>
        <w:rPr>
          <w:rFonts w:hint="eastAsia" w:ascii="宋体" w:hAnsi="宋体" w:cs="宋体"/>
          <w:b/>
          <w:color w:val="auto"/>
          <w:sz w:val="36"/>
          <w:highlight w:val="none"/>
        </w:rPr>
      </w:pPr>
    </w:p>
    <w:p w14:paraId="6205C64E">
      <w:pPr>
        <w:spacing w:line="360" w:lineRule="auto"/>
        <w:jc w:val="center"/>
        <w:rPr>
          <w:rFonts w:hint="eastAsia" w:ascii="宋体" w:hAnsi="宋体" w:cs="宋体"/>
          <w:b/>
          <w:color w:val="auto"/>
          <w:sz w:val="36"/>
          <w:highlight w:val="none"/>
        </w:rPr>
      </w:pPr>
    </w:p>
    <w:p w14:paraId="12957FE5">
      <w:pPr>
        <w:adjustRightInd w:val="0"/>
        <w:spacing w:before="120" w:after="120" w:line="360" w:lineRule="auto"/>
        <w:ind w:right="120"/>
        <w:textAlignment w:val="baseline"/>
        <w:rPr>
          <w:rFonts w:hint="eastAsia" w:ascii="宋体" w:hAnsi="宋体" w:cs="宋体"/>
          <w:b/>
          <w:color w:val="auto"/>
          <w:spacing w:val="20"/>
          <w:sz w:val="32"/>
          <w:szCs w:val="32"/>
          <w:highlight w:val="none"/>
        </w:rPr>
      </w:pPr>
    </w:p>
    <w:p w14:paraId="0C583AB4">
      <w:pPr>
        <w:adjustRightInd w:val="0"/>
        <w:spacing w:before="120" w:after="120" w:line="360" w:lineRule="auto"/>
        <w:ind w:left="-2" w:right="120"/>
        <w:jc w:val="center"/>
        <w:textAlignment w:val="baseline"/>
        <w:rPr>
          <w:rFonts w:hint="eastAsia" w:ascii="宋体" w:hAnsi="宋体" w:cs="宋体"/>
          <w:b/>
          <w:color w:val="auto"/>
          <w:spacing w:val="20"/>
          <w:sz w:val="32"/>
          <w:szCs w:val="32"/>
          <w:highlight w:val="none"/>
        </w:rPr>
      </w:pPr>
    </w:p>
    <w:p w14:paraId="2FD0BBF2">
      <w:pPr>
        <w:adjustRightInd w:val="0"/>
        <w:spacing w:before="120" w:after="120" w:line="360" w:lineRule="auto"/>
        <w:ind w:left="-2" w:right="120"/>
        <w:jc w:val="center"/>
        <w:textAlignment w:val="baseline"/>
        <w:rPr>
          <w:rFonts w:hint="eastAsia" w:ascii="宋体" w:hAnsi="宋体" w:cs="宋体"/>
          <w:b/>
          <w:color w:val="auto"/>
          <w:spacing w:val="20"/>
          <w:sz w:val="32"/>
          <w:szCs w:val="32"/>
          <w:highlight w:val="none"/>
        </w:rPr>
      </w:pPr>
    </w:p>
    <w:p w14:paraId="75C7015C">
      <w:pPr>
        <w:adjustRightInd w:val="0"/>
        <w:spacing w:before="120" w:after="120" w:line="360" w:lineRule="auto"/>
        <w:ind w:left="-2" w:right="120"/>
        <w:jc w:val="center"/>
        <w:textAlignment w:val="baseline"/>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南通市公安局交通管理支队</w:t>
      </w:r>
    </w:p>
    <w:p w14:paraId="6E8C2D71">
      <w:pPr>
        <w:adjustRightInd w:val="0"/>
        <w:spacing w:before="120" w:after="120" w:line="360" w:lineRule="auto"/>
        <w:ind w:left="-2" w:right="120"/>
        <w:jc w:val="center"/>
        <w:textAlignment w:val="baseline"/>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2025年10月</w:t>
      </w:r>
      <w:r>
        <w:rPr>
          <w:rFonts w:hint="eastAsia" w:ascii="宋体" w:hAnsi="宋体" w:cs="宋体"/>
          <w:b/>
          <w:bCs/>
          <w:color w:val="auto"/>
          <w:kern w:val="0"/>
          <w:sz w:val="32"/>
          <w:szCs w:val="32"/>
          <w:highlight w:val="none"/>
          <w:lang w:val="en-US" w:eastAsia="zh-CN"/>
        </w:rPr>
        <w:t>28</w:t>
      </w:r>
      <w:r>
        <w:rPr>
          <w:rFonts w:hint="eastAsia" w:ascii="宋体" w:hAnsi="宋体" w:cs="宋体"/>
          <w:b/>
          <w:bCs/>
          <w:color w:val="auto"/>
          <w:kern w:val="0"/>
          <w:sz w:val="32"/>
          <w:szCs w:val="32"/>
          <w:highlight w:val="none"/>
        </w:rPr>
        <w:t>日</w:t>
      </w:r>
    </w:p>
    <w:p w14:paraId="12B82E2E">
      <w:pPr>
        <w:adjustRightInd w:val="0"/>
        <w:snapToGrid w:val="0"/>
        <w:spacing w:line="360" w:lineRule="auto"/>
        <w:ind w:left="-158" w:leftChars="-75"/>
        <w:jc w:val="center"/>
        <w:rPr>
          <w:rFonts w:hint="eastAsia" w:ascii="宋体" w:hAnsi="宋体" w:cs="宋体"/>
          <w:color w:val="auto"/>
          <w:sz w:val="44"/>
          <w:szCs w:val="44"/>
          <w:highlight w:val="none"/>
          <w:lang w:val="zh-CN"/>
        </w:rPr>
      </w:pPr>
      <w:r>
        <w:rPr>
          <w:rFonts w:hint="eastAsia" w:ascii="宋体" w:hAnsi="宋体" w:cs="宋体"/>
          <w:color w:val="auto"/>
          <w:sz w:val="44"/>
          <w:szCs w:val="44"/>
          <w:highlight w:val="none"/>
          <w:lang w:val="zh-CN"/>
        </w:rPr>
        <w:br w:type="page"/>
      </w:r>
      <w:r>
        <w:rPr>
          <w:rFonts w:hint="eastAsia" w:ascii="宋体" w:hAnsi="宋体" w:cs="宋体"/>
          <w:color w:val="auto"/>
          <w:sz w:val="44"/>
          <w:szCs w:val="44"/>
          <w:highlight w:val="none"/>
          <w:lang w:val="zh-CN"/>
        </w:rPr>
        <w:t xml:space="preserve">目 </w:t>
      </w:r>
      <w:r>
        <w:rPr>
          <w:rFonts w:hint="eastAsia" w:ascii="宋体" w:hAnsi="宋体" w:cs="宋体"/>
          <w:color w:val="auto"/>
          <w:sz w:val="44"/>
          <w:szCs w:val="44"/>
          <w:highlight w:val="none"/>
        </w:rPr>
        <w:t xml:space="preserve">  </w:t>
      </w:r>
      <w:r>
        <w:rPr>
          <w:rFonts w:hint="eastAsia" w:ascii="宋体" w:hAnsi="宋体" w:cs="宋体"/>
          <w:color w:val="auto"/>
          <w:sz w:val="44"/>
          <w:szCs w:val="44"/>
          <w:highlight w:val="none"/>
          <w:lang w:val="zh-CN"/>
        </w:rPr>
        <w:t>录</w:t>
      </w:r>
    </w:p>
    <w:p w14:paraId="3ED0645E">
      <w:pPr>
        <w:autoSpaceDE w:val="0"/>
        <w:autoSpaceDN w:val="0"/>
        <w:adjustRightInd w:val="0"/>
        <w:snapToGrid w:val="0"/>
        <w:spacing w:line="1000" w:lineRule="exact"/>
        <w:ind w:firstLine="556"/>
        <w:rPr>
          <w:rFonts w:hint="eastAsia" w:ascii="宋体" w:hAnsi="宋体" w:cs="宋体"/>
          <w:color w:val="auto"/>
          <w:sz w:val="32"/>
          <w:szCs w:val="32"/>
          <w:highlight w:val="none"/>
        </w:rPr>
      </w:pPr>
      <w:r>
        <w:rPr>
          <w:rFonts w:hint="eastAsia" w:ascii="宋体" w:hAnsi="宋体" w:cs="宋体"/>
          <w:color w:val="auto"/>
          <w:sz w:val="32"/>
          <w:szCs w:val="32"/>
          <w:highlight w:val="none"/>
        </w:rPr>
        <w:t>第一部分  磋商公告</w:t>
      </w:r>
    </w:p>
    <w:p w14:paraId="5BA732D4">
      <w:pPr>
        <w:autoSpaceDE w:val="0"/>
        <w:autoSpaceDN w:val="0"/>
        <w:adjustRightInd w:val="0"/>
        <w:snapToGrid w:val="0"/>
        <w:spacing w:line="1000" w:lineRule="exact"/>
        <w:ind w:firstLine="556"/>
        <w:rPr>
          <w:rFonts w:hint="eastAsia" w:ascii="宋体" w:hAnsi="宋体" w:cs="宋体"/>
          <w:color w:val="auto"/>
          <w:sz w:val="32"/>
          <w:szCs w:val="32"/>
          <w:highlight w:val="none"/>
        </w:rPr>
      </w:pPr>
      <w:r>
        <w:rPr>
          <w:rFonts w:hint="eastAsia" w:ascii="宋体" w:hAnsi="宋体" w:cs="宋体"/>
          <w:color w:val="auto"/>
          <w:sz w:val="32"/>
          <w:szCs w:val="32"/>
          <w:highlight w:val="none"/>
        </w:rPr>
        <w:t>第二部分  磋商须知</w:t>
      </w:r>
    </w:p>
    <w:p w14:paraId="3855D033">
      <w:pPr>
        <w:autoSpaceDE w:val="0"/>
        <w:autoSpaceDN w:val="0"/>
        <w:adjustRightInd w:val="0"/>
        <w:snapToGrid w:val="0"/>
        <w:spacing w:line="1000" w:lineRule="exact"/>
        <w:ind w:firstLine="537"/>
        <w:rPr>
          <w:rFonts w:hint="eastAsia" w:ascii="宋体" w:hAnsi="宋体" w:cs="宋体"/>
          <w:color w:val="auto"/>
          <w:sz w:val="32"/>
          <w:szCs w:val="32"/>
          <w:highlight w:val="none"/>
        </w:rPr>
      </w:pPr>
      <w:r>
        <w:rPr>
          <w:rFonts w:hint="eastAsia" w:ascii="宋体" w:hAnsi="宋体" w:cs="宋体"/>
          <w:color w:val="auto"/>
          <w:sz w:val="32"/>
          <w:szCs w:val="32"/>
          <w:highlight w:val="none"/>
        </w:rPr>
        <w:t>第三部分  项目需求</w:t>
      </w:r>
    </w:p>
    <w:p w14:paraId="4F20FE8E">
      <w:pPr>
        <w:autoSpaceDE w:val="0"/>
        <w:autoSpaceDN w:val="0"/>
        <w:adjustRightInd w:val="0"/>
        <w:snapToGrid w:val="0"/>
        <w:spacing w:line="1000" w:lineRule="exact"/>
        <w:ind w:firstLine="537"/>
        <w:rPr>
          <w:rFonts w:hint="eastAsia" w:ascii="宋体" w:hAnsi="宋体" w:cs="宋体"/>
          <w:color w:val="auto"/>
          <w:sz w:val="32"/>
          <w:szCs w:val="32"/>
          <w:highlight w:val="none"/>
        </w:rPr>
      </w:pPr>
      <w:r>
        <w:rPr>
          <w:rFonts w:hint="eastAsia" w:ascii="宋体" w:hAnsi="宋体" w:cs="宋体"/>
          <w:color w:val="auto"/>
          <w:sz w:val="32"/>
          <w:szCs w:val="32"/>
          <w:highlight w:val="none"/>
        </w:rPr>
        <w:t>第四部分  评审方法和评审标准</w:t>
      </w:r>
    </w:p>
    <w:p w14:paraId="3FD2791C">
      <w:pPr>
        <w:autoSpaceDE w:val="0"/>
        <w:autoSpaceDN w:val="0"/>
        <w:adjustRightInd w:val="0"/>
        <w:snapToGrid w:val="0"/>
        <w:spacing w:line="1000" w:lineRule="exact"/>
        <w:ind w:firstLine="556"/>
        <w:rPr>
          <w:rFonts w:hint="eastAsia" w:ascii="宋体" w:hAnsi="宋体" w:cs="宋体"/>
          <w:color w:val="auto"/>
          <w:sz w:val="32"/>
          <w:szCs w:val="32"/>
          <w:highlight w:val="none"/>
        </w:rPr>
      </w:pPr>
      <w:r>
        <w:rPr>
          <w:rFonts w:hint="eastAsia" w:ascii="宋体" w:hAnsi="宋体" w:cs="宋体"/>
          <w:color w:val="auto"/>
          <w:sz w:val="32"/>
          <w:szCs w:val="32"/>
          <w:highlight w:val="none"/>
        </w:rPr>
        <w:t>第五部分  响应文件组成</w:t>
      </w:r>
    </w:p>
    <w:p w14:paraId="087CF3C1">
      <w:pPr>
        <w:tabs>
          <w:tab w:val="left" w:pos="7740"/>
        </w:tabs>
        <w:spacing w:line="360" w:lineRule="auto"/>
        <w:rPr>
          <w:rFonts w:hint="eastAsia" w:ascii="宋体" w:hAnsi="宋体" w:cs="宋体"/>
          <w:bCs/>
          <w:color w:val="auto"/>
          <w:sz w:val="32"/>
          <w:szCs w:val="32"/>
          <w:highlight w:val="none"/>
        </w:rPr>
      </w:pPr>
    </w:p>
    <w:p w14:paraId="3C9FD8A7">
      <w:pPr>
        <w:tabs>
          <w:tab w:val="left" w:pos="7740"/>
        </w:tabs>
        <w:spacing w:line="360" w:lineRule="auto"/>
        <w:rPr>
          <w:rFonts w:hint="eastAsia" w:ascii="宋体" w:hAnsi="宋体" w:cs="宋体"/>
          <w:bCs/>
          <w:color w:val="auto"/>
          <w:sz w:val="32"/>
          <w:szCs w:val="32"/>
          <w:highlight w:val="none"/>
        </w:rPr>
      </w:pPr>
    </w:p>
    <w:p w14:paraId="5B475895">
      <w:pPr>
        <w:autoSpaceDE w:val="0"/>
        <w:autoSpaceDN w:val="0"/>
        <w:adjustRightInd w:val="0"/>
        <w:spacing w:line="360" w:lineRule="auto"/>
        <w:jc w:val="center"/>
        <w:rPr>
          <w:rFonts w:hint="eastAsia" w:ascii="宋体" w:hAnsi="宋体" w:cs="宋体"/>
          <w:b/>
          <w:bCs/>
          <w:color w:val="auto"/>
          <w:sz w:val="36"/>
          <w:szCs w:val="36"/>
          <w:highlight w:val="none"/>
          <w:lang w:val="zh-CN"/>
        </w:rPr>
      </w:pPr>
    </w:p>
    <w:p w14:paraId="5B1E24C5">
      <w:pPr>
        <w:autoSpaceDE w:val="0"/>
        <w:autoSpaceDN w:val="0"/>
        <w:adjustRightInd w:val="0"/>
        <w:spacing w:line="360" w:lineRule="auto"/>
        <w:rPr>
          <w:rFonts w:hint="eastAsia" w:ascii="宋体" w:hAnsi="宋体" w:cs="宋体"/>
          <w:b/>
          <w:bCs/>
          <w:color w:val="auto"/>
          <w:sz w:val="36"/>
          <w:szCs w:val="36"/>
          <w:highlight w:val="none"/>
          <w:lang w:val="zh-CN"/>
        </w:rPr>
      </w:pPr>
    </w:p>
    <w:p w14:paraId="2E756ED6">
      <w:pPr>
        <w:autoSpaceDE w:val="0"/>
        <w:autoSpaceDN w:val="0"/>
        <w:adjustRightInd w:val="0"/>
        <w:spacing w:line="360" w:lineRule="auto"/>
        <w:jc w:val="center"/>
        <w:rPr>
          <w:rFonts w:hint="eastAsia" w:ascii="宋体" w:hAnsi="宋体" w:cs="宋体"/>
          <w:b/>
          <w:bCs/>
          <w:color w:val="auto"/>
          <w:sz w:val="36"/>
          <w:szCs w:val="36"/>
          <w:highlight w:val="none"/>
          <w:lang w:val="zh-CN"/>
        </w:rPr>
      </w:pPr>
    </w:p>
    <w:p w14:paraId="6A29D657">
      <w:pPr>
        <w:autoSpaceDE w:val="0"/>
        <w:autoSpaceDN w:val="0"/>
        <w:adjustRightInd w:val="0"/>
        <w:spacing w:line="360" w:lineRule="auto"/>
        <w:jc w:val="center"/>
        <w:rPr>
          <w:rFonts w:hint="eastAsia" w:ascii="宋体" w:hAnsi="宋体" w:cs="宋体"/>
          <w:b/>
          <w:bCs/>
          <w:color w:val="auto"/>
          <w:sz w:val="36"/>
          <w:szCs w:val="36"/>
          <w:highlight w:val="none"/>
          <w:lang w:val="zh-CN"/>
        </w:rPr>
      </w:pPr>
    </w:p>
    <w:p w14:paraId="6210B633">
      <w:pPr>
        <w:autoSpaceDE w:val="0"/>
        <w:autoSpaceDN w:val="0"/>
        <w:adjustRightInd w:val="0"/>
        <w:spacing w:line="360" w:lineRule="auto"/>
        <w:jc w:val="center"/>
        <w:rPr>
          <w:rFonts w:hint="eastAsia" w:ascii="宋体" w:hAnsi="宋体" w:cs="宋体"/>
          <w:b/>
          <w:bCs/>
          <w:color w:val="auto"/>
          <w:sz w:val="36"/>
          <w:szCs w:val="36"/>
          <w:highlight w:val="none"/>
          <w:lang w:val="zh-CN"/>
        </w:rPr>
      </w:pPr>
    </w:p>
    <w:p w14:paraId="362AA043">
      <w:pPr>
        <w:autoSpaceDE w:val="0"/>
        <w:autoSpaceDN w:val="0"/>
        <w:adjustRightInd w:val="0"/>
        <w:spacing w:line="360" w:lineRule="auto"/>
        <w:jc w:val="center"/>
        <w:rPr>
          <w:rFonts w:hint="eastAsia" w:ascii="宋体" w:hAnsi="宋体" w:cs="宋体"/>
          <w:b/>
          <w:bCs/>
          <w:color w:val="auto"/>
          <w:sz w:val="36"/>
          <w:szCs w:val="36"/>
          <w:highlight w:val="none"/>
          <w:lang w:val="zh-CN"/>
        </w:rPr>
      </w:pPr>
    </w:p>
    <w:p w14:paraId="1C530D19">
      <w:pPr>
        <w:autoSpaceDE w:val="0"/>
        <w:autoSpaceDN w:val="0"/>
        <w:adjustRightInd w:val="0"/>
        <w:spacing w:line="360" w:lineRule="auto"/>
        <w:jc w:val="center"/>
        <w:rPr>
          <w:rFonts w:hint="eastAsia" w:ascii="宋体" w:hAnsi="宋体" w:cs="宋体"/>
          <w:b/>
          <w:bCs/>
          <w:color w:val="auto"/>
          <w:sz w:val="36"/>
          <w:szCs w:val="36"/>
          <w:highlight w:val="none"/>
          <w:lang w:val="zh-CN"/>
        </w:rPr>
      </w:pPr>
    </w:p>
    <w:p w14:paraId="392A3AFE">
      <w:pPr>
        <w:autoSpaceDE w:val="0"/>
        <w:autoSpaceDN w:val="0"/>
        <w:adjustRightInd w:val="0"/>
        <w:spacing w:line="360" w:lineRule="auto"/>
        <w:jc w:val="center"/>
        <w:rPr>
          <w:rFonts w:hint="eastAsia" w:ascii="宋体" w:hAnsi="宋体" w:cs="宋体"/>
          <w:b/>
          <w:bCs/>
          <w:color w:val="auto"/>
          <w:sz w:val="36"/>
          <w:szCs w:val="36"/>
          <w:highlight w:val="none"/>
          <w:lang w:val="zh-CN"/>
        </w:rPr>
      </w:pPr>
    </w:p>
    <w:p w14:paraId="242603FB">
      <w:pPr>
        <w:autoSpaceDE w:val="0"/>
        <w:autoSpaceDN w:val="0"/>
        <w:adjustRightInd w:val="0"/>
        <w:spacing w:line="360" w:lineRule="auto"/>
        <w:jc w:val="center"/>
        <w:rPr>
          <w:rFonts w:hint="eastAsia" w:ascii="宋体" w:hAnsi="宋体" w:cs="宋体"/>
          <w:b/>
          <w:bCs/>
          <w:color w:val="auto"/>
          <w:sz w:val="36"/>
          <w:szCs w:val="36"/>
          <w:highlight w:val="none"/>
          <w:lang w:val="zh-CN"/>
        </w:rPr>
      </w:pPr>
    </w:p>
    <w:p w14:paraId="617388A0">
      <w:pPr>
        <w:autoSpaceDE w:val="0"/>
        <w:autoSpaceDN w:val="0"/>
        <w:adjustRightInd w:val="0"/>
        <w:snapToGrid w:val="0"/>
        <w:spacing w:line="360" w:lineRule="auto"/>
        <w:jc w:val="center"/>
        <w:rPr>
          <w:rFonts w:hint="eastAsia" w:ascii="宋体" w:hAnsi="宋体" w:cs="宋体"/>
          <w:color w:val="auto"/>
          <w:sz w:val="36"/>
          <w:szCs w:val="36"/>
          <w:highlight w:val="none"/>
          <w:lang w:val="zh-CN"/>
        </w:rPr>
      </w:pPr>
    </w:p>
    <w:p w14:paraId="284D572A">
      <w:pPr>
        <w:autoSpaceDE w:val="0"/>
        <w:autoSpaceDN w:val="0"/>
        <w:adjustRightInd w:val="0"/>
        <w:snapToGrid w:val="0"/>
        <w:spacing w:line="360" w:lineRule="auto"/>
        <w:jc w:val="center"/>
        <w:rPr>
          <w:rFonts w:hint="eastAsia" w:ascii="宋体" w:hAnsi="宋体" w:cs="宋体"/>
          <w:color w:val="auto"/>
          <w:sz w:val="36"/>
          <w:szCs w:val="36"/>
          <w:highlight w:val="none"/>
          <w:lang w:val="zh-CN"/>
        </w:rPr>
      </w:pPr>
    </w:p>
    <w:p w14:paraId="3A15B575">
      <w:pPr>
        <w:autoSpaceDE w:val="0"/>
        <w:autoSpaceDN w:val="0"/>
        <w:adjustRightInd w:val="0"/>
        <w:snapToGrid w:val="0"/>
        <w:spacing w:line="360" w:lineRule="auto"/>
        <w:jc w:val="center"/>
        <w:rPr>
          <w:rFonts w:hint="eastAsia" w:ascii="宋体" w:hAnsi="宋体" w:cs="宋体"/>
          <w:color w:val="auto"/>
          <w:sz w:val="36"/>
          <w:szCs w:val="36"/>
          <w:highlight w:val="none"/>
          <w:lang w:val="zh-CN"/>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14:paraId="6DDF231E">
      <w:pPr>
        <w:autoSpaceDE w:val="0"/>
        <w:autoSpaceDN w:val="0"/>
        <w:adjustRightInd w:val="0"/>
        <w:snapToGrid w:val="0"/>
        <w:spacing w:line="800" w:lineRule="exact"/>
        <w:jc w:val="center"/>
        <w:outlineLvl w:val="0"/>
        <w:rPr>
          <w:rFonts w:hint="eastAsia" w:ascii="宋体" w:hAnsi="宋体" w:cs="宋体"/>
          <w:color w:val="auto"/>
          <w:sz w:val="36"/>
          <w:szCs w:val="36"/>
          <w:highlight w:val="none"/>
          <w:lang w:val="zh-CN"/>
        </w:rPr>
      </w:pPr>
      <w:r>
        <w:rPr>
          <w:rFonts w:hint="eastAsia" w:ascii="宋体" w:hAnsi="宋体" w:cs="宋体"/>
          <w:color w:val="auto"/>
          <w:sz w:val="36"/>
          <w:szCs w:val="36"/>
          <w:highlight w:val="none"/>
          <w:lang w:val="zh-CN"/>
        </w:rPr>
        <w:t>第一部分 磋商公告</w:t>
      </w:r>
    </w:p>
    <w:p w14:paraId="24531908">
      <w:pPr>
        <w:wordWrap w:val="0"/>
        <w:adjustRightInd w:val="0"/>
        <w:snapToGrid w:val="0"/>
        <w:spacing w:line="460" w:lineRule="exact"/>
        <w:ind w:firstLine="560" w:firstLineChars="200"/>
        <w:rPr>
          <w:rFonts w:hint="eastAsia" w:ascii="宋体" w:hAnsi="宋体" w:cs="宋体"/>
          <w:color w:val="auto"/>
          <w:sz w:val="28"/>
          <w:szCs w:val="28"/>
          <w:highlight w:val="none"/>
          <w:lang w:val="zh-CN"/>
        </w:rPr>
      </w:pPr>
      <w:r>
        <w:rPr>
          <w:rFonts w:hint="eastAsia" w:ascii="宋体" w:hAnsi="宋体" w:cs="宋体"/>
          <w:color w:val="auto"/>
          <w:sz w:val="28"/>
          <w:szCs w:val="28"/>
          <w:highlight w:val="none"/>
        </w:rPr>
        <w:t>受[南通市公安局交通管理支队]的委托，江苏中润工程建设咨询有限公司就[</w:t>
      </w:r>
      <w:r>
        <w:rPr>
          <w:rFonts w:hint="eastAsia" w:ascii="宋体" w:hAnsi="宋体" w:cs="宋体"/>
          <w:color w:val="auto"/>
          <w:sz w:val="28"/>
          <w:szCs w:val="28"/>
          <w:highlight w:val="none"/>
          <w:lang w:eastAsia="zh-CN"/>
        </w:rPr>
        <w:t>南通市公安局交通管理支队</w:t>
      </w:r>
      <w:r>
        <w:rPr>
          <w:rFonts w:hint="eastAsia" w:ascii="宋体" w:hAnsi="宋体" w:cs="宋体"/>
          <w:color w:val="auto"/>
          <w:sz w:val="28"/>
          <w:szCs w:val="28"/>
          <w:highlight w:val="none"/>
        </w:rPr>
        <w:t>高速公路七大队光伏车棚充电桩安装项目](项目编号:ZRNT202500200)进行磋商采购，欢迎符合条件的供应商参加磋商。</w:t>
      </w:r>
    </w:p>
    <w:p w14:paraId="22F4075F">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项目概况</w:t>
      </w:r>
    </w:p>
    <w:p w14:paraId="06CB9B96">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(南通市公安局交通管理支队）的（高速公路七大队光伏车棚充电桩安装项目)的潜在供应商应在</w:t>
      </w:r>
      <w:r>
        <w:rPr>
          <w:rFonts w:hint="eastAsia" w:ascii="宋体" w:hAnsi="宋体" w:cs="宋体"/>
          <w:b/>
          <w:bCs/>
          <w:color w:val="auto"/>
          <w:sz w:val="28"/>
          <w:szCs w:val="28"/>
          <w:highlight w:val="none"/>
          <w:u w:val="single"/>
        </w:rPr>
        <w:t>南通市公安局网站</w:t>
      </w:r>
      <w:r>
        <w:rPr>
          <w:rFonts w:hint="eastAsia" w:ascii="宋体" w:hAnsi="宋体" w:cs="宋体"/>
          <w:color w:val="auto"/>
          <w:sz w:val="28"/>
          <w:szCs w:val="28"/>
          <w:highlight w:val="none"/>
        </w:rPr>
        <w:t>获取采购文件，并于2025年</w:t>
      </w:r>
      <w:r>
        <w:rPr>
          <w:rFonts w:hint="eastAsia" w:ascii="宋体" w:hAnsi="宋体" w:cs="宋体"/>
          <w:color w:val="auto"/>
          <w:sz w:val="28"/>
          <w:szCs w:val="28"/>
          <w:highlight w:val="none"/>
          <w:lang w:val="en-US" w:eastAsia="zh-CN"/>
        </w:rPr>
        <w:t>11</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10</w:t>
      </w:r>
      <w:r>
        <w:rPr>
          <w:rFonts w:hint="eastAsia" w:ascii="宋体" w:hAnsi="宋体" w:cs="宋体"/>
          <w:color w:val="auto"/>
          <w:sz w:val="28"/>
          <w:szCs w:val="28"/>
          <w:highlight w:val="none"/>
        </w:rPr>
        <w:t>日14点00分（北京时间）前提交响应文件。</w:t>
      </w:r>
    </w:p>
    <w:p w14:paraId="4C1C7553">
      <w:pPr>
        <w:widowControl/>
        <w:shd w:val="clear" w:color="auto" w:fill="FFFFFF"/>
        <w:adjustRightInd w:val="0"/>
        <w:snapToGrid w:val="0"/>
        <w:spacing w:line="460" w:lineRule="exact"/>
        <w:ind w:firstLine="590" w:firstLineChars="200"/>
        <w:outlineLvl w:val="1"/>
        <w:rPr>
          <w:rFonts w:hint="eastAsia" w:ascii="宋体" w:hAnsi="宋体" w:cs="宋体"/>
          <w:b/>
          <w:color w:val="auto"/>
          <w:spacing w:val="7"/>
          <w:kern w:val="0"/>
          <w:sz w:val="28"/>
          <w:szCs w:val="28"/>
          <w:highlight w:val="none"/>
        </w:rPr>
      </w:pPr>
      <w:r>
        <w:rPr>
          <w:rFonts w:hint="eastAsia" w:ascii="宋体" w:hAnsi="宋体" w:cs="宋体"/>
          <w:b/>
          <w:color w:val="auto"/>
          <w:spacing w:val="7"/>
          <w:kern w:val="0"/>
          <w:sz w:val="28"/>
          <w:szCs w:val="28"/>
          <w:highlight w:val="none"/>
        </w:rPr>
        <w:t>一、项目基本情况</w:t>
      </w:r>
    </w:p>
    <w:p w14:paraId="7ACDD4F4">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项目编号：ZRNT202500200</w:t>
      </w:r>
    </w:p>
    <w:p w14:paraId="456F92BF">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lang w:eastAsia="zh-CN"/>
        </w:rPr>
        <w:t>南通市公安局交通管理支队</w:t>
      </w:r>
      <w:r>
        <w:rPr>
          <w:rFonts w:hint="eastAsia" w:ascii="宋体" w:hAnsi="宋体" w:cs="宋体"/>
          <w:color w:val="auto"/>
          <w:sz w:val="28"/>
          <w:szCs w:val="28"/>
          <w:highlight w:val="none"/>
        </w:rPr>
        <w:t>高速公路七大队光伏车棚充电桩安装项目</w:t>
      </w:r>
    </w:p>
    <w:p w14:paraId="645D77D6">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bCs/>
          <w:color w:val="auto"/>
          <w:sz w:val="28"/>
          <w:szCs w:val="28"/>
          <w:highlight w:val="none"/>
        </w:rPr>
        <w:t>项目类型：服务</w:t>
      </w:r>
    </w:p>
    <w:p w14:paraId="70CB2D66">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服务期(合同能源管理效益分享期):20年。服务期满，双方可友好协商，总续期不超过五年。合同到期后，</w:t>
      </w:r>
      <w:r>
        <w:rPr>
          <w:rFonts w:hint="eastAsia" w:ascii="宋体" w:hAnsi="宋体" w:cs="宋体"/>
          <w:color w:val="auto"/>
          <w:sz w:val="28"/>
          <w:szCs w:val="28"/>
          <w:highlight w:val="none"/>
          <w:lang w:val="en-US" w:eastAsia="zh-CN"/>
        </w:rPr>
        <w:t>如采购人不需要光伏设备</w:t>
      </w:r>
      <w:r>
        <w:rPr>
          <w:rFonts w:hint="eastAsia" w:ascii="宋体" w:hAnsi="宋体" w:cs="宋体"/>
          <w:color w:val="auto"/>
          <w:sz w:val="28"/>
          <w:szCs w:val="28"/>
          <w:highlight w:val="none"/>
        </w:rPr>
        <w:t>，供应商须无条件拆除设备，修复漏水屋面（如有）。恢复至安装之前状态。</w:t>
      </w:r>
    </w:p>
    <w:p w14:paraId="3D998808">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最高限价:本次招标采用固定电价投标报价，投标人报价不超过</w:t>
      </w:r>
      <w:bookmarkStart w:id="0" w:name="_Hlk209012537"/>
      <w:r>
        <w:rPr>
          <w:rFonts w:hint="eastAsia" w:ascii="宋体" w:hAnsi="宋体" w:cs="宋体"/>
          <w:color w:val="auto"/>
          <w:sz w:val="28"/>
          <w:szCs w:val="28"/>
          <w:highlight w:val="none"/>
        </w:rPr>
        <w:t>0.53元/度</w:t>
      </w:r>
      <w:bookmarkEnd w:id="0"/>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办公</w:t>
      </w:r>
      <w:r>
        <w:rPr>
          <w:rFonts w:hint="eastAsia" w:ascii="宋体" w:hAnsi="宋体" w:cs="宋体"/>
          <w:color w:val="auto"/>
          <w:sz w:val="28"/>
          <w:szCs w:val="28"/>
          <w:highlight w:val="none"/>
        </w:rPr>
        <w:t>用电价格/度），充电桩充电的结算价格不超过 0.83元/度（</w:t>
      </w:r>
      <w:r>
        <w:rPr>
          <w:rFonts w:hint="eastAsia" w:ascii="宋体" w:hAnsi="宋体" w:cs="宋体"/>
          <w:color w:val="auto"/>
          <w:sz w:val="28"/>
          <w:szCs w:val="28"/>
          <w:highlight w:val="none"/>
          <w:lang w:val="en-US" w:eastAsia="zh-CN"/>
        </w:rPr>
        <w:t>车辆</w:t>
      </w:r>
      <w:r>
        <w:rPr>
          <w:rFonts w:hint="eastAsia" w:ascii="宋体" w:hAnsi="宋体" w:cs="宋体"/>
          <w:color w:val="auto"/>
          <w:sz w:val="28"/>
          <w:szCs w:val="28"/>
          <w:highlight w:val="none"/>
        </w:rPr>
        <w:t>用电价格/度），否则投标文件作无效投标处理。</w:t>
      </w:r>
    </w:p>
    <w:p w14:paraId="46047CFD">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采购需求：详见招标文件，请仔细研究。</w:t>
      </w:r>
    </w:p>
    <w:p w14:paraId="353BC6D5">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本项目是否接受联合体投标：否。</w:t>
      </w:r>
    </w:p>
    <w:p w14:paraId="5147B9D0">
      <w:pPr>
        <w:adjustRightInd w:val="0"/>
        <w:snapToGrid w:val="0"/>
        <w:spacing w:line="460" w:lineRule="exact"/>
        <w:ind w:firstLine="562" w:firstLineChars="200"/>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rPr>
        <w:t>二、供应商的资格要求：</w:t>
      </w:r>
    </w:p>
    <w:p w14:paraId="47B031A3">
      <w:pPr>
        <w:adjustRightInd w:val="0"/>
        <w:snapToGrid w:val="0"/>
        <w:spacing w:line="460" w:lineRule="exact"/>
        <w:ind w:firstLine="560" w:firstLineChars="200"/>
        <w:outlineLvl w:val="1"/>
        <w:rPr>
          <w:rFonts w:hint="eastAsia" w:ascii="宋体" w:hAnsi="宋体" w:cs="宋体"/>
          <w:color w:val="auto"/>
          <w:sz w:val="28"/>
          <w:szCs w:val="28"/>
          <w:highlight w:val="none"/>
        </w:rPr>
      </w:pPr>
      <w:r>
        <w:rPr>
          <w:rFonts w:hint="eastAsia" w:ascii="宋体" w:hAnsi="宋体" w:cs="宋体"/>
          <w:color w:val="auto"/>
          <w:sz w:val="28"/>
          <w:szCs w:val="28"/>
          <w:highlight w:val="none"/>
        </w:rPr>
        <w:t>1.具有独立承担民事责任的能力；具有良好的商业信誉和健全的财务会计制度；具有履行合同所必需的设备和专业</w:t>
      </w:r>
      <w:r>
        <w:rPr>
          <w:rFonts w:hint="eastAsia" w:ascii="宋体" w:hAnsi="宋体" w:cs="宋体"/>
          <w:color w:val="auto"/>
          <w:sz w:val="28"/>
          <w:szCs w:val="28"/>
          <w:highlight w:val="none"/>
          <w:lang w:val="zh-CN"/>
        </w:rPr>
        <w:t>技术能力；</w:t>
      </w:r>
      <w:r>
        <w:rPr>
          <w:rFonts w:hint="eastAsia" w:ascii="宋体" w:hAnsi="宋体" w:cs="宋体"/>
          <w:color w:val="auto"/>
          <w:sz w:val="28"/>
          <w:szCs w:val="28"/>
          <w:highlight w:val="none"/>
        </w:rPr>
        <w:t>具</w:t>
      </w:r>
      <w:r>
        <w:rPr>
          <w:rFonts w:hint="eastAsia" w:ascii="宋体" w:hAnsi="宋体" w:cs="宋体"/>
          <w:color w:val="auto"/>
          <w:sz w:val="28"/>
          <w:szCs w:val="28"/>
          <w:highlight w:val="none"/>
          <w:lang w:val="zh-CN"/>
        </w:rPr>
        <w:t>有依法缴纳税收和社会保障资金的良好记录；参加本次采购活动前三年内，在经营活动中没有重大违法记录；</w:t>
      </w:r>
    </w:p>
    <w:p w14:paraId="4D6D0238">
      <w:pPr>
        <w:adjustRightInd w:val="0"/>
        <w:snapToGrid w:val="0"/>
        <w:spacing w:line="460" w:lineRule="exact"/>
        <w:ind w:firstLine="560" w:firstLineChars="200"/>
        <w:outlineLvl w:val="1"/>
        <w:rPr>
          <w:rFonts w:hint="eastAsia" w:ascii="宋体" w:hAnsi="宋体" w:cs="宋体"/>
          <w:color w:val="auto"/>
          <w:sz w:val="28"/>
          <w:szCs w:val="28"/>
          <w:highlight w:val="none"/>
        </w:rPr>
      </w:pPr>
      <w:r>
        <w:rPr>
          <w:rFonts w:hint="eastAsia" w:ascii="宋体" w:hAnsi="宋体" w:cs="宋体"/>
          <w:color w:val="auto"/>
          <w:sz w:val="28"/>
          <w:szCs w:val="28"/>
          <w:highlight w:val="none"/>
        </w:rPr>
        <w:t>2.供应商必须具有独立的法人资格，提供有效的营业执照及税务登记证复印件加盖公章；</w:t>
      </w:r>
    </w:p>
    <w:p w14:paraId="69FB0D89">
      <w:pPr>
        <w:adjustRightInd w:val="0"/>
        <w:snapToGrid w:val="0"/>
        <w:spacing w:line="460" w:lineRule="exact"/>
        <w:ind w:firstLine="560" w:firstLineChars="200"/>
        <w:outlineLvl w:val="1"/>
        <w:rPr>
          <w:rFonts w:hint="eastAsia" w:ascii="宋体" w:hAnsi="宋体" w:cs="宋体"/>
          <w:color w:val="auto"/>
          <w:sz w:val="28"/>
          <w:szCs w:val="28"/>
          <w:highlight w:val="none"/>
        </w:rPr>
      </w:pPr>
      <w:r>
        <w:rPr>
          <w:rFonts w:hint="eastAsia" w:ascii="宋体" w:hAnsi="宋体" w:cs="宋体"/>
          <w:color w:val="auto"/>
          <w:sz w:val="28"/>
          <w:szCs w:val="28"/>
          <w:highlight w:val="none"/>
        </w:rPr>
        <w:t>3.投标人须具有有效的《中华人民共和国承装(修、试)电力设施许可证》;具备承装，承修，承试五级及以上资质（包括具备有效企业安全生产许可证）;具备电力工程施工总承包三级及以上资质(须提供证书复印件加盖供应商公章)。</w:t>
      </w:r>
    </w:p>
    <w:p w14:paraId="5F432FE3">
      <w:pPr>
        <w:adjustRightInd w:val="0"/>
        <w:snapToGrid w:val="0"/>
        <w:spacing w:line="460" w:lineRule="exact"/>
        <w:ind w:firstLine="560" w:firstLineChars="200"/>
        <w:outlineLvl w:val="1"/>
        <w:rPr>
          <w:rFonts w:hint="eastAsia" w:ascii="宋体" w:hAnsi="宋体" w:cs="宋体"/>
          <w:color w:val="auto"/>
          <w:sz w:val="28"/>
          <w:szCs w:val="28"/>
          <w:highlight w:val="none"/>
        </w:rPr>
      </w:pPr>
      <w:r>
        <w:rPr>
          <w:rFonts w:hint="eastAsia" w:ascii="宋体" w:hAnsi="宋体" w:cs="宋体"/>
          <w:color w:val="auto"/>
          <w:sz w:val="28"/>
          <w:szCs w:val="28"/>
          <w:highlight w:val="none"/>
        </w:rPr>
        <w:t>4.拟派建设项目经理须具备机电工程专业二级及以上注册建造师资格且具有安全生产考核合格证（B证）；</w:t>
      </w:r>
    </w:p>
    <w:p w14:paraId="2F90FF9E">
      <w:pPr>
        <w:adjustRightInd w:val="0"/>
        <w:snapToGrid w:val="0"/>
        <w:spacing w:line="460" w:lineRule="exact"/>
        <w:ind w:firstLine="560" w:firstLineChars="200"/>
        <w:outlineLvl w:val="1"/>
        <w:rPr>
          <w:rFonts w:hint="eastAsia" w:ascii="宋体" w:hAnsi="宋体" w:cs="宋体"/>
          <w:color w:val="auto"/>
          <w:sz w:val="28"/>
          <w:szCs w:val="28"/>
          <w:highlight w:val="none"/>
        </w:rPr>
      </w:pPr>
      <w:r>
        <w:rPr>
          <w:rFonts w:hint="eastAsia" w:ascii="宋体" w:hAnsi="宋体" w:cs="宋体"/>
          <w:color w:val="auto"/>
          <w:sz w:val="28"/>
          <w:szCs w:val="28"/>
          <w:highlight w:val="none"/>
        </w:rPr>
        <w:t>投标供应商拟派项目经理如为一级注册建造师的，必须根据《办公厅关于全面实行一级建造师电子注册证书的通知》（建办市〔2021〕40 号）文件要求使用并提供电子证书，如未按文件要求提供电子证书，该电子证书无效，视为拟派项目负责人的资格不符合要求。</w:t>
      </w:r>
    </w:p>
    <w:p w14:paraId="0966B301">
      <w:pPr>
        <w:adjustRightInd w:val="0"/>
        <w:snapToGrid w:val="0"/>
        <w:spacing w:line="460" w:lineRule="exact"/>
        <w:ind w:firstLine="560" w:firstLineChars="200"/>
        <w:outlineLvl w:val="1"/>
        <w:rPr>
          <w:rFonts w:hint="eastAsia" w:ascii="宋体" w:hAnsi="宋体" w:cs="宋体"/>
          <w:color w:val="auto"/>
          <w:sz w:val="28"/>
          <w:szCs w:val="28"/>
          <w:highlight w:val="none"/>
        </w:rPr>
      </w:pPr>
      <w:r>
        <w:rPr>
          <w:rFonts w:hint="eastAsia" w:ascii="宋体" w:hAnsi="宋体" w:cs="宋体"/>
          <w:color w:val="auto"/>
          <w:sz w:val="28"/>
          <w:szCs w:val="28"/>
          <w:highlight w:val="none"/>
        </w:rPr>
        <w:t>5.供应商近一年内，有过公共机构的安装施工经验，安装</w:t>
      </w:r>
      <w:r>
        <w:rPr>
          <w:rFonts w:hint="eastAsia" w:ascii="宋体" w:hAnsi="宋体" w:cs="宋体"/>
          <w:color w:val="auto"/>
          <w:sz w:val="28"/>
          <w:szCs w:val="28"/>
          <w:highlight w:val="none"/>
          <w:lang w:val="en-US" w:eastAsia="zh-CN"/>
        </w:rPr>
        <w:t>总</w:t>
      </w:r>
      <w:r>
        <w:rPr>
          <w:rFonts w:hint="eastAsia" w:ascii="宋体" w:hAnsi="宋体" w:cs="宋体"/>
          <w:color w:val="auto"/>
          <w:sz w:val="28"/>
          <w:szCs w:val="28"/>
          <w:highlight w:val="none"/>
        </w:rPr>
        <w:t>容量不少于1000kWp。</w:t>
      </w:r>
    </w:p>
    <w:p w14:paraId="68AB164E">
      <w:pPr>
        <w:adjustRightInd w:val="0"/>
        <w:snapToGrid w:val="0"/>
        <w:spacing w:line="460" w:lineRule="exact"/>
        <w:ind w:firstLine="560" w:firstLineChars="200"/>
        <w:outlineLvl w:val="1"/>
        <w:rPr>
          <w:rFonts w:hint="eastAsia" w:ascii="宋体" w:hAnsi="宋体" w:cs="宋体"/>
          <w:color w:val="auto"/>
          <w:sz w:val="28"/>
          <w:szCs w:val="28"/>
          <w:highlight w:val="none"/>
        </w:rPr>
      </w:pPr>
      <w:bookmarkStart w:id="1" w:name="OLE_LINK7"/>
      <w:r>
        <w:rPr>
          <w:rFonts w:hint="eastAsia" w:ascii="宋体" w:hAnsi="宋体" w:cs="宋体"/>
          <w:color w:val="auto"/>
          <w:sz w:val="28"/>
          <w:szCs w:val="28"/>
          <w:highlight w:val="none"/>
        </w:rPr>
        <w:t>6.</w:t>
      </w:r>
      <w:bookmarkEnd w:id="1"/>
      <w:r>
        <w:rPr>
          <w:rFonts w:hint="eastAsia" w:ascii="宋体" w:hAnsi="宋体" w:cs="宋体"/>
          <w:color w:val="auto"/>
          <w:sz w:val="28"/>
          <w:szCs w:val="28"/>
          <w:highlight w:val="none"/>
        </w:rPr>
        <w:t>供应商单位负责人为同一人或者存在直接控股、管理关系的不同供应商，不得同时参加同一合同项下的采购活动。</w:t>
      </w:r>
    </w:p>
    <w:p w14:paraId="06839A3D">
      <w:pPr>
        <w:adjustRightInd w:val="0"/>
        <w:snapToGrid w:val="0"/>
        <w:spacing w:line="460" w:lineRule="exact"/>
        <w:ind w:firstLine="560" w:firstLineChars="200"/>
        <w:outlineLvl w:val="1"/>
        <w:rPr>
          <w:rFonts w:hint="eastAsia" w:ascii="宋体" w:hAnsi="宋体" w:cs="宋体"/>
          <w:color w:val="auto"/>
          <w:sz w:val="28"/>
          <w:szCs w:val="28"/>
          <w:highlight w:val="none"/>
        </w:rPr>
      </w:pPr>
      <w:r>
        <w:rPr>
          <w:rFonts w:hint="eastAsia" w:ascii="宋体" w:hAnsi="宋体" w:cs="宋体"/>
          <w:color w:val="auto"/>
          <w:sz w:val="28"/>
          <w:szCs w:val="28"/>
          <w:highlight w:val="none"/>
        </w:rPr>
        <w:t>7.本项目不接受联合体投标；</w:t>
      </w:r>
    </w:p>
    <w:p w14:paraId="01C0B8DB">
      <w:pPr>
        <w:adjustRightInd w:val="0"/>
        <w:snapToGrid w:val="0"/>
        <w:spacing w:line="460" w:lineRule="exact"/>
        <w:ind w:firstLine="560" w:firstLineChars="200"/>
        <w:outlineLvl w:val="1"/>
        <w:rPr>
          <w:rFonts w:hint="eastAsia" w:ascii="宋体" w:hAnsi="宋体" w:cs="宋体"/>
          <w:color w:val="auto"/>
          <w:sz w:val="28"/>
          <w:szCs w:val="28"/>
          <w:highlight w:val="none"/>
        </w:rPr>
      </w:pPr>
      <w:r>
        <w:rPr>
          <w:rFonts w:hint="eastAsia" w:ascii="宋体" w:hAnsi="宋体" w:cs="宋体"/>
          <w:color w:val="auto"/>
          <w:sz w:val="28"/>
          <w:szCs w:val="28"/>
          <w:highlight w:val="none"/>
        </w:rPr>
        <w:t>8.法律、行政法规规定的其他条件。</w:t>
      </w:r>
    </w:p>
    <w:p w14:paraId="598060DB">
      <w:pPr>
        <w:adjustRightInd w:val="0"/>
        <w:snapToGrid w:val="0"/>
        <w:spacing w:line="460" w:lineRule="exact"/>
        <w:ind w:firstLine="562" w:firstLineChars="200"/>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rPr>
        <w:t>三、采购文件获取</w:t>
      </w:r>
    </w:p>
    <w:p w14:paraId="2D108D59">
      <w:pPr>
        <w:snapToGrid w:val="0"/>
        <w:spacing w:line="46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时间：2025年</w:t>
      </w:r>
      <w:r>
        <w:rPr>
          <w:rFonts w:hint="eastAsia" w:ascii="宋体" w:hAnsi="宋体" w:cs="宋体"/>
          <w:color w:val="auto"/>
          <w:sz w:val="28"/>
          <w:szCs w:val="28"/>
          <w:highlight w:val="none"/>
          <w:lang w:val="en-US" w:eastAsia="zh-CN"/>
        </w:rPr>
        <w:t>10</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28</w:t>
      </w:r>
      <w:r>
        <w:rPr>
          <w:rFonts w:hint="eastAsia" w:ascii="宋体" w:hAnsi="宋体" w:cs="宋体"/>
          <w:color w:val="auto"/>
          <w:sz w:val="28"/>
          <w:szCs w:val="28"/>
          <w:highlight w:val="none"/>
        </w:rPr>
        <w:t>日至2025年</w:t>
      </w:r>
      <w:r>
        <w:rPr>
          <w:rFonts w:hint="eastAsia" w:ascii="宋体" w:hAnsi="宋体" w:cs="宋体"/>
          <w:color w:val="auto"/>
          <w:sz w:val="28"/>
          <w:szCs w:val="28"/>
          <w:highlight w:val="none"/>
          <w:lang w:val="en-US" w:eastAsia="zh-CN"/>
        </w:rPr>
        <w:t>11</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日</w:t>
      </w:r>
    </w:p>
    <w:p w14:paraId="6F0B6D5D">
      <w:pPr>
        <w:adjustRightInd w:val="0"/>
        <w:snapToGrid w:val="0"/>
        <w:spacing w:line="460" w:lineRule="exact"/>
        <w:ind w:firstLine="560" w:firstLineChars="200"/>
        <w:outlineLvl w:val="1"/>
        <w:rPr>
          <w:rFonts w:hint="eastAsia" w:ascii="宋体" w:hAnsi="宋体" w:cs="宋体"/>
          <w:bCs/>
          <w:color w:val="auto"/>
          <w:sz w:val="28"/>
          <w:szCs w:val="28"/>
          <w:highlight w:val="none"/>
        </w:rPr>
      </w:pPr>
      <w:r>
        <w:rPr>
          <w:rFonts w:hint="eastAsia" w:ascii="宋体" w:hAnsi="宋体" w:cs="宋体"/>
          <w:bCs/>
          <w:color w:val="auto"/>
          <w:sz w:val="28"/>
          <w:szCs w:val="28"/>
          <w:highlight w:val="none"/>
        </w:rPr>
        <w:t>地点：南通市公安局网站；</w:t>
      </w:r>
    </w:p>
    <w:p w14:paraId="246F876A">
      <w:pPr>
        <w:adjustRightInd w:val="0"/>
        <w:snapToGrid w:val="0"/>
        <w:spacing w:line="460" w:lineRule="exact"/>
        <w:ind w:firstLine="560" w:firstLineChars="200"/>
        <w:outlineLvl w:val="1"/>
        <w:rPr>
          <w:rFonts w:hint="eastAsia" w:ascii="宋体" w:hAnsi="宋体" w:cs="宋体"/>
          <w:bCs/>
          <w:color w:val="auto"/>
          <w:sz w:val="28"/>
          <w:szCs w:val="28"/>
          <w:highlight w:val="none"/>
        </w:rPr>
      </w:pPr>
      <w:r>
        <w:rPr>
          <w:rFonts w:hint="eastAsia" w:ascii="宋体" w:hAnsi="宋体" w:cs="宋体"/>
          <w:bCs/>
          <w:color w:val="auto"/>
          <w:sz w:val="28"/>
          <w:szCs w:val="28"/>
          <w:highlight w:val="none"/>
        </w:rPr>
        <w:t>方式：自行下载采购文件。</w:t>
      </w:r>
    </w:p>
    <w:p w14:paraId="65AAC672">
      <w:pPr>
        <w:adjustRightInd w:val="0"/>
        <w:snapToGrid w:val="0"/>
        <w:spacing w:line="460" w:lineRule="exact"/>
        <w:ind w:firstLine="562" w:firstLineChars="200"/>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rPr>
        <w:t>四、提交响应文件截止时间、磋商时间和地点</w:t>
      </w:r>
    </w:p>
    <w:p w14:paraId="638BF48E">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2025年</w:t>
      </w:r>
      <w:r>
        <w:rPr>
          <w:rFonts w:hint="eastAsia" w:ascii="宋体" w:hAnsi="宋体" w:cs="宋体"/>
          <w:color w:val="auto"/>
          <w:sz w:val="28"/>
          <w:szCs w:val="28"/>
          <w:highlight w:val="none"/>
          <w:lang w:val="en-US" w:eastAsia="zh-CN"/>
        </w:rPr>
        <w:t>11</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10</w:t>
      </w:r>
      <w:r>
        <w:rPr>
          <w:rFonts w:hint="eastAsia" w:ascii="宋体" w:hAnsi="宋体" w:cs="宋体"/>
          <w:color w:val="auto"/>
          <w:sz w:val="28"/>
          <w:szCs w:val="28"/>
          <w:highlight w:val="none"/>
        </w:rPr>
        <w:t>日14点00分（北京时间），逾时，采购人将拒绝接受磋商响应文件。</w:t>
      </w:r>
    </w:p>
    <w:p w14:paraId="0B31D011">
      <w:pPr>
        <w:adjustRightInd w:val="0"/>
        <w:snapToGrid w:val="0"/>
        <w:spacing w:line="460" w:lineRule="exact"/>
        <w:ind w:firstLine="560" w:firstLineChars="200"/>
        <w:rPr>
          <w:rFonts w:hint="eastAsia" w:ascii="宋体" w:hAnsi="宋体" w:cs="宋体"/>
          <w:i/>
          <w:color w:val="auto"/>
          <w:sz w:val="28"/>
          <w:szCs w:val="28"/>
          <w:highlight w:val="none"/>
          <w:u w:val="single"/>
        </w:rPr>
      </w:pPr>
      <w:r>
        <w:rPr>
          <w:rFonts w:hint="eastAsia" w:ascii="宋体" w:hAnsi="宋体" w:cs="宋体"/>
          <w:color w:val="auto"/>
          <w:sz w:val="28"/>
          <w:szCs w:val="28"/>
          <w:highlight w:val="none"/>
        </w:rPr>
        <w:t>地点：</w:t>
      </w:r>
      <w:r>
        <w:rPr>
          <w:rFonts w:hint="eastAsia" w:ascii="宋体" w:hAnsi="宋体" w:cs="宋体"/>
          <w:b/>
          <w:bCs/>
          <w:color w:val="auto"/>
          <w:sz w:val="28"/>
          <w:szCs w:val="28"/>
          <w:highlight w:val="none"/>
          <w:u w:val="single"/>
        </w:rPr>
        <w:t>崇川区崇川路58号南通产业技术研究院9号楼1楼大厅西侧A101室，如有变动另行通知。</w:t>
      </w:r>
    </w:p>
    <w:p w14:paraId="1107E5E9">
      <w:pPr>
        <w:adjustRightInd w:val="0"/>
        <w:snapToGrid w:val="0"/>
        <w:spacing w:line="460" w:lineRule="exact"/>
        <w:ind w:firstLine="562" w:firstLineChars="200"/>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rPr>
        <w:t>五、公告期限</w:t>
      </w:r>
    </w:p>
    <w:p w14:paraId="770BC4ED">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自本公告发布之日起3个工作日。</w:t>
      </w:r>
    </w:p>
    <w:p w14:paraId="198EBB86">
      <w:pPr>
        <w:adjustRightInd w:val="0"/>
        <w:snapToGrid w:val="0"/>
        <w:spacing w:line="460" w:lineRule="exact"/>
        <w:ind w:firstLine="562" w:firstLineChars="200"/>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rPr>
        <w:t>六、其他补充事宜</w:t>
      </w:r>
    </w:p>
    <w:p w14:paraId="13BCCE3D">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1.投标保证金：免收</w:t>
      </w:r>
    </w:p>
    <w:p w14:paraId="4D40A35F">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2.项目磋商活动模式：见面磋商模式，供应商在崇川区崇川路58号南通产业技术研究院9号楼1楼大厅西侧A101室参加磋商活动。</w:t>
      </w:r>
    </w:p>
    <w:p w14:paraId="43C8499B">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3.项目演示、样品：无。</w:t>
      </w:r>
    </w:p>
    <w:p w14:paraId="75BC8DD5">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4.对项目需求部分（供应商资格要求、项目需求、商务技术评分标准）的询问、质疑请向采购人提出，由采购人负责答复；对项目磋商文件其它部分的询问请向磋商文件制作人或项目磋商经办人提出。</w:t>
      </w:r>
    </w:p>
    <w:p w14:paraId="5D9A0C01">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79CB644B">
      <w:pPr>
        <w:widowControl/>
        <w:shd w:val="clear" w:color="auto" w:fill="FFFFFF"/>
        <w:adjustRightInd w:val="0"/>
        <w:snapToGrid w:val="0"/>
        <w:spacing w:line="460" w:lineRule="exact"/>
        <w:ind w:firstLine="590" w:firstLineChars="200"/>
        <w:outlineLvl w:val="1"/>
        <w:rPr>
          <w:rFonts w:hint="eastAsia" w:ascii="宋体" w:hAnsi="宋体" w:cs="宋体"/>
          <w:b/>
          <w:color w:val="auto"/>
          <w:spacing w:val="7"/>
          <w:kern w:val="0"/>
          <w:sz w:val="28"/>
          <w:szCs w:val="28"/>
          <w:highlight w:val="none"/>
        </w:rPr>
      </w:pPr>
      <w:r>
        <w:rPr>
          <w:rFonts w:hint="eastAsia" w:ascii="宋体" w:hAnsi="宋体" w:cs="宋体"/>
          <w:b/>
          <w:color w:val="auto"/>
          <w:spacing w:val="7"/>
          <w:kern w:val="0"/>
          <w:sz w:val="28"/>
          <w:szCs w:val="28"/>
          <w:highlight w:val="none"/>
        </w:rPr>
        <w:t>七、凡对本次采购提出询问，请按以下方式联系。</w:t>
      </w:r>
    </w:p>
    <w:p w14:paraId="0AD37A99">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1.采购人信息</w:t>
      </w:r>
    </w:p>
    <w:p w14:paraId="6E13020A">
      <w:pPr>
        <w:widowControl/>
        <w:shd w:val="clear" w:color="auto" w:fill="FFFFFF"/>
        <w:adjustRightInd w:val="0"/>
        <w:snapToGrid w:val="0"/>
        <w:spacing w:line="46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名称：南通市公安局交通管理支队　　　　　　　　　　　　</w:t>
      </w:r>
    </w:p>
    <w:p w14:paraId="6A423E41">
      <w:pPr>
        <w:widowControl/>
        <w:shd w:val="clear" w:color="auto" w:fill="FFFFFF"/>
        <w:adjustRightInd w:val="0"/>
        <w:snapToGrid w:val="0"/>
        <w:spacing w:line="46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地址：南通市虹桥路11号</w:t>
      </w:r>
    </w:p>
    <w:p w14:paraId="641FD33A">
      <w:pPr>
        <w:widowControl/>
        <w:shd w:val="clear" w:color="auto" w:fill="FFFFFF"/>
        <w:adjustRightInd w:val="0"/>
        <w:snapToGrid w:val="0"/>
        <w:spacing w:line="46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联系人：计先生</w:t>
      </w:r>
    </w:p>
    <w:p w14:paraId="67711B30">
      <w:pPr>
        <w:widowControl/>
        <w:shd w:val="clear" w:color="auto" w:fill="FFFFFF"/>
        <w:adjustRightInd w:val="0"/>
        <w:snapToGrid w:val="0"/>
        <w:spacing w:line="46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联系方式：18816266088</w:t>
      </w:r>
    </w:p>
    <w:p w14:paraId="792CDC85">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2.采购代理机构信息</w:t>
      </w:r>
    </w:p>
    <w:p w14:paraId="4914E396">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名称：江苏中润工程建设咨询有限公司</w:t>
      </w:r>
    </w:p>
    <w:p w14:paraId="416BC257">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地址：南通市崇川路58号南通产业技术研究院9号楼1004室</w:t>
      </w:r>
    </w:p>
    <w:p w14:paraId="5E0B5D11">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联系方式：王  工 0513-55887688   13906272111</w:t>
      </w:r>
    </w:p>
    <w:p w14:paraId="74FE50BB">
      <w:pPr>
        <w:adjustRightInd w:val="0"/>
        <w:snapToGrid w:val="0"/>
        <w:spacing w:line="360" w:lineRule="auto"/>
        <w:jc w:val="center"/>
        <w:outlineLvl w:val="0"/>
        <w:rPr>
          <w:rFonts w:hint="eastAsia" w:ascii="宋体" w:hAnsi="宋体" w:cs="宋体"/>
          <w:bCs/>
          <w:color w:val="auto"/>
          <w:sz w:val="36"/>
          <w:szCs w:val="36"/>
          <w:highlight w:val="none"/>
        </w:rPr>
      </w:pPr>
    </w:p>
    <w:p w14:paraId="248DF72B">
      <w:pPr>
        <w:adjustRightInd w:val="0"/>
        <w:snapToGrid w:val="0"/>
        <w:spacing w:line="360" w:lineRule="auto"/>
        <w:jc w:val="center"/>
        <w:outlineLvl w:val="0"/>
        <w:rPr>
          <w:rFonts w:hint="eastAsia" w:ascii="宋体" w:hAnsi="宋体" w:cs="宋体"/>
          <w:bCs/>
          <w:color w:val="auto"/>
          <w:sz w:val="36"/>
          <w:szCs w:val="36"/>
          <w:highlight w:val="none"/>
        </w:rPr>
      </w:pPr>
    </w:p>
    <w:p w14:paraId="754FEEEE">
      <w:pPr>
        <w:adjustRightInd w:val="0"/>
        <w:snapToGrid w:val="0"/>
        <w:spacing w:line="360" w:lineRule="auto"/>
        <w:jc w:val="center"/>
        <w:outlineLvl w:val="0"/>
        <w:rPr>
          <w:rFonts w:hint="eastAsia" w:ascii="宋体" w:hAnsi="宋体" w:cs="宋体"/>
          <w:bCs/>
          <w:color w:val="auto"/>
          <w:sz w:val="36"/>
          <w:szCs w:val="36"/>
          <w:highlight w:val="none"/>
        </w:rPr>
      </w:pPr>
      <w:r>
        <w:rPr>
          <w:rFonts w:hint="eastAsia" w:ascii="宋体" w:hAnsi="宋体" w:cs="宋体"/>
          <w:bCs/>
          <w:color w:val="auto"/>
          <w:sz w:val="36"/>
          <w:szCs w:val="36"/>
          <w:highlight w:val="none"/>
        </w:rPr>
        <w:br w:type="page"/>
      </w:r>
      <w:r>
        <w:rPr>
          <w:rFonts w:hint="eastAsia" w:ascii="宋体" w:hAnsi="宋体" w:cs="宋体"/>
          <w:bCs/>
          <w:color w:val="auto"/>
          <w:sz w:val="36"/>
          <w:szCs w:val="36"/>
          <w:highlight w:val="none"/>
        </w:rPr>
        <w:t>第二部分 磋商须知</w:t>
      </w:r>
    </w:p>
    <w:p w14:paraId="168E1726">
      <w:pPr>
        <w:keepNext/>
        <w:keepLines/>
        <w:adjustRightInd w:val="0"/>
        <w:snapToGrid w:val="0"/>
        <w:spacing w:line="460" w:lineRule="exact"/>
        <w:ind w:firstLine="562" w:firstLineChars="200"/>
        <w:outlineLvl w:val="1"/>
        <w:rPr>
          <w:rFonts w:hint="eastAsia" w:ascii="宋体" w:hAnsi="宋体" w:cs="宋体"/>
          <w:b/>
          <w:bCs/>
          <w:color w:val="auto"/>
          <w:kern w:val="0"/>
          <w:sz w:val="28"/>
          <w:szCs w:val="28"/>
          <w:highlight w:val="none"/>
        </w:rPr>
      </w:pPr>
      <w:bookmarkStart w:id="2" w:name="_Toc120614214"/>
      <w:bookmarkStart w:id="3" w:name="_Toc20823275"/>
      <w:bookmarkStart w:id="4" w:name="_Toc16938519"/>
      <w:bookmarkStart w:id="5" w:name="_Toc513029203"/>
      <w:r>
        <w:rPr>
          <w:rFonts w:hint="eastAsia" w:ascii="宋体" w:hAnsi="宋体" w:cs="宋体"/>
          <w:b/>
          <w:bCs/>
          <w:color w:val="auto"/>
          <w:kern w:val="0"/>
          <w:sz w:val="28"/>
          <w:szCs w:val="28"/>
          <w:highlight w:val="none"/>
        </w:rPr>
        <w:t>一、总则</w:t>
      </w:r>
      <w:bookmarkEnd w:id="2"/>
      <w:bookmarkEnd w:id="3"/>
      <w:bookmarkEnd w:id="4"/>
      <w:bookmarkEnd w:id="5"/>
    </w:p>
    <w:p w14:paraId="641ADBDA">
      <w:pPr>
        <w:keepNext/>
        <w:adjustRightInd w:val="0"/>
        <w:snapToGrid w:val="0"/>
        <w:spacing w:line="460" w:lineRule="exact"/>
        <w:ind w:firstLine="560" w:firstLineChars="200"/>
        <w:rPr>
          <w:rFonts w:hint="eastAsia" w:ascii="宋体" w:hAnsi="宋体" w:cs="宋体"/>
          <w:b/>
          <w:bCs/>
          <w:color w:val="auto"/>
          <w:kern w:val="0"/>
          <w:sz w:val="28"/>
          <w:szCs w:val="28"/>
          <w:highlight w:val="none"/>
        </w:rPr>
      </w:pPr>
      <w:bookmarkStart w:id="6" w:name="_Hlt16619475"/>
      <w:bookmarkEnd w:id="6"/>
      <w:bookmarkStart w:id="7" w:name="_Toc458694821"/>
      <w:bookmarkStart w:id="8" w:name="_Toc20823276"/>
      <w:bookmarkStart w:id="9" w:name="_Toc513029204"/>
      <w:bookmarkStart w:id="10" w:name="_Toc16938520"/>
      <w:r>
        <w:rPr>
          <w:rFonts w:hint="eastAsia" w:ascii="宋体" w:hAnsi="宋体" w:cs="宋体"/>
          <w:color w:val="auto"/>
          <w:kern w:val="0"/>
          <w:sz w:val="28"/>
          <w:szCs w:val="28"/>
          <w:highlight w:val="none"/>
        </w:rPr>
        <w:t>1</w:t>
      </w:r>
      <w:bookmarkEnd w:id="7"/>
      <w:r>
        <w:rPr>
          <w:rFonts w:hint="eastAsia" w:ascii="宋体" w:hAnsi="宋体" w:cs="宋体"/>
          <w:color w:val="auto"/>
          <w:kern w:val="0"/>
          <w:sz w:val="28"/>
          <w:szCs w:val="28"/>
          <w:highlight w:val="none"/>
        </w:rPr>
        <w:t>.采购方式</w:t>
      </w:r>
      <w:bookmarkEnd w:id="8"/>
      <w:bookmarkEnd w:id="9"/>
      <w:bookmarkEnd w:id="10"/>
    </w:p>
    <w:p w14:paraId="75712C3C">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1.1 本次采取磋商方式，本磋商文件仅适用于磋商公告中所述项目。</w:t>
      </w:r>
    </w:p>
    <w:p w14:paraId="11BAE52C">
      <w:pPr>
        <w:keepNext/>
        <w:adjustRightInd w:val="0"/>
        <w:snapToGrid w:val="0"/>
        <w:spacing w:line="460" w:lineRule="exact"/>
        <w:ind w:firstLine="560" w:firstLineChars="200"/>
        <w:rPr>
          <w:rFonts w:hint="eastAsia" w:ascii="宋体" w:hAnsi="宋体" w:cs="宋体"/>
          <w:b/>
          <w:bCs/>
          <w:color w:val="auto"/>
          <w:kern w:val="0"/>
          <w:sz w:val="28"/>
          <w:szCs w:val="28"/>
          <w:highlight w:val="none"/>
        </w:rPr>
      </w:pPr>
      <w:bookmarkStart w:id="11" w:name="_Toc16938521"/>
      <w:bookmarkStart w:id="12" w:name="_Toc513029205"/>
      <w:bookmarkStart w:id="13" w:name="_Toc20823277"/>
      <w:r>
        <w:rPr>
          <w:rFonts w:hint="eastAsia" w:ascii="宋体" w:hAnsi="宋体" w:cs="宋体"/>
          <w:color w:val="auto"/>
          <w:kern w:val="0"/>
          <w:sz w:val="28"/>
          <w:szCs w:val="28"/>
          <w:highlight w:val="none"/>
        </w:rPr>
        <w:t>2.合格的</w:t>
      </w:r>
      <w:bookmarkEnd w:id="11"/>
      <w:bookmarkEnd w:id="12"/>
      <w:bookmarkEnd w:id="13"/>
      <w:r>
        <w:rPr>
          <w:rFonts w:hint="eastAsia" w:ascii="宋体" w:hAnsi="宋体" w:cs="宋体"/>
          <w:color w:val="auto"/>
          <w:kern w:val="0"/>
          <w:sz w:val="28"/>
          <w:szCs w:val="28"/>
          <w:highlight w:val="none"/>
        </w:rPr>
        <w:t>供应商</w:t>
      </w:r>
    </w:p>
    <w:p w14:paraId="49F687B3">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2.1满足磋商公告中供应商的资格要求的规定。</w:t>
      </w:r>
    </w:p>
    <w:p w14:paraId="11C0B925">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2.2 满足本文件实质性条款的规定。</w:t>
      </w:r>
    </w:p>
    <w:p w14:paraId="298B6F20">
      <w:pPr>
        <w:keepNext/>
        <w:adjustRightInd w:val="0"/>
        <w:snapToGrid w:val="0"/>
        <w:spacing w:line="460" w:lineRule="exact"/>
        <w:ind w:firstLine="562" w:firstLineChars="200"/>
        <w:rPr>
          <w:rFonts w:hint="eastAsia" w:ascii="宋体" w:hAnsi="宋体" w:cs="宋体"/>
          <w:b/>
          <w:bCs/>
          <w:color w:val="auto"/>
          <w:kern w:val="0"/>
          <w:sz w:val="28"/>
          <w:szCs w:val="28"/>
          <w:highlight w:val="none"/>
        </w:rPr>
      </w:pPr>
      <w:bookmarkStart w:id="14" w:name="_Toc20823278"/>
      <w:bookmarkStart w:id="15" w:name="_Toc513029206"/>
      <w:bookmarkStart w:id="16" w:name="_Toc16938522"/>
      <w:r>
        <w:rPr>
          <w:rFonts w:hint="eastAsia" w:ascii="宋体" w:hAnsi="宋体" w:cs="宋体"/>
          <w:b/>
          <w:bCs/>
          <w:color w:val="auto"/>
          <w:kern w:val="0"/>
          <w:sz w:val="28"/>
          <w:szCs w:val="28"/>
          <w:highlight w:val="none"/>
        </w:rPr>
        <w:t>采购项目磋商开始后，不再接受供应商对采购文件（含更正通告等）内容的异议或质询（质疑）。</w:t>
      </w:r>
    </w:p>
    <w:p w14:paraId="6532D851">
      <w:pPr>
        <w:keepNext/>
        <w:adjustRightInd w:val="0"/>
        <w:snapToGrid w:val="0"/>
        <w:spacing w:line="460" w:lineRule="exact"/>
        <w:ind w:firstLine="560" w:firstLineChars="200"/>
        <w:rPr>
          <w:rFonts w:hint="eastAsia" w:ascii="宋体" w:hAnsi="宋体" w:cs="宋体"/>
          <w:b/>
          <w:bCs/>
          <w:color w:val="auto"/>
          <w:kern w:val="0"/>
          <w:sz w:val="28"/>
          <w:szCs w:val="28"/>
          <w:highlight w:val="none"/>
        </w:rPr>
      </w:pPr>
      <w:r>
        <w:rPr>
          <w:rFonts w:hint="eastAsia" w:ascii="宋体" w:hAnsi="宋体" w:cs="宋体"/>
          <w:color w:val="auto"/>
          <w:kern w:val="0"/>
          <w:sz w:val="28"/>
          <w:szCs w:val="28"/>
          <w:highlight w:val="none"/>
        </w:rPr>
        <w:t>3.适用法律</w:t>
      </w:r>
      <w:bookmarkEnd w:id="14"/>
      <w:bookmarkEnd w:id="15"/>
      <w:bookmarkEnd w:id="16"/>
    </w:p>
    <w:p w14:paraId="6AA19661">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3.1 本次采购及由此产生的合同受中华人民共和国有关的法律法规制约和保护。</w:t>
      </w:r>
    </w:p>
    <w:p w14:paraId="54130A36">
      <w:pPr>
        <w:keepNext/>
        <w:adjustRightInd w:val="0"/>
        <w:snapToGrid w:val="0"/>
        <w:spacing w:line="460" w:lineRule="exact"/>
        <w:ind w:firstLine="560" w:firstLineChars="200"/>
        <w:rPr>
          <w:rFonts w:hint="eastAsia" w:ascii="宋体" w:hAnsi="宋体" w:cs="宋体"/>
          <w:color w:val="auto"/>
          <w:kern w:val="0"/>
          <w:sz w:val="28"/>
          <w:szCs w:val="28"/>
          <w:highlight w:val="none"/>
        </w:rPr>
      </w:pPr>
      <w:bookmarkStart w:id="17" w:name="_Toc20823279"/>
      <w:bookmarkStart w:id="18" w:name="_Toc462564067"/>
      <w:bookmarkStart w:id="19" w:name="_Toc513029207"/>
      <w:bookmarkStart w:id="20" w:name="_Toc16938523"/>
      <w:r>
        <w:rPr>
          <w:rFonts w:hint="eastAsia" w:ascii="宋体" w:hAnsi="宋体" w:cs="宋体"/>
          <w:color w:val="auto"/>
          <w:kern w:val="0"/>
          <w:sz w:val="28"/>
          <w:szCs w:val="28"/>
          <w:highlight w:val="none"/>
        </w:rPr>
        <w:t>4.磋商费用</w:t>
      </w:r>
      <w:bookmarkEnd w:id="17"/>
      <w:bookmarkEnd w:id="18"/>
      <w:bookmarkEnd w:id="19"/>
      <w:bookmarkEnd w:id="20"/>
    </w:p>
    <w:p w14:paraId="797BA6EF">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4.1 供应商应自行承担所有与参加磋商有关的费用，无论磋商过程中的做法和结果如何，江苏中润工程建设咨询有限公司（以下简称采购代理机构）在任何情况下均无义务和责任承担这些费用。</w:t>
      </w:r>
    </w:p>
    <w:p w14:paraId="17C01F8E">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4.2本项目招标代理费按照发改价格[2011]534号文标准50%计收，不足2000元的按2000元计取，供应商报价时应综合考虑（不单列）。</w:t>
      </w:r>
    </w:p>
    <w:p w14:paraId="40874076">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代理费等费用定标后由成交候选人支付给代理机构。因成交人原因导致成交结果变更或取消成交资格等，代理费不予退还。</w:t>
      </w:r>
    </w:p>
    <w:p w14:paraId="1FC0B959">
      <w:pPr>
        <w:keepNext/>
        <w:adjustRightInd w:val="0"/>
        <w:snapToGrid w:val="0"/>
        <w:spacing w:line="460" w:lineRule="exact"/>
        <w:ind w:firstLine="560" w:firstLineChars="200"/>
        <w:rPr>
          <w:rFonts w:hint="eastAsia" w:ascii="宋体" w:hAnsi="宋体" w:cs="宋体"/>
          <w:b/>
          <w:bCs/>
          <w:color w:val="auto"/>
          <w:kern w:val="0"/>
          <w:sz w:val="28"/>
          <w:szCs w:val="28"/>
          <w:highlight w:val="none"/>
        </w:rPr>
      </w:pPr>
      <w:r>
        <w:rPr>
          <w:rFonts w:hint="eastAsia" w:ascii="宋体" w:hAnsi="宋体" w:cs="宋体"/>
          <w:color w:val="auto"/>
          <w:kern w:val="0"/>
          <w:sz w:val="28"/>
          <w:szCs w:val="28"/>
          <w:highlight w:val="none"/>
        </w:rPr>
        <w:t>5.磋商文件的约束力</w:t>
      </w:r>
    </w:p>
    <w:p w14:paraId="3F9353F0">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bCs/>
          <w:color w:val="auto"/>
          <w:sz w:val="28"/>
          <w:szCs w:val="28"/>
          <w:highlight w:val="none"/>
        </w:rPr>
        <w:t>5.1</w:t>
      </w:r>
      <w:r>
        <w:rPr>
          <w:rFonts w:hint="eastAsia" w:ascii="宋体" w:hAnsi="宋体" w:cs="宋体"/>
          <w:color w:val="auto"/>
          <w:sz w:val="28"/>
          <w:szCs w:val="28"/>
          <w:highlight w:val="none"/>
        </w:rPr>
        <w:t xml:space="preserve"> 供应商一旦参加本项目采购活动，即被认为接受了本磋商文件的规定和约束。</w:t>
      </w:r>
    </w:p>
    <w:p w14:paraId="1207F867">
      <w:pPr>
        <w:keepNext/>
        <w:adjustRightInd w:val="0"/>
        <w:snapToGrid w:val="0"/>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6.磋商文件的解释</w:t>
      </w:r>
    </w:p>
    <w:p w14:paraId="56D15591">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bCs/>
          <w:color w:val="auto"/>
          <w:sz w:val="28"/>
          <w:szCs w:val="28"/>
          <w:highlight w:val="none"/>
        </w:rPr>
        <w:t>6.1</w:t>
      </w:r>
      <w:r>
        <w:rPr>
          <w:rFonts w:hint="eastAsia" w:ascii="宋体" w:hAnsi="宋体" w:cs="宋体"/>
          <w:color w:val="auto"/>
          <w:sz w:val="28"/>
          <w:szCs w:val="28"/>
          <w:highlight w:val="none"/>
        </w:rPr>
        <w:t>磋商文件需求部分（供应商资格要求、项目需求、商务技术评分标准）由采购人解释，其它部分由采购代理机构解释。</w:t>
      </w:r>
    </w:p>
    <w:p w14:paraId="37CC86D3">
      <w:pPr>
        <w:keepNext/>
        <w:keepLines/>
        <w:adjustRightInd w:val="0"/>
        <w:snapToGrid w:val="0"/>
        <w:spacing w:line="460" w:lineRule="exact"/>
        <w:ind w:firstLine="562" w:firstLineChars="200"/>
        <w:outlineLvl w:val="1"/>
        <w:rPr>
          <w:rFonts w:hint="eastAsia" w:ascii="宋体" w:hAnsi="宋体" w:cs="宋体"/>
          <w:b/>
          <w:bCs/>
          <w:color w:val="auto"/>
          <w:kern w:val="0"/>
          <w:sz w:val="28"/>
          <w:szCs w:val="28"/>
          <w:highlight w:val="none"/>
        </w:rPr>
      </w:pPr>
      <w:bookmarkStart w:id="21" w:name="_Toc16938525"/>
      <w:bookmarkStart w:id="22" w:name="_Toc513029209"/>
      <w:bookmarkStart w:id="23" w:name="_Toc120614215"/>
      <w:bookmarkStart w:id="24" w:name="_Toc20823281"/>
      <w:r>
        <w:rPr>
          <w:rFonts w:hint="eastAsia" w:ascii="宋体" w:hAnsi="宋体" w:cs="宋体"/>
          <w:b/>
          <w:bCs/>
          <w:color w:val="auto"/>
          <w:kern w:val="0"/>
          <w:sz w:val="28"/>
          <w:szCs w:val="28"/>
          <w:highlight w:val="none"/>
        </w:rPr>
        <w:t>二、磋商文件</w:t>
      </w:r>
      <w:bookmarkEnd w:id="21"/>
      <w:bookmarkEnd w:id="22"/>
      <w:bookmarkEnd w:id="23"/>
      <w:bookmarkEnd w:id="24"/>
    </w:p>
    <w:p w14:paraId="3C5D1CC0">
      <w:pPr>
        <w:keepNext/>
        <w:adjustRightInd w:val="0"/>
        <w:snapToGrid w:val="0"/>
        <w:spacing w:line="460" w:lineRule="exact"/>
        <w:ind w:firstLine="560" w:firstLineChars="200"/>
        <w:rPr>
          <w:rFonts w:hint="eastAsia" w:ascii="宋体" w:hAnsi="宋体" w:cs="宋体"/>
          <w:b/>
          <w:bCs/>
          <w:color w:val="auto"/>
          <w:kern w:val="0"/>
          <w:sz w:val="28"/>
          <w:szCs w:val="28"/>
          <w:highlight w:val="none"/>
        </w:rPr>
      </w:pPr>
      <w:bookmarkStart w:id="25" w:name="_Toc513029210"/>
      <w:bookmarkStart w:id="26" w:name="_Toc20823282"/>
      <w:bookmarkStart w:id="27" w:name="_Toc16938526"/>
      <w:r>
        <w:rPr>
          <w:rFonts w:hint="eastAsia" w:ascii="宋体" w:hAnsi="宋体" w:cs="宋体"/>
          <w:color w:val="auto"/>
          <w:kern w:val="0"/>
          <w:sz w:val="28"/>
          <w:szCs w:val="28"/>
          <w:highlight w:val="none"/>
        </w:rPr>
        <w:t>1.磋商文件构成</w:t>
      </w:r>
      <w:bookmarkEnd w:id="25"/>
      <w:bookmarkEnd w:id="26"/>
      <w:bookmarkEnd w:id="27"/>
    </w:p>
    <w:p w14:paraId="5B24D242">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bCs/>
          <w:color w:val="auto"/>
          <w:sz w:val="28"/>
          <w:szCs w:val="28"/>
          <w:highlight w:val="none"/>
        </w:rPr>
        <w:t>1.1</w:t>
      </w:r>
      <w:r>
        <w:rPr>
          <w:rFonts w:hint="eastAsia" w:ascii="宋体" w:hAnsi="宋体" w:cs="宋体"/>
          <w:color w:val="auto"/>
          <w:sz w:val="28"/>
          <w:szCs w:val="28"/>
          <w:highlight w:val="none"/>
        </w:rPr>
        <w:t xml:space="preserve"> 磋商文件由以下部分组成：</w:t>
      </w:r>
    </w:p>
    <w:p w14:paraId="2EA30605">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（1）磋商公告</w:t>
      </w:r>
    </w:p>
    <w:p w14:paraId="3F2AB1B4">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（2）磋商须知</w:t>
      </w:r>
    </w:p>
    <w:p w14:paraId="63F00F98">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（3）项目需求</w:t>
      </w:r>
    </w:p>
    <w:p w14:paraId="0B9325D2">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（4）评审方法和评审标准</w:t>
      </w:r>
    </w:p>
    <w:p w14:paraId="271E9679">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（5）响应文件组成</w:t>
      </w:r>
    </w:p>
    <w:p w14:paraId="5B7F67BD">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（6）附件</w:t>
      </w:r>
    </w:p>
    <w:p w14:paraId="41BB97F3">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请仔细检查磋商文件是否齐全，如有缺漏请立即与采购代理机构联系解决。</w:t>
      </w:r>
    </w:p>
    <w:p w14:paraId="54C11A65">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bCs/>
          <w:color w:val="auto"/>
          <w:sz w:val="28"/>
          <w:szCs w:val="28"/>
          <w:highlight w:val="none"/>
        </w:rPr>
        <w:t>1.2</w:t>
      </w:r>
      <w:r>
        <w:rPr>
          <w:rFonts w:hint="eastAsia" w:ascii="宋体" w:hAnsi="宋体" w:cs="宋体"/>
          <w:color w:val="auto"/>
          <w:sz w:val="28"/>
          <w:szCs w:val="28"/>
          <w:highlight w:val="none"/>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0F1E7BB9">
      <w:pPr>
        <w:keepNext/>
        <w:adjustRightInd w:val="0"/>
        <w:snapToGrid w:val="0"/>
        <w:spacing w:line="460" w:lineRule="exact"/>
        <w:ind w:firstLine="560" w:firstLineChars="200"/>
        <w:rPr>
          <w:rFonts w:hint="eastAsia" w:ascii="宋体" w:hAnsi="宋体" w:cs="宋体"/>
          <w:b/>
          <w:bCs/>
          <w:color w:val="auto"/>
          <w:kern w:val="0"/>
          <w:sz w:val="28"/>
          <w:szCs w:val="28"/>
          <w:highlight w:val="none"/>
        </w:rPr>
      </w:pPr>
      <w:bookmarkStart w:id="28" w:name="_Toc513029211"/>
      <w:bookmarkStart w:id="29" w:name="_Toc462564070"/>
      <w:bookmarkStart w:id="30" w:name="_Toc16938527"/>
      <w:bookmarkStart w:id="31" w:name="_Toc20823283"/>
      <w:r>
        <w:rPr>
          <w:rFonts w:hint="eastAsia" w:ascii="宋体" w:hAnsi="宋体" w:cs="宋体"/>
          <w:color w:val="auto"/>
          <w:kern w:val="0"/>
          <w:sz w:val="28"/>
          <w:szCs w:val="28"/>
          <w:highlight w:val="none"/>
        </w:rPr>
        <w:t>2.磋商文件的澄清</w:t>
      </w:r>
      <w:bookmarkEnd w:id="28"/>
      <w:bookmarkEnd w:id="29"/>
      <w:bookmarkEnd w:id="30"/>
      <w:bookmarkEnd w:id="31"/>
    </w:p>
    <w:p w14:paraId="1F7D1252">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bCs/>
          <w:color w:val="auto"/>
          <w:sz w:val="28"/>
          <w:szCs w:val="28"/>
          <w:highlight w:val="none"/>
        </w:rPr>
        <w:t>2.1</w:t>
      </w:r>
      <w:r>
        <w:rPr>
          <w:rFonts w:hint="eastAsia" w:ascii="宋体" w:hAnsi="宋体" w:cs="宋体"/>
          <w:color w:val="auto"/>
          <w:sz w:val="28"/>
          <w:szCs w:val="28"/>
          <w:highlight w:val="none"/>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1C348A6A">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2.2采购人视情组织答疑会</w:t>
      </w:r>
    </w:p>
    <w:p w14:paraId="26AEC7F2">
      <w:pPr>
        <w:keepNext/>
        <w:adjustRightInd w:val="0"/>
        <w:snapToGrid w:val="0"/>
        <w:spacing w:line="460" w:lineRule="exact"/>
        <w:ind w:firstLine="560" w:firstLineChars="200"/>
        <w:rPr>
          <w:rFonts w:hint="eastAsia" w:ascii="宋体" w:hAnsi="宋体" w:cs="宋体"/>
          <w:b/>
          <w:bCs/>
          <w:color w:val="auto"/>
          <w:kern w:val="0"/>
          <w:sz w:val="28"/>
          <w:szCs w:val="28"/>
          <w:highlight w:val="none"/>
        </w:rPr>
      </w:pPr>
      <w:bookmarkStart w:id="32" w:name="_Toc20823284"/>
      <w:bookmarkStart w:id="33" w:name="_Toc16938528"/>
      <w:bookmarkStart w:id="34" w:name="_Toc513029212"/>
      <w:bookmarkStart w:id="35" w:name="_Toc462564071"/>
      <w:r>
        <w:rPr>
          <w:rFonts w:hint="eastAsia" w:ascii="宋体" w:hAnsi="宋体" w:cs="宋体"/>
          <w:color w:val="auto"/>
          <w:kern w:val="0"/>
          <w:sz w:val="28"/>
          <w:szCs w:val="28"/>
          <w:highlight w:val="none"/>
        </w:rPr>
        <w:t>3.磋商文件的修改</w:t>
      </w:r>
      <w:bookmarkEnd w:id="32"/>
      <w:bookmarkEnd w:id="33"/>
      <w:bookmarkEnd w:id="34"/>
      <w:bookmarkEnd w:id="35"/>
    </w:p>
    <w:p w14:paraId="1A3954AD">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bCs/>
          <w:color w:val="auto"/>
          <w:sz w:val="28"/>
          <w:szCs w:val="28"/>
          <w:highlight w:val="none"/>
        </w:rPr>
        <w:t>3.1</w:t>
      </w:r>
      <w:r>
        <w:rPr>
          <w:rFonts w:hint="eastAsia" w:ascii="宋体" w:hAnsi="宋体" w:cs="宋体"/>
          <w:color w:val="auto"/>
          <w:sz w:val="28"/>
          <w:szCs w:val="28"/>
          <w:highlight w:val="none"/>
        </w:rPr>
        <w:t xml:space="preserve"> 在响应文件提交截止时间前，采购代理机构可以对磋商文件进行修改。</w:t>
      </w:r>
    </w:p>
    <w:p w14:paraId="24722872">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bCs/>
          <w:color w:val="auto"/>
          <w:sz w:val="28"/>
          <w:szCs w:val="28"/>
          <w:highlight w:val="none"/>
        </w:rPr>
        <w:t xml:space="preserve">3.2 </w:t>
      </w:r>
      <w:r>
        <w:rPr>
          <w:rFonts w:hint="eastAsia" w:ascii="宋体" w:hAnsi="宋体" w:cs="宋体"/>
          <w:color w:val="auto"/>
          <w:sz w:val="28"/>
          <w:szCs w:val="28"/>
          <w:highlight w:val="none"/>
        </w:rPr>
        <w:t>采购代理机构有权按照法定的要求推迟响应文件提交截止日期和磋商日期。</w:t>
      </w:r>
    </w:p>
    <w:p w14:paraId="4A866EB6">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bCs/>
          <w:color w:val="auto"/>
          <w:sz w:val="28"/>
          <w:szCs w:val="28"/>
          <w:highlight w:val="none"/>
        </w:rPr>
        <w:t xml:space="preserve">3.3 </w:t>
      </w:r>
      <w:r>
        <w:rPr>
          <w:rFonts w:hint="eastAsia" w:ascii="宋体" w:hAnsi="宋体" w:cs="宋体"/>
          <w:color w:val="auto"/>
          <w:sz w:val="28"/>
          <w:szCs w:val="28"/>
          <w:highlight w:val="none"/>
        </w:rPr>
        <w:t>磋商文件的修改将在南通市公安局网站公布，补充文件将作为磋商文件的组成部分，并对供应商具有约束力。</w:t>
      </w:r>
    </w:p>
    <w:p w14:paraId="22521908">
      <w:pPr>
        <w:keepNext/>
        <w:keepLines/>
        <w:adjustRightInd w:val="0"/>
        <w:snapToGrid w:val="0"/>
        <w:spacing w:line="460" w:lineRule="exact"/>
        <w:ind w:firstLine="562" w:firstLineChars="200"/>
        <w:outlineLvl w:val="1"/>
        <w:rPr>
          <w:rFonts w:hint="eastAsia" w:ascii="宋体" w:hAnsi="宋体" w:cs="宋体"/>
          <w:b/>
          <w:bCs/>
          <w:color w:val="auto"/>
          <w:kern w:val="0"/>
          <w:sz w:val="28"/>
          <w:szCs w:val="28"/>
          <w:highlight w:val="none"/>
        </w:rPr>
      </w:pPr>
      <w:bookmarkStart w:id="36" w:name="_Toc120614216"/>
      <w:bookmarkStart w:id="37" w:name="_Toc513029213"/>
      <w:bookmarkStart w:id="38" w:name="_Toc20823285"/>
      <w:bookmarkStart w:id="39" w:name="_Toc462564072"/>
      <w:bookmarkStart w:id="40" w:name="_Toc16938529"/>
      <w:r>
        <w:rPr>
          <w:rFonts w:hint="eastAsia" w:ascii="宋体" w:hAnsi="宋体" w:cs="宋体"/>
          <w:b/>
          <w:bCs/>
          <w:color w:val="auto"/>
          <w:kern w:val="0"/>
          <w:sz w:val="28"/>
          <w:szCs w:val="28"/>
          <w:highlight w:val="none"/>
        </w:rPr>
        <w:t>三、响应文件的编制</w:t>
      </w:r>
      <w:bookmarkEnd w:id="36"/>
      <w:bookmarkEnd w:id="37"/>
      <w:bookmarkEnd w:id="38"/>
      <w:bookmarkEnd w:id="39"/>
      <w:bookmarkEnd w:id="40"/>
    </w:p>
    <w:p w14:paraId="42970460">
      <w:pPr>
        <w:keepNext/>
        <w:adjustRightInd w:val="0"/>
        <w:snapToGrid w:val="0"/>
        <w:spacing w:line="460" w:lineRule="exact"/>
        <w:ind w:firstLine="560" w:firstLineChars="200"/>
        <w:rPr>
          <w:rFonts w:hint="eastAsia" w:ascii="宋体" w:hAnsi="宋体" w:cs="宋体"/>
          <w:bCs/>
          <w:color w:val="auto"/>
          <w:kern w:val="0"/>
          <w:sz w:val="28"/>
          <w:szCs w:val="28"/>
          <w:highlight w:val="none"/>
        </w:rPr>
      </w:pPr>
      <w:bookmarkStart w:id="41" w:name="_Toc513029214"/>
      <w:bookmarkStart w:id="42" w:name="_Toc462564073"/>
      <w:bookmarkStart w:id="43" w:name="_Toc16938530"/>
      <w:bookmarkStart w:id="44" w:name="_Toc20823286"/>
      <w:r>
        <w:rPr>
          <w:rFonts w:hint="eastAsia" w:ascii="宋体" w:hAnsi="宋体" w:cs="宋体"/>
          <w:color w:val="auto"/>
          <w:kern w:val="0"/>
          <w:sz w:val="28"/>
          <w:szCs w:val="28"/>
          <w:highlight w:val="none"/>
        </w:rPr>
        <w:t>1.响应文件的语言及度量衡单位</w:t>
      </w:r>
      <w:bookmarkEnd w:id="41"/>
      <w:bookmarkEnd w:id="42"/>
      <w:bookmarkEnd w:id="43"/>
      <w:bookmarkEnd w:id="44"/>
    </w:p>
    <w:p w14:paraId="368FA0C1">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bCs/>
          <w:color w:val="auto"/>
          <w:sz w:val="28"/>
          <w:szCs w:val="28"/>
          <w:highlight w:val="none"/>
        </w:rPr>
        <w:t>1.1</w:t>
      </w:r>
      <w:r>
        <w:rPr>
          <w:rFonts w:hint="eastAsia" w:ascii="宋体" w:hAnsi="宋体" w:cs="宋体"/>
          <w:color w:val="auto"/>
          <w:sz w:val="28"/>
          <w:szCs w:val="28"/>
          <w:highlight w:val="none"/>
        </w:rPr>
        <w:t>供应商提交的响应文件以及供应商与采购代理机构及采购人就有关磋商的所有来往通知、函件和文件均应使用</w:t>
      </w:r>
      <w:r>
        <w:rPr>
          <w:rFonts w:hint="eastAsia" w:ascii="宋体" w:hAnsi="宋体" w:cs="宋体"/>
          <w:bCs/>
          <w:color w:val="auto"/>
          <w:sz w:val="28"/>
          <w:szCs w:val="28"/>
          <w:highlight w:val="none"/>
        </w:rPr>
        <w:t>简体中文</w:t>
      </w:r>
      <w:r>
        <w:rPr>
          <w:rFonts w:hint="eastAsia" w:ascii="宋体" w:hAnsi="宋体" w:cs="宋体"/>
          <w:color w:val="auto"/>
          <w:sz w:val="28"/>
          <w:szCs w:val="28"/>
          <w:highlight w:val="none"/>
        </w:rPr>
        <w:t>。</w:t>
      </w:r>
    </w:p>
    <w:p w14:paraId="3F16E9B3">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bCs/>
          <w:color w:val="auto"/>
          <w:sz w:val="28"/>
          <w:szCs w:val="28"/>
          <w:highlight w:val="none"/>
        </w:rPr>
        <w:t>1.2</w:t>
      </w:r>
      <w:r>
        <w:rPr>
          <w:rFonts w:hint="eastAsia" w:ascii="宋体" w:hAnsi="宋体" w:cs="宋体"/>
          <w:color w:val="auto"/>
          <w:sz w:val="28"/>
          <w:szCs w:val="28"/>
          <w:highlight w:val="none"/>
        </w:rPr>
        <w:t xml:space="preserve"> 除技术性能另有规定外，响应文件所使用的度量衡单位，均须采用国家法定计量单位。</w:t>
      </w:r>
    </w:p>
    <w:p w14:paraId="6D104CD8">
      <w:pPr>
        <w:keepNext/>
        <w:adjustRightInd w:val="0"/>
        <w:snapToGrid w:val="0"/>
        <w:spacing w:line="460" w:lineRule="exact"/>
        <w:ind w:firstLine="560" w:firstLineChars="200"/>
        <w:rPr>
          <w:rFonts w:hint="eastAsia" w:ascii="宋体" w:hAnsi="宋体" w:cs="宋体"/>
          <w:b/>
          <w:bCs/>
          <w:color w:val="auto"/>
          <w:kern w:val="0"/>
          <w:sz w:val="28"/>
          <w:szCs w:val="28"/>
          <w:highlight w:val="none"/>
        </w:rPr>
      </w:pPr>
      <w:bookmarkStart w:id="45" w:name="_Toc20823287"/>
      <w:bookmarkStart w:id="46" w:name="_Toc462564074"/>
      <w:bookmarkStart w:id="47" w:name="_Toc16938531"/>
      <w:bookmarkStart w:id="48" w:name="_Toc513029215"/>
      <w:r>
        <w:rPr>
          <w:rFonts w:hint="eastAsia" w:ascii="宋体" w:hAnsi="宋体" w:cs="宋体"/>
          <w:color w:val="auto"/>
          <w:kern w:val="0"/>
          <w:sz w:val="28"/>
          <w:szCs w:val="28"/>
          <w:highlight w:val="none"/>
        </w:rPr>
        <w:t>2.响应文件构成</w:t>
      </w:r>
      <w:bookmarkEnd w:id="45"/>
      <w:bookmarkEnd w:id="46"/>
      <w:bookmarkEnd w:id="47"/>
      <w:bookmarkEnd w:id="48"/>
    </w:p>
    <w:p w14:paraId="2560EBFD">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bCs/>
          <w:color w:val="auto"/>
          <w:sz w:val="28"/>
          <w:szCs w:val="28"/>
          <w:highlight w:val="none"/>
        </w:rPr>
        <w:t>2.1</w:t>
      </w:r>
      <w:r>
        <w:rPr>
          <w:rFonts w:hint="eastAsia" w:ascii="宋体" w:hAnsi="宋体" w:cs="宋体"/>
          <w:color w:val="auto"/>
          <w:sz w:val="28"/>
          <w:szCs w:val="28"/>
          <w:highlight w:val="none"/>
        </w:rPr>
        <w:t xml:space="preserve"> 供应商编写的响应文件应包括资格审查文件、商务技术文件、价格文件。供应商按“第五部分 响应文件组成”要求编写响应文件。</w:t>
      </w:r>
    </w:p>
    <w:p w14:paraId="124A0395">
      <w:pPr>
        <w:keepNext/>
        <w:adjustRightInd w:val="0"/>
        <w:snapToGrid w:val="0"/>
        <w:spacing w:line="460" w:lineRule="exact"/>
        <w:ind w:firstLine="560" w:firstLineChars="200"/>
        <w:rPr>
          <w:rFonts w:hint="eastAsia" w:ascii="宋体" w:hAnsi="宋体" w:cs="宋体"/>
          <w:b/>
          <w:bCs/>
          <w:color w:val="auto"/>
          <w:kern w:val="0"/>
          <w:sz w:val="28"/>
          <w:szCs w:val="28"/>
          <w:highlight w:val="none"/>
        </w:rPr>
      </w:pPr>
      <w:bookmarkStart w:id="49" w:name="_Hlt26670360"/>
      <w:bookmarkEnd w:id="49"/>
      <w:bookmarkStart w:id="50" w:name="_Hlt26954838"/>
      <w:bookmarkEnd w:id="50"/>
      <w:bookmarkStart w:id="51" w:name="_Hlt26668975"/>
      <w:bookmarkEnd w:id="51"/>
      <w:bookmarkStart w:id="52" w:name="_Toc14577360"/>
      <w:bookmarkStart w:id="53" w:name="_Toc49090511"/>
      <w:r>
        <w:rPr>
          <w:rFonts w:hint="eastAsia" w:ascii="宋体" w:hAnsi="宋体" w:cs="宋体"/>
          <w:color w:val="auto"/>
          <w:kern w:val="0"/>
          <w:sz w:val="28"/>
          <w:szCs w:val="28"/>
          <w:highlight w:val="none"/>
        </w:rPr>
        <w:t>3.</w:t>
      </w:r>
      <w:bookmarkEnd w:id="52"/>
      <w:bookmarkEnd w:id="53"/>
      <w:r>
        <w:rPr>
          <w:rFonts w:hint="eastAsia" w:ascii="宋体" w:hAnsi="宋体" w:cs="宋体"/>
          <w:color w:val="auto"/>
          <w:kern w:val="0"/>
          <w:sz w:val="28"/>
          <w:szCs w:val="28"/>
          <w:highlight w:val="none"/>
        </w:rPr>
        <w:t>磋商响应有效期</w:t>
      </w:r>
    </w:p>
    <w:p w14:paraId="3C782739">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3.1磋商响应有效期为采购代理机构规定的响应文件</w:t>
      </w:r>
      <w:r>
        <w:rPr>
          <w:rFonts w:hint="eastAsia" w:ascii="宋体" w:hAnsi="宋体" w:cs="宋体"/>
          <w:color w:val="auto"/>
          <w:sz w:val="28"/>
          <w:szCs w:val="28"/>
          <w:highlight w:val="none"/>
        </w:rPr>
        <w:t>提交</w:t>
      </w:r>
      <w:r>
        <w:rPr>
          <w:rFonts w:hint="eastAsia" w:ascii="宋体" w:hAnsi="宋体" w:cs="宋体"/>
          <w:bCs/>
          <w:color w:val="auto"/>
          <w:sz w:val="28"/>
          <w:szCs w:val="28"/>
          <w:highlight w:val="none"/>
        </w:rPr>
        <w:t>截止时间后</w:t>
      </w:r>
      <w:r>
        <w:rPr>
          <w:rFonts w:hint="eastAsia" w:ascii="宋体" w:hAnsi="宋体" w:cs="宋体"/>
          <w:b/>
          <w:color w:val="auto"/>
          <w:sz w:val="28"/>
          <w:szCs w:val="28"/>
          <w:highlight w:val="none"/>
          <w:u w:val="single"/>
        </w:rPr>
        <w:t>六十（60）天</w:t>
      </w:r>
      <w:r>
        <w:rPr>
          <w:rFonts w:hint="eastAsia" w:ascii="宋体" w:hAnsi="宋体" w:cs="宋体"/>
          <w:bCs/>
          <w:color w:val="auto"/>
          <w:sz w:val="28"/>
          <w:szCs w:val="28"/>
          <w:highlight w:val="none"/>
        </w:rPr>
        <w:t>。磋商响应有效期比规定短的将被视为非实质性响应而予以拒绝。</w:t>
      </w:r>
    </w:p>
    <w:p w14:paraId="6885831B">
      <w:pPr>
        <w:keepNext/>
        <w:adjustRightInd w:val="0"/>
        <w:snapToGrid w:val="0"/>
        <w:spacing w:line="460" w:lineRule="exact"/>
        <w:ind w:firstLine="560" w:firstLineChars="200"/>
        <w:rPr>
          <w:rFonts w:hint="eastAsia" w:ascii="宋体" w:hAnsi="宋体" w:cs="宋体"/>
          <w:b/>
          <w:bCs/>
          <w:color w:val="auto"/>
          <w:kern w:val="0"/>
          <w:sz w:val="28"/>
          <w:szCs w:val="28"/>
          <w:highlight w:val="none"/>
        </w:rPr>
      </w:pPr>
      <w:r>
        <w:rPr>
          <w:rFonts w:hint="eastAsia" w:ascii="宋体" w:hAnsi="宋体" w:cs="宋体"/>
          <w:color w:val="auto"/>
          <w:kern w:val="0"/>
          <w:sz w:val="28"/>
          <w:szCs w:val="28"/>
          <w:highlight w:val="none"/>
        </w:rPr>
        <w:t>4. 磋商响应有效期的延长</w:t>
      </w:r>
    </w:p>
    <w:p w14:paraId="650394FF">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4.1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hint="eastAsia" w:ascii="宋体" w:hAnsi="宋体" w:cs="宋体"/>
          <w:color w:val="auto"/>
          <w:sz w:val="28"/>
          <w:szCs w:val="28"/>
          <w:highlight w:val="none"/>
        </w:rPr>
        <w:t>受磋商响应有效期约束的所有权利与义务均延长至新的有效期</w:t>
      </w:r>
      <w:r>
        <w:rPr>
          <w:rFonts w:hint="eastAsia" w:ascii="宋体" w:hAnsi="宋体" w:cs="宋体"/>
          <w:bCs/>
          <w:color w:val="auto"/>
          <w:sz w:val="28"/>
          <w:szCs w:val="28"/>
          <w:highlight w:val="none"/>
        </w:rPr>
        <w:t>。</w:t>
      </w:r>
    </w:p>
    <w:p w14:paraId="5577F3F2">
      <w:pPr>
        <w:keepNext/>
        <w:keepLines/>
        <w:adjustRightInd w:val="0"/>
        <w:snapToGrid w:val="0"/>
        <w:spacing w:line="460" w:lineRule="exact"/>
        <w:ind w:firstLine="562" w:firstLineChars="200"/>
        <w:outlineLvl w:val="1"/>
        <w:rPr>
          <w:rFonts w:hint="eastAsia" w:ascii="宋体" w:hAnsi="宋体" w:cs="宋体"/>
          <w:b/>
          <w:bCs/>
          <w:color w:val="auto"/>
          <w:kern w:val="0"/>
          <w:sz w:val="28"/>
          <w:szCs w:val="28"/>
          <w:highlight w:val="none"/>
        </w:rPr>
      </w:pPr>
      <w:bookmarkStart w:id="54" w:name="_Hlt26954739"/>
      <w:bookmarkEnd w:id="54"/>
      <w:bookmarkStart w:id="55" w:name="_Hlt26954852"/>
      <w:bookmarkEnd w:id="55"/>
      <w:bookmarkStart w:id="56" w:name="_Toc16938540"/>
      <w:bookmarkStart w:id="57" w:name="_Toc120614217"/>
      <w:bookmarkStart w:id="58" w:name="_Toc20823296"/>
      <w:bookmarkStart w:id="59" w:name="_Toc513029224"/>
      <w:r>
        <w:rPr>
          <w:rFonts w:hint="eastAsia" w:ascii="宋体" w:hAnsi="宋体" w:cs="宋体"/>
          <w:b/>
          <w:bCs/>
          <w:color w:val="auto"/>
          <w:kern w:val="0"/>
          <w:sz w:val="28"/>
          <w:szCs w:val="28"/>
          <w:highlight w:val="none"/>
        </w:rPr>
        <w:t>四、响应文件的提交</w:t>
      </w:r>
      <w:bookmarkEnd w:id="56"/>
      <w:bookmarkEnd w:id="57"/>
      <w:bookmarkEnd w:id="58"/>
      <w:bookmarkEnd w:id="59"/>
    </w:p>
    <w:p w14:paraId="75D667AC">
      <w:pPr>
        <w:adjustRightInd w:val="0"/>
        <w:snapToGrid w:val="0"/>
        <w:spacing w:line="460" w:lineRule="exact"/>
        <w:ind w:firstLine="560" w:firstLineChars="200"/>
        <w:rPr>
          <w:rFonts w:hint="eastAsia" w:ascii="宋体" w:hAnsi="宋体" w:cs="宋体"/>
          <w:color w:val="auto"/>
          <w:kern w:val="0"/>
          <w:sz w:val="28"/>
          <w:szCs w:val="28"/>
          <w:highlight w:val="none"/>
        </w:rPr>
      </w:pPr>
      <w:bookmarkStart w:id="60" w:name="_Toc20823298"/>
      <w:bookmarkStart w:id="61" w:name="_Toc16938542"/>
      <w:bookmarkStart w:id="62" w:name="_Toc513029226"/>
      <w:r>
        <w:rPr>
          <w:rFonts w:hint="eastAsia" w:ascii="宋体" w:hAnsi="宋体" w:cs="宋体"/>
          <w:color w:val="auto"/>
          <w:kern w:val="0"/>
          <w:sz w:val="28"/>
          <w:szCs w:val="28"/>
          <w:highlight w:val="none"/>
        </w:rPr>
        <w:t>1.响应文件的提交</w:t>
      </w:r>
    </w:p>
    <w:p w14:paraId="3D542CBE">
      <w:pPr>
        <w:adjustRightInd w:val="0"/>
        <w:snapToGrid w:val="0"/>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1.1纸质响应文件三部分内容【资格审查文件、商务技术文件、价格文件】须分别单独密封，并牢固装订成册，不得相互混淆，文件自编目录并连续标注页码，不得将内容拆开。价格文件不得出现于其他磋商文件中。</w:t>
      </w:r>
    </w:p>
    <w:p w14:paraId="61454738">
      <w:pPr>
        <w:adjustRightInd w:val="0"/>
        <w:snapToGrid w:val="0"/>
        <w:spacing w:line="460" w:lineRule="exact"/>
        <w:ind w:firstLine="560" w:firstLineChars="200"/>
        <w:rPr>
          <w:rFonts w:hint="eastAsia" w:ascii="宋体" w:hAnsi="宋体" w:cs="宋体"/>
          <w:b/>
          <w:bCs/>
          <w:color w:val="auto"/>
          <w:kern w:val="0"/>
          <w:sz w:val="28"/>
          <w:szCs w:val="28"/>
          <w:highlight w:val="none"/>
        </w:rPr>
      </w:pPr>
      <w:r>
        <w:rPr>
          <w:rFonts w:hint="eastAsia" w:ascii="宋体" w:hAnsi="宋体" w:cs="宋体"/>
          <w:color w:val="auto"/>
          <w:kern w:val="0"/>
          <w:sz w:val="28"/>
          <w:szCs w:val="28"/>
          <w:highlight w:val="none"/>
        </w:rPr>
        <w:t>1.2纸质响应文件须提供“正本一份、副本一份”，可以合并在一个密封袋或密封箱内提交,也可以分别密封提交；如有A3大小的图纸类，可单独密封。密封完好以不泄露投标文件内容为主要判断依据</w:t>
      </w:r>
      <w:r>
        <w:rPr>
          <w:rFonts w:hint="eastAsia" w:ascii="宋体" w:hAnsi="宋体" w:cs="宋体"/>
          <w:b/>
          <w:bCs/>
          <w:color w:val="auto"/>
          <w:kern w:val="0"/>
          <w:sz w:val="28"/>
          <w:szCs w:val="28"/>
          <w:highlight w:val="none"/>
        </w:rPr>
        <w:t>（是否严格按照采购文件装袋提交不作为无效标判定依据）。</w:t>
      </w:r>
    </w:p>
    <w:p w14:paraId="39CA1326">
      <w:pPr>
        <w:adjustRightInd w:val="0"/>
        <w:snapToGrid w:val="0"/>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1.3纸质响应文件须采用A4纸（图纸等除外）打印并由法定代表人或授权人签字并加盖单位印章。文件内容中不得行间插字、涂改、增删；如修补错漏处，须由响应文件签署人签字并加盖公章。</w:t>
      </w:r>
    </w:p>
    <w:p w14:paraId="184D708C">
      <w:pPr>
        <w:adjustRightInd w:val="0"/>
        <w:snapToGrid w:val="0"/>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1.4提交电子响应文件一份，电子响应文件的内容为磋商响应文件（含资格审查文件、商务技术文件、价格文件）的打印盖章或电子签章后的扫描件，采取U盘方式单独密封提交。</w:t>
      </w:r>
    </w:p>
    <w:p w14:paraId="6DE3793B">
      <w:pPr>
        <w:adjustRightInd w:val="0"/>
        <w:snapToGrid w:val="0"/>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1.5递交时间：供应商须在规定的响应文件接收截止时间前送达指定地点。供应商提交磋商文件，即视为已响应参加磋商活动。</w:t>
      </w:r>
    </w:p>
    <w:p w14:paraId="4AAECC7C">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color w:val="auto"/>
          <w:kern w:val="0"/>
          <w:sz w:val="28"/>
          <w:szCs w:val="28"/>
          <w:highlight w:val="none"/>
        </w:rPr>
        <w:t>友情提醒：代理机构将拒绝接收未按照磋商文件要求密封的响应文件，拒绝接收在响应文件接收截止时间后递交的响应文件。</w:t>
      </w:r>
    </w:p>
    <w:p w14:paraId="2EE79B39">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采购人、采购代理机构对投标（响应）文件的格式、形式要求，结合财政部《关于促进政府采购公平竞争优化营商环境的通知》（财库〔2019〕38 号）相关规定实施。</w:t>
      </w:r>
    </w:p>
    <w:p w14:paraId="063A9BF3">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2.响应文件截止日期</w:t>
      </w:r>
      <w:bookmarkEnd w:id="60"/>
      <w:bookmarkEnd w:id="61"/>
      <w:bookmarkEnd w:id="62"/>
    </w:p>
    <w:p w14:paraId="117D5C46">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2.1 供应商提交响应文件的时间不得迟于磋商公告中规定的响应文件提交截止时间。</w:t>
      </w:r>
    </w:p>
    <w:p w14:paraId="1149963D">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供应商应充分考虑到交通路况、停车等风险因素，如因供应商自身原因造成的磋商响应文件提交不成功由供应商自行承担全部责任。</w:t>
      </w:r>
    </w:p>
    <w:p w14:paraId="4F156D76">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color w:val="auto"/>
          <w:sz w:val="28"/>
          <w:szCs w:val="28"/>
          <w:highlight w:val="none"/>
        </w:rPr>
        <w:t>2.2</w:t>
      </w:r>
      <w:r>
        <w:rPr>
          <w:rFonts w:hint="eastAsia" w:ascii="宋体" w:hAnsi="宋体" w:cs="宋体"/>
          <w:bCs/>
          <w:color w:val="auto"/>
          <w:sz w:val="28"/>
          <w:szCs w:val="28"/>
          <w:highlight w:val="none"/>
        </w:rPr>
        <w:t xml:space="preserve"> 采购代理机构可以按照规定，通过修改响应文件酌情延长响应文件提交截止日期，在此情况下，供应商的所有权利和义务以及供应商受制的截止日期均应以延长后新的截止日期为准。</w:t>
      </w:r>
    </w:p>
    <w:p w14:paraId="041536C4">
      <w:pPr>
        <w:keepNext/>
        <w:adjustRightInd w:val="0"/>
        <w:snapToGrid w:val="0"/>
        <w:spacing w:line="460" w:lineRule="exact"/>
        <w:ind w:firstLine="560" w:firstLineChars="200"/>
        <w:rPr>
          <w:rFonts w:hint="eastAsia" w:ascii="宋体" w:hAnsi="宋体" w:cs="宋体"/>
          <w:b/>
          <w:bCs/>
          <w:color w:val="auto"/>
          <w:kern w:val="0"/>
          <w:sz w:val="28"/>
          <w:szCs w:val="28"/>
          <w:highlight w:val="none"/>
        </w:rPr>
      </w:pPr>
      <w:bookmarkStart w:id="63" w:name="_Toc20823299"/>
      <w:bookmarkStart w:id="64" w:name="_Toc513029227"/>
      <w:bookmarkStart w:id="65" w:name="_Toc16938543"/>
      <w:r>
        <w:rPr>
          <w:rFonts w:hint="eastAsia" w:ascii="宋体" w:hAnsi="宋体" w:cs="宋体"/>
          <w:color w:val="auto"/>
          <w:kern w:val="0"/>
          <w:sz w:val="28"/>
          <w:szCs w:val="28"/>
          <w:highlight w:val="none"/>
        </w:rPr>
        <w:t>3.响应文件</w:t>
      </w:r>
      <w:bookmarkEnd w:id="63"/>
      <w:bookmarkEnd w:id="64"/>
      <w:bookmarkEnd w:id="65"/>
      <w:r>
        <w:rPr>
          <w:rFonts w:hint="eastAsia" w:ascii="宋体" w:hAnsi="宋体" w:cs="宋体"/>
          <w:color w:val="auto"/>
          <w:kern w:val="0"/>
          <w:sz w:val="28"/>
          <w:szCs w:val="28"/>
          <w:highlight w:val="none"/>
        </w:rPr>
        <w:t>的拒收</w:t>
      </w:r>
    </w:p>
    <w:p w14:paraId="3CE2AA16">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3.1 采购代理机构拒绝接收在其规定的响应文件提交截止时间后提交的任何响应文件。</w:t>
      </w:r>
    </w:p>
    <w:p w14:paraId="5EA3E043">
      <w:pPr>
        <w:keepNext/>
        <w:adjustRightInd w:val="0"/>
        <w:snapToGrid w:val="0"/>
        <w:spacing w:line="460" w:lineRule="exact"/>
        <w:ind w:firstLine="560" w:firstLineChars="200"/>
        <w:rPr>
          <w:rFonts w:hint="eastAsia" w:ascii="宋体" w:hAnsi="宋体" w:cs="宋体"/>
          <w:b/>
          <w:bCs/>
          <w:color w:val="auto"/>
          <w:kern w:val="0"/>
          <w:sz w:val="28"/>
          <w:szCs w:val="28"/>
          <w:highlight w:val="none"/>
        </w:rPr>
      </w:pPr>
      <w:bookmarkStart w:id="66" w:name="_Toc20823300"/>
      <w:bookmarkStart w:id="67" w:name="_Toc16938544"/>
      <w:bookmarkStart w:id="68" w:name="_Toc513029228"/>
      <w:r>
        <w:rPr>
          <w:rFonts w:hint="eastAsia" w:ascii="宋体" w:hAnsi="宋体" w:cs="宋体"/>
          <w:color w:val="auto"/>
          <w:kern w:val="0"/>
          <w:sz w:val="28"/>
          <w:szCs w:val="28"/>
          <w:highlight w:val="none"/>
        </w:rPr>
        <w:t>4. 响应文件的撤回和修改</w:t>
      </w:r>
      <w:bookmarkEnd w:id="66"/>
      <w:bookmarkEnd w:id="67"/>
      <w:bookmarkEnd w:id="68"/>
    </w:p>
    <w:p w14:paraId="4FDF551D">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4.1 响应文件的撤回</w:t>
      </w:r>
    </w:p>
    <w:p w14:paraId="45D10D28">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4.1.1 响应文件的撤回</w:t>
      </w:r>
    </w:p>
    <w:p w14:paraId="7FF28647">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供应商可在响应文件提交截止时间前，书面撤回其磋商响应文件。</w:t>
      </w:r>
    </w:p>
    <w:p w14:paraId="16164E54">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4.1.2 供应商撤回磋商响应文件，则认为其不再参与本项目磋商活动。</w:t>
      </w:r>
    </w:p>
    <w:p w14:paraId="70C79BCB">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4.2 响应文件的修改</w:t>
      </w:r>
    </w:p>
    <w:p w14:paraId="34B0AC30">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在响应文件提交截止时间之后，供应商不得再对其提交的响应文件进行修改。</w:t>
      </w:r>
    </w:p>
    <w:p w14:paraId="78CA8793">
      <w:pPr>
        <w:keepNext/>
        <w:keepLines/>
        <w:adjustRightInd w:val="0"/>
        <w:snapToGrid w:val="0"/>
        <w:spacing w:line="460" w:lineRule="exact"/>
        <w:ind w:firstLine="562" w:firstLineChars="200"/>
        <w:outlineLvl w:val="1"/>
        <w:rPr>
          <w:rFonts w:hint="eastAsia" w:ascii="宋体" w:hAnsi="宋体" w:cs="宋体"/>
          <w:b/>
          <w:bCs/>
          <w:color w:val="auto"/>
          <w:kern w:val="0"/>
          <w:sz w:val="28"/>
          <w:szCs w:val="28"/>
          <w:highlight w:val="none"/>
        </w:rPr>
      </w:pPr>
      <w:bookmarkStart w:id="69" w:name="_Toc120614218"/>
      <w:bookmarkStart w:id="70" w:name="_Toc20823301"/>
      <w:bookmarkStart w:id="71" w:name="_Toc16938545"/>
      <w:bookmarkStart w:id="72" w:name="_Toc513029229"/>
      <w:r>
        <w:rPr>
          <w:rFonts w:hint="eastAsia" w:ascii="宋体" w:hAnsi="宋体" w:cs="宋体"/>
          <w:b/>
          <w:bCs/>
          <w:color w:val="auto"/>
          <w:kern w:val="0"/>
          <w:sz w:val="28"/>
          <w:szCs w:val="28"/>
          <w:highlight w:val="none"/>
        </w:rPr>
        <w:t>五</w:t>
      </w:r>
      <w:bookmarkEnd w:id="69"/>
      <w:bookmarkEnd w:id="70"/>
      <w:bookmarkEnd w:id="71"/>
      <w:bookmarkEnd w:id="72"/>
      <w:bookmarkStart w:id="73" w:name="_Toc513029230"/>
      <w:bookmarkStart w:id="74" w:name="_Toc20823302"/>
      <w:bookmarkStart w:id="75" w:name="_Toc16938546"/>
      <w:r>
        <w:rPr>
          <w:rFonts w:hint="eastAsia" w:ascii="宋体" w:hAnsi="宋体" w:cs="宋体"/>
          <w:b/>
          <w:bCs/>
          <w:color w:val="auto"/>
          <w:kern w:val="0"/>
          <w:sz w:val="28"/>
          <w:szCs w:val="28"/>
          <w:highlight w:val="none"/>
        </w:rPr>
        <w:t>、磋商与评审</w:t>
      </w:r>
    </w:p>
    <w:p w14:paraId="0CBFFFF3">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1.磋商仪式</w:t>
      </w:r>
    </w:p>
    <w:p w14:paraId="3CCAD655">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1.1采购代理机构将在磋商公告中规定的时间和地点组织磋商开始仪式。供应商应当在磋商公告中规定的时间和地点参加磋商活动。</w:t>
      </w:r>
    </w:p>
    <w:p w14:paraId="4C8D588A">
      <w:pPr>
        <w:adjustRightInd w:val="0"/>
        <w:snapToGrid w:val="0"/>
        <w:spacing w:line="460" w:lineRule="exact"/>
        <w:ind w:firstLine="560" w:firstLineChars="200"/>
        <w:rPr>
          <w:rFonts w:hint="eastAsia" w:ascii="宋体" w:hAnsi="宋体" w:cs="宋体"/>
          <w:b/>
          <w:color w:val="auto"/>
          <w:sz w:val="28"/>
          <w:szCs w:val="28"/>
          <w:highlight w:val="none"/>
        </w:rPr>
      </w:pPr>
      <w:r>
        <w:rPr>
          <w:rFonts w:hint="eastAsia" w:ascii="宋体" w:hAnsi="宋体" w:cs="宋体"/>
          <w:bCs/>
          <w:color w:val="auto"/>
          <w:sz w:val="28"/>
          <w:szCs w:val="28"/>
          <w:highlight w:val="none"/>
        </w:rPr>
        <w:t>1.2 磋商活动的文件密封性检查工作</w:t>
      </w:r>
      <w:r>
        <w:rPr>
          <w:rFonts w:hint="eastAsia" w:ascii="宋体" w:hAnsi="宋体" w:cs="宋体"/>
          <w:color w:val="auto"/>
          <w:sz w:val="28"/>
          <w:szCs w:val="28"/>
          <w:highlight w:val="none"/>
        </w:rPr>
        <w:t>由采购代理机构组织。</w:t>
      </w:r>
    </w:p>
    <w:p w14:paraId="658A81EB">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bCs/>
          <w:color w:val="auto"/>
          <w:sz w:val="28"/>
          <w:szCs w:val="28"/>
          <w:highlight w:val="none"/>
        </w:rPr>
        <w:t>1.3供应商在磋商过程中涉及到的磋商文件密封性检查、磋商结果确认等工作，按照采购代理机构指引进行。</w:t>
      </w:r>
    </w:p>
    <w:p w14:paraId="0DA701C5">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2.磋商小组</w:t>
      </w:r>
    </w:p>
    <w:p w14:paraId="5AFB9D89">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2.1磋商开始仪式结束后，采购代理机构将立即组织磋商小组进行评审。</w:t>
      </w:r>
    </w:p>
    <w:p w14:paraId="01D768BD">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2.2磋商小组由采购人代表和评审专家共3人以上单数组成，其中评审专家人数不得少于磋商小组成员总数的2/3。采购人不得以评审专家身份参加本部门或本单位采购项目的评审。采购代理机构人员不得参加本机构代理的采购项目的评审。</w:t>
      </w:r>
    </w:p>
    <w:p w14:paraId="3FD9D794">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2.3超过公开招标限额标准的项目，磋商小组应当由5人以上单数组成。</w:t>
      </w:r>
    </w:p>
    <w:p w14:paraId="23301619">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2.4采用磋商的采购项目，评审专家应当从政府采购评审专家库内相关专业的专家名单中随机抽取，或者从代理机构的政府采购专家资源库中随机抽取。市场竞争不充分的科研项目、需要扶持的科技成果转化项目，以及情况特殊、通过随机方式难以确定合适的评审专家的项目，经主管预算单位同意，可以自行选定评审专家。技术复杂、专业性强的磋商采购项目，评审专家中应当包含1名法律专家。</w:t>
      </w:r>
    </w:p>
    <w:p w14:paraId="06CC7296">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2.5磋商小组独立工作，负责评审所有响应文件并确定成交候选人。</w:t>
      </w:r>
    </w:p>
    <w:p w14:paraId="6C548C20">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 磋商评审过程的保密与公正</w:t>
      </w:r>
    </w:p>
    <w:p w14:paraId="0290AB34">
      <w:pPr>
        <w:tabs>
          <w:tab w:val="left" w:pos="900"/>
        </w:tabs>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3.1磋商小组、采购人和采购代理机构工作人员、相关监督人员等与评审工作有关的人员，对评审情况以及在评审过程中获悉的国家秘密、商业秘密负有保密责任。</w:t>
      </w:r>
    </w:p>
    <w:p w14:paraId="03049BDF">
      <w:pPr>
        <w:tabs>
          <w:tab w:val="left" w:pos="900"/>
        </w:tabs>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3.2在磋商评审过程中，磋商供应商不得以任何行为影响磋商评审过程，否则其响应文件将被作为无效响应文件。</w:t>
      </w:r>
    </w:p>
    <w:p w14:paraId="62DC7368">
      <w:pPr>
        <w:tabs>
          <w:tab w:val="left" w:pos="900"/>
        </w:tabs>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E4452DD">
      <w:pPr>
        <w:tabs>
          <w:tab w:val="left" w:pos="900"/>
        </w:tabs>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color w:val="auto"/>
          <w:sz w:val="28"/>
          <w:szCs w:val="28"/>
          <w:highlight w:val="none"/>
        </w:rPr>
        <w:t>3.4</w:t>
      </w:r>
      <w:r>
        <w:rPr>
          <w:rFonts w:hint="eastAsia" w:ascii="宋体" w:hAnsi="宋体" w:cs="宋体"/>
          <w:bCs/>
          <w:color w:val="auto"/>
          <w:sz w:val="28"/>
          <w:szCs w:val="28"/>
          <w:highlight w:val="none"/>
        </w:rPr>
        <w:t>评审开始后，直至向成交供应商授予合同时止，凡是与审查、澄清、评价和比较响应的有关资料以及授标建议等，采购人、磋商小组、采购代理机构均不得向供应商或与评标无关的其他人员透露。</w:t>
      </w:r>
    </w:p>
    <w:p w14:paraId="5E2BC4AC">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3.5在评审期间，采购代理机构将设专门人员与供应商联系。</w:t>
      </w:r>
    </w:p>
    <w:p w14:paraId="5024D2E6">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3.6采购代理机构和评审小组不向未成交的供应商解释未成交原因，也不公布评审过程中的相关细节。</w:t>
      </w:r>
    </w:p>
    <w:p w14:paraId="2FBBA848">
      <w:pPr>
        <w:tabs>
          <w:tab w:val="left" w:pos="900"/>
        </w:tabs>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4.评审过程的澄清</w:t>
      </w:r>
    </w:p>
    <w:p w14:paraId="4D33AD1E">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4.1评审期间，为有助于对响应文件的审查、评价和比较，磋商小组有权要求响应人对其响应文件进行澄清，但并非对每个供应商都作澄清要求。</w:t>
      </w:r>
    </w:p>
    <w:p w14:paraId="5285455E">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4.2接到磋商小组澄清要求的供应商应按磋商小组规定的时间和格式做出澄清，澄清的内容作为响应文件的补充部分，但实质性的内容不得做任何更改。</w:t>
      </w:r>
    </w:p>
    <w:p w14:paraId="5DC30F72">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color w:val="auto"/>
          <w:sz w:val="28"/>
          <w:szCs w:val="28"/>
          <w:highlight w:val="none"/>
        </w:rPr>
        <w:t>4.3 接到磋商小组澄清要求的供应商如未按规定做出澄清，其风</w:t>
      </w:r>
      <w:r>
        <w:rPr>
          <w:rFonts w:hint="eastAsia" w:ascii="宋体" w:hAnsi="宋体" w:cs="宋体"/>
          <w:bCs/>
          <w:color w:val="auto"/>
          <w:sz w:val="28"/>
          <w:szCs w:val="28"/>
          <w:highlight w:val="none"/>
        </w:rPr>
        <w:t>险由供应商自行承担。</w:t>
      </w:r>
    </w:p>
    <w:p w14:paraId="1F3482A0">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5.对响应文件的初审</w:t>
      </w:r>
    </w:p>
    <w:p w14:paraId="3C83F16B">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5.1响应文件初审分为资格性审查和符合性审查。</w:t>
      </w:r>
    </w:p>
    <w:p w14:paraId="2CD15FAD">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5.1.1资格性检查：依据法律法规和磋商文件的规定，由采购人对响应文件中的资格审查文件进行审查。</w:t>
      </w:r>
    </w:p>
    <w:p w14:paraId="77504676">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5.1.2符合性审查：依据磋商文件的规定，由磋商小组从响应文件的有效性、完整性和对磋商文件的响应程度进行审查，以确定是否对磋商文件的实质性要求作出响应。</w:t>
      </w:r>
    </w:p>
    <w:p w14:paraId="5DAC1C2B">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5.1.3未通过资格审查或符合性审查的供应商人，采购代理机构将告知未通过资格审查或符合性审查的原因，并记录存档。</w:t>
      </w:r>
    </w:p>
    <w:p w14:paraId="2EC18ED7">
      <w:pPr>
        <w:tabs>
          <w:tab w:val="left" w:pos="900"/>
        </w:tabs>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14:paraId="52919330">
      <w:pPr>
        <w:tabs>
          <w:tab w:val="left" w:pos="900"/>
        </w:tabs>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35C88469">
      <w:pPr>
        <w:tabs>
          <w:tab w:val="left" w:pos="900"/>
        </w:tabs>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5.3如果响应文件实质上没有响应磋商文件的要求，磋商小组将予以拒绝，供应商不得通过修改或撤销不合要求的偏离或保留而使其响应文件成为实质性响应的文件。</w:t>
      </w:r>
    </w:p>
    <w:p w14:paraId="688C802A">
      <w:pPr>
        <w:tabs>
          <w:tab w:val="left" w:pos="900"/>
        </w:tabs>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5.4磋商小组将对确定为实质性响应的文件进行进一步审核，看其是否有计算上或累加上的算术错误，修正错误的原则如下：</w:t>
      </w:r>
    </w:p>
    <w:p w14:paraId="711DCB28">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（1）响应文件中</w:t>
      </w:r>
      <w:r>
        <w:rPr>
          <w:rFonts w:hint="eastAsia" w:ascii="宋体" w:hAnsi="宋体" w:cs="宋体"/>
          <w:color w:val="auto"/>
          <w:kern w:val="0"/>
          <w:sz w:val="28"/>
          <w:szCs w:val="28"/>
          <w:highlight w:val="none"/>
        </w:rPr>
        <w:t>报价总表</w:t>
      </w:r>
      <w:r>
        <w:rPr>
          <w:rFonts w:hint="eastAsia" w:ascii="宋体" w:hAnsi="宋体" w:cs="宋体"/>
          <w:bCs/>
          <w:color w:val="auto"/>
          <w:sz w:val="28"/>
          <w:szCs w:val="28"/>
          <w:highlight w:val="none"/>
        </w:rPr>
        <w:t>内容与响应文件中相应内容不一致的，以</w:t>
      </w:r>
      <w:r>
        <w:rPr>
          <w:rFonts w:hint="eastAsia" w:ascii="宋体" w:hAnsi="宋体" w:cs="宋体"/>
          <w:color w:val="auto"/>
          <w:kern w:val="0"/>
          <w:sz w:val="28"/>
          <w:szCs w:val="28"/>
          <w:highlight w:val="none"/>
        </w:rPr>
        <w:t>报价总表</w:t>
      </w:r>
      <w:r>
        <w:rPr>
          <w:rFonts w:hint="eastAsia" w:ascii="宋体" w:hAnsi="宋体" w:cs="宋体"/>
          <w:bCs/>
          <w:color w:val="auto"/>
          <w:sz w:val="28"/>
          <w:szCs w:val="28"/>
          <w:highlight w:val="none"/>
        </w:rPr>
        <w:t>为准。</w:t>
      </w:r>
    </w:p>
    <w:p w14:paraId="1F07C00F">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（2）大写金额和小写金额不一致的，以大写金额为准。</w:t>
      </w:r>
    </w:p>
    <w:p w14:paraId="075FC31D">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（3）单价金额小数点或者百分比有明显错位的，以</w:t>
      </w:r>
      <w:r>
        <w:rPr>
          <w:rFonts w:hint="eastAsia" w:ascii="宋体" w:hAnsi="宋体" w:cs="宋体"/>
          <w:color w:val="auto"/>
          <w:kern w:val="0"/>
          <w:sz w:val="28"/>
          <w:szCs w:val="28"/>
          <w:highlight w:val="none"/>
        </w:rPr>
        <w:t>报价总表</w:t>
      </w:r>
      <w:r>
        <w:rPr>
          <w:rFonts w:hint="eastAsia" w:ascii="宋体" w:hAnsi="宋体" w:cs="宋体"/>
          <w:bCs/>
          <w:color w:val="auto"/>
          <w:sz w:val="28"/>
          <w:szCs w:val="28"/>
          <w:highlight w:val="none"/>
        </w:rPr>
        <w:t>的总价为准，并修改单价。</w:t>
      </w:r>
    </w:p>
    <w:p w14:paraId="7FCCE3D5">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（4）总价金额与按单价汇总金额不一致的，以单价金额计算结果为准。</w:t>
      </w:r>
    </w:p>
    <w:p w14:paraId="724D5A56">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同时出现两种以上错误的，按照前款规定的顺序修正。</w:t>
      </w:r>
    </w:p>
    <w:p w14:paraId="1C8F8E1B">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color w:val="auto"/>
          <w:sz w:val="28"/>
          <w:szCs w:val="28"/>
          <w:highlight w:val="none"/>
        </w:rPr>
        <w:t>5</w:t>
      </w:r>
      <w:r>
        <w:rPr>
          <w:rFonts w:hint="eastAsia" w:ascii="宋体" w:hAnsi="宋体" w:cs="宋体"/>
          <w:bCs/>
          <w:color w:val="auto"/>
          <w:sz w:val="28"/>
          <w:szCs w:val="28"/>
          <w:highlight w:val="none"/>
        </w:rPr>
        <w:t>.5磋商小组将按上述修正错误的方法调整响应文件中的报价，并告知供应商，调整后的价格应对供应商具有约束力。如果供应商不接受修正后的价格，则其磋商活动将被拒绝。</w:t>
      </w:r>
    </w:p>
    <w:p w14:paraId="4A4B54D6">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5.6异常低价审查</w:t>
      </w:r>
    </w:p>
    <w:p w14:paraId="470263F8">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5.6.1根据省财政厅《关于推动解决政府采购异常低价问题相关工作的通知》（苏财购〔2025〕62号）要求，评审过程中出现下列情形之一的，评审委员会应当启动异常低价投标（响应）审查程序：</w:t>
      </w:r>
    </w:p>
    <w:p w14:paraId="41C1ECD9">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（1）投标(响应)报价低于采购项目预算50%的，即投标(响应)报价&lt;采购项目预算×50%;</w:t>
      </w:r>
    </w:p>
    <w:p w14:paraId="47A80CCF">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（2）投标(响应)报价低于采购项目最高限价45%的，即投标(响应)报价&lt;采购项目最高限价×45%;</w:t>
      </w:r>
    </w:p>
    <w:p w14:paraId="15004216">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（3）评审委员会认定的供应商报价过低、有可能影响产品质量或者不能诚信履约的其他情形。</w:t>
      </w:r>
    </w:p>
    <w:p w14:paraId="45F3F426">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5.6.2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AEA2B73">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5.7磋商小组将允许修正响应文件中不构成重大偏离的、微小的、非正规的、不一致的或不规则的地方，但这些修改不能影响任何供应商相应的名次排列。</w:t>
      </w:r>
    </w:p>
    <w:p w14:paraId="4491A5DB">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5.8</w:t>
      </w:r>
      <w:r>
        <w:rPr>
          <w:rFonts w:hint="eastAsia" w:ascii="宋体" w:hAnsi="宋体" w:cs="宋体"/>
          <w:color w:val="auto"/>
          <w:sz w:val="28"/>
          <w:szCs w:val="28"/>
          <w:highlight w:val="none"/>
        </w:rPr>
        <w:t>供应商在评审全过程中应保持通讯畅通，并安排专人与采购代理机构及磋商小组联系（适用于不见面磋商模式）。</w:t>
      </w:r>
    </w:p>
    <w:p w14:paraId="22949C8D">
      <w:pPr>
        <w:tabs>
          <w:tab w:val="left" w:pos="6555"/>
          <w:tab w:val="right" w:pos="8306"/>
        </w:tabs>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6.被认定为未实质性响应磋商文件的响应文件的情形。</w:t>
      </w:r>
    </w:p>
    <w:p w14:paraId="3A468678">
      <w:pPr>
        <w:tabs>
          <w:tab w:val="left" w:pos="6555"/>
          <w:tab w:val="right" w:pos="8306"/>
        </w:tabs>
        <w:adjustRightInd w:val="0"/>
        <w:snapToGrid w:val="0"/>
        <w:spacing w:line="460" w:lineRule="exact"/>
        <w:ind w:firstLine="560" w:firstLineChars="200"/>
        <w:rPr>
          <w:rFonts w:hint="eastAsia" w:ascii="宋体" w:hAnsi="宋体" w:cs="宋体"/>
          <w:b/>
          <w:color w:val="auto"/>
          <w:sz w:val="28"/>
          <w:szCs w:val="28"/>
          <w:highlight w:val="none"/>
        </w:rPr>
      </w:pPr>
      <w:r>
        <w:rPr>
          <w:rFonts w:hint="eastAsia" w:ascii="宋体" w:hAnsi="宋体" w:cs="宋体"/>
          <w:bCs/>
          <w:color w:val="auto"/>
          <w:sz w:val="28"/>
          <w:szCs w:val="28"/>
          <w:highlight w:val="none"/>
        </w:rPr>
        <w:t>6.1出现下列情形之一的，作无效响应处理。</w:t>
      </w:r>
      <w:r>
        <w:rPr>
          <w:rFonts w:hint="eastAsia" w:ascii="宋体" w:hAnsi="宋体" w:cs="宋体"/>
          <w:bCs/>
          <w:color w:val="auto"/>
          <w:sz w:val="28"/>
          <w:szCs w:val="28"/>
          <w:highlight w:val="none"/>
        </w:rPr>
        <w:tab/>
      </w:r>
      <w:r>
        <w:rPr>
          <w:rFonts w:hint="eastAsia" w:ascii="宋体" w:hAnsi="宋体" w:cs="宋体"/>
          <w:b/>
          <w:color w:val="auto"/>
          <w:sz w:val="28"/>
          <w:szCs w:val="28"/>
          <w:highlight w:val="none"/>
        </w:rPr>
        <w:tab/>
      </w:r>
    </w:p>
    <w:p w14:paraId="3EA17ABE">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6.1.1供应商在规定的时间内未成功提交磋商响应文件的。</w:t>
      </w:r>
    </w:p>
    <w:p w14:paraId="53EE99FF">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6.1.2未完整提交响应文件的。</w:t>
      </w:r>
    </w:p>
    <w:p w14:paraId="0396B6B7">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6.1.3同一供应商提交两个（含两个）以上不同的响应报价的。</w:t>
      </w:r>
    </w:p>
    <w:p w14:paraId="47EC2D3F">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6.1.4不具备磋商文件中规定的资格要求的。 </w:t>
      </w:r>
    </w:p>
    <w:p w14:paraId="4A90AE84">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6.1.5响应报价超过了采购预算或最高限价的。 </w:t>
      </w:r>
    </w:p>
    <w:p w14:paraId="2B83D59F">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6.1.6未通过符合性检查的。</w:t>
      </w:r>
    </w:p>
    <w:p w14:paraId="7BA6FC2A">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6.1.7不符合法律、法规和磋商文件中规定的其他实质性要求的。</w:t>
      </w:r>
    </w:p>
    <w:p w14:paraId="5024DB6E">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3102F4B0">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6.1.9 响应文件含有采购人不能接受的附加条件的。</w:t>
      </w:r>
    </w:p>
    <w:p w14:paraId="5971C2BA">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14:paraId="7C483BA6">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6.1.11启动异常低价响应审查后，供应商不提供书面说明、证明材料，或者提供的书面说明、证明材料不能证明其报价合理性的。</w:t>
      </w:r>
    </w:p>
    <w:p w14:paraId="7A254696">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6.1.12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0311EF4B">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6.1.13响应文件未按照采购文件要求盖章、密封的。</w:t>
      </w:r>
    </w:p>
    <w:p w14:paraId="6215BB07">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6.1.14供应商的商务技术部分得分相差悬殊，评标委员会认为得分畸低者没有实质性响应的。</w:t>
      </w:r>
    </w:p>
    <w:p w14:paraId="76B4F0E1">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6.1.15其他法律、法规及本磋商文件规定的属无效响应的情形。</w:t>
      </w:r>
    </w:p>
    <w:p w14:paraId="1689E9D1">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6.2出现下列情形之一的，磋商失败。</w:t>
      </w:r>
    </w:p>
    <w:p w14:paraId="43DBB6FD">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6.2.1符合条件的供应商或者对磋商文件作实质响应的供应商不足3家的（市场竞争不充分的科研项目，以及需要扶持的科技成果转化项目可以是2家）；</w:t>
      </w:r>
    </w:p>
    <w:p w14:paraId="5F07ED5D">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6.2.2出现影响采购公正的违法违规行为的；</w:t>
      </w:r>
    </w:p>
    <w:p w14:paraId="4E29E060">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6.2.3因重大变故，采购任务取消的。</w:t>
      </w:r>
    </w:p>
    <w:p w14:paraId="3791A9AD">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6.2.4磋商小组认定磋商文件存在歧义、重大缺陷导致评审工作无法进行。</w:t>
      </w:r>
    </w:p>
    <w:p w14:paraId="6A2733C7">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6.2.5 因系统故障原因造成磋商无法继续进行的</w:t>
      </w:r>
      <w:r>
        <w:rPr>
          <w:rFonts w:hint="eastAsia" w:ascii="宋体" w:hAnsi="宋体" w:cs="宋体"/>
          <w:color w:val="auto"/>
          <w:sz w:val="28"/>
          <w:szCs w:val="28"/>
          <w:highlight w:val="none"/>
        </w:rPr>
        <w:t>（适用于不见面磋商模式）</w:t>
      </w:r>
      <w:r>
        <w:rPr>
          <w:rFonts w:hint="eastAsia" w:ascii="宋体" w:hAnsi="宋体" w:cs="宋体"/>
          <w:bCs/>
          <w:color w:val="auto"/>
          <w:sz w:val="28"/>
          <w:szCs w:val="28"/>
          <w:highlight w:val="none"/>
        </w:rPr>
        <w:t>。</w:t>
      </w:r>
    </w:p>
    <w:p w14:paraId="7CFA42A4">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6.3 响应</w:t>
      </w:r>
      <w:r>
        <w:rPr>
          <w:rFonts w:hint="eastAsia" w:ascii="宋体" w:hAnsi="宋体" w:cs="宋体"/>
          <w:color w:val="auto"/>
          <w:sz w:val="28"/>
          <w:szCs w:val="28"/>
          <w:highlight w:val="none"/>
        </w:rPr>
        <w:t>文件提交</w:t>
      </w:r>
      <w:r>
        <w:rPr>
          <w:rFonts w:hint="eastAsia" w:ascii="宋体" w:hAnsi="宋体" w:cs="宋体"/>
          <w:bCs/>
          <w:color w:val="auto"/>
          <w:sz w:val="28"/>
          <w:szCs w:val="28"/>
          <w:highlight w:val="none"/>
        </w:rPr>
        <w:t>截止时间结束后参加磋商的供应商不足三家的处理：</w:t>
      </w:r>
    </w:p>
    <w:p w14:paraId="27DB7641">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6.3.1如出现响应</w:t>
      </w:r>
      <w:r>
        <w:rPr>
          <w:rFonts w:hint="eastAsia" w:ascii="宋体" w:hAnsi="宋体" w:cs="宋体"/>
          <w:color w:val="auto"/>
          <w:sz w:val="28"/>
          <w:szCs w:val="28"/>
          <w:highlight w:val="none"/>
        </w:rPr>
        <w:t>文件提交</w:t>
      </w:r>
      <w:r>
        <w:rPr>
          <w:rFonts w:hint="eastAsia" w:ascii="宋体" w:hAnsi="宋体" w:cs="宋体"/>
          <w:bCs/>
          <w:color w:val="auto"/>
          <w:sz w:val="28"/>
          <w:szCs w:val="28"/>
          <w:highlight w:val="none"/>
        </w:rPr>
        <w:t>截止时间结束后参加磋商的供应商或者在评审期间对磋商文件做出实质响应的供应商不足三家情况，除采购任务取消情形外，按照以下方式处理：</w:t>
      </w:r>
    </w:p>
    <w:p w14:paraId="29546C03">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1.采购文件存在不合理条款或者招标程序不符合规定的，采购人、采购代理机构改正后依法重新招标采购；</w:t>
      </w:r>
    </w:p>
    <w:p w14:paraId="26C0851C">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2采购文件没有不合理条款、采购程序符合规定，需要采用其他采购人式采购的，采购人应当依法报采购监管部门批准。</w:t>
      </w:r>
    </w:p>
    <w:bookmarkEnd w:id="73"/>
    <w:bookmarkEnd w:id="74"/>
    <w:bookmarkEnd w:id="75"/>
    <w:p w14:paraId="42BF4ABB">
      <w:pPr>
        <w:keepNext/>
        <w:keepLines/>
        <w:adjustRightInd w:val="0"/>
        <w:snapToGrid w:val="0"/>
        <w:spacing w:line="460" w:lineRule="exact"/>
        <w:ind w:firstLine="562" w:firstLineChars="200"/>
        <w:outlineLvl w:val="1"/>
        <w:rPr>
          <w:rFonts w:hint="eastAsia" w:ascii="宋体" w:hAnsi="宋体" w:cs="宋体"/>
          <w:b/>
          <w:bCs/>
          <w:color w:val="auto"/>
          <w:kern w:val="0"/>
          <w:sz w:val="28"/>
          <w:szCs w:val="28"/>
          <w:highlight w:val="none"/>
        </w:rPr>
      </w:pPr>
      <w:bookmarkStart w:id="76" w:name="_Toc120614219"/>
      <w:r>
        <w:rPr>
          <w:rFonts w:hint="eastAsia" w:ascii="宋体" w:hAnsi="宋体" w:cs="宋体"/>
          <w:b/>
          <w:bCs/>
          <w:color w:val="auto"/>
          <w:kern w:val="0"/>
          <w:sz w:val="28"/>
          <w:szCs w:val="28"/>
          <w:highlight w:val="none"/>
        </w:rPr>
        <w:t>六</w:t>
      </w:r>
      <w:bookmarkEnd w:id="76"/>
      <w:r>
        <w:rPr>
          <w:rFonts w:hint="eastAsia" w:ascii="宋体" w:hAnsi="宋体" w:cs="宋体"/>
          <w:b/>
          <w:bCs/>
          <w:color w:val="auto"/>
          <w:kern w:val="0"/>
          <w:sz w:val="28"/>
          <w:szCs w:val="28"/>
          <w:highlight w:val="none"/>
        </w:rPr>
        <w:t>、成交</w:t>
      </w:r>
    </w:p>
    <w:p w14:paraId="3FA2AD51">
      <w:pPr>
        <w:keepNext/>
        <w:adjustRightInd w:val="0"/>
        <w:snapToGrid w:val="0"/>
        <w:spacing w:line="460" w:lineRule="exact"/>
        <w:ind w:firstLine="560" w:firstLineChars="200"/>
        <w:rPr>
          <w:rFonts w:hint="eastAsia" w:ascii="宋体" w:hAnsi="宋体" w:cs="宋体"/>
          <w:b/>
          <w:color w:val="auto"/>
          <w:kern w:val="0"/>
          <w:sz w:val="28"/>
          <w:szCs w:val="28"/>
          <w:highlight w:val="none"/>
        </w:rPr>
      </w:pPr>
      <w:bookmarkStart w:id="77" w:name="_Toc16938554"/>
      <w:bookmarkStart w:id="78" w:name="_Toc20823310"/>
      <w:r>
        <w:rPr>
          <w:rFonts w:hint="eastAsia" w:ascii="宋体" w:hAnsi="宋体" w:cs="宋体"/>
          <w:color w:val="auto"/>
          <w:kern w:val="0"/>
          <w:sz w:val="28"/>
          <w:szCs w:val="28"/>
          <w:highlight w:val="none"/>
        </w:rPr>
        <w:t>1.确定</w:t>
      </w:r>
      <w:bookmarkEnd w:id="77"/>
      <w:bookmarkEnd w:id="78"/>
      <w:r>
        <w:rPr>
          <w:rFonts w:hint="eastAsia" w:ascii="宋体" w:hAnsi="宋体" w:cs="宋体"/>
          <w:color w:val="auto"/>
          <w:kern w:val="0"/>
          <w:sz w:val="28"/>
          <w:szCs w:val="28"/>
          <w:highlight w:val="none"/>
        </w:rPr>
        <w:t>成交单位</w:t>
      </w:r>
    </w:p>
    <w:p w14:paraId="5EDFDDE8">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1.1成交候选供应商的选取原则和数量见磋商文件第四部分规定。 </w:t>
      </w:r>
    </w:p>
    <w:p w14:paraId="4D50F32F">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1.2 采购人授权磋商小组在成交候选供应商中直接确定成交供应商。</w:t>
      </w:r>
    </w:p>
    <w:p w14:paraId="358E2D1D">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bCs/>
          <w:color w:val="auto"/>
          <w:sz w:val="28"/>
          <w:szCs w:val="28"/>
          <w:highlight w:val="none"/>
        </w:rPr>
        <w:t xml:space="preserve">1.3 </w:t>
      </w:r>
      <w:r>
        <w:rPr>
          <w:rFonts w:hint="eastAsia" w:ascii="宋体" w:hAnsi="宋体" w:cs="宋体"/>
          <w:color w:val="auto"/>
          <w:sz w:val="28"/>
          <w:szCs w:val="28"/>
          <w:highlight w:val="none"/>
        </w:rPr>
        <w:t>采购代理机构将在“南通市公安局网站”发布成交结果公告，公告期限为1个工作日。</w:t>
      </w:r>
    </w:p>
    <w:p w14:paraId="2A657F9D">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1.4若有充分证据证明，成交供应商出现下列情况之一的，一经查实，将被取消成交资格：</w:t>
      </w:r>
    </w:p>
    <w:p w14:paraId="12DD67DB">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1.4.1提供虚假材料谋取成交的。</w:t>
      </w:r>
    </w:p>
    <w:p w14:paraId="52E5EA6A">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1.4.2向采购人、采购代理机构行贿或者评审专家提供其他不正当利益的。</w:t>
      </w:r>
    </w:p>
    <w:p w14:paraId="595EC4A4">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1.4.3恶意竞争，最终总报价明显低于其自身合理成本且又无法提供证明的。</w:t>
      </w:r>
    </w:p>
    <w:p w14:paraId="23AAA324">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1.4.4属于本文件规定的无效条件，但在评审过程中又未被磋商小组发现的。</w:t>
      </w:r>
    </w:p>
    <w:p w14:paraId="64417491">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1.4.5与采购人或者其他供应商恶意串通的。</w:t>
      </w:r>
    </w:p>
    <w:p w14:paraId="3E21CC5F">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1.4.6采取不正当手段诋毁、排挤其他供应商的。</w:t>
      </w:r>
    </w:p>
    <w:p w14:paraId="31AA2F5B">
      <w:pPr>
        <w:adjustRightInd w:val="0"/>
        <w:snapToGrid w:val="0"/>
        <w:spacing w:line="460" w:lineRule="exact"/>
        <w:ind w:firstLine="560" w:firstLineChars="200"/>
        <w:rPr>
          <w:rFonts w:hint="eastAsia" w:ascii="宋体" w:hAnsi="宋体" w:cs="宋体"/>
          <w:color w:val="auto"/>
          <w:sz w:val="28"/>
          <w:szCs w:val="28"/>
          <w:highlight w:val="none"/>
        </w:rPr>
      </w:pPr>
      <w:bookmarkStart w:id="79" w:name="_Toc200451960"/>
      <w:r>
        <w:rPr>
          <w:rFonts w:hint="eastAsia" w:ascii="宋体" w:hAnsi="宋体" w:cs="宋体"/>
          <w:color w:val="auto"/>
          <w:sz w:val="28"/>
          <w:szCs w:val="28"/>
          <w:highlight w:val="none"/>
        </w:rPr>
        <w:t>1.5.</w:t>
      </w:r>
      <w:r>
        <w:rPr>
          <w:rFonts w:hint="eastAsia" w:ascii="宋体" w:hAnsi="宋体" w:cs="宋体"/>
          <w:color w:val="auto"/>
          <w:kern w:val="0"/>
          <w:sz w:val="28"/>
          <w:szCs w:val="28"/>
          <w:highlight w:val="none"/>
        </w:rPr>
        <w:t>有下列情形之一的，视为供应商串通参与磋商，响应无效：</w:t>
      </w:r>
    </w:p>
    <w:p w14:paraId="68E77D8A">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1.5.1不同供应商的响应文件由同一单位或者个人编制；</w:t>
      </w:r>
    </w:p>
    <w:p w14:paraId="13C7FBEA">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1.5.2不同供应商委托同一单位或者个人办理磋商事宜；</w:t>
      </w:r>
    </w:p>
    <w:p w14:paraId="7A17FF3E">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1.5.3不同供应商的响应文件载明的项目管理成员或者联系人员为同一人；</w:t>
      </w:r>
    </w:p>
    <w:p w14:paraId="05A7F96B">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1.5.4不同供应商的响应文件异常一致或者响应报价呈规律性差异。</w:t>
      </w:r>
    </w:p>
    <w:p w14:paraId="18183625">
      <w:pPr>
        <w:keepNext/>
        <w:adjustRightInd w:val="0"/>
        <w:snapToGrid w:val="0"/>
        <w:spacing w:line="460" w:lineRule="exact"/>
        <w:ind w:firstLine="560" w:firstLineChars="200"/>
        <w:rPr>
          <w:rFonts w:hint="eastAsia" w:ascii="宋体" w:hAnsi="宋体" w:cs="宋体"/>
          <w:b/>
          <w:color w:val="auto"/>
          <w:kern w:val="0"/>
          <w:sz w:val="28"/>
          <w:szCs w:val="28"/>
          <w:highlight w:val="none"/>
        </w:rPr>
      </w:pPr>
      <w:r>
        <w:rPr>
          <w:rFonts w:hint="eastAsia" w:ascii="宋体" w:hAnsi="宋体" w:cs="宋体"/>
          <w:color w:val="auto"/>
          <w:kern w:val="0"/>
          <w:sz w:val="28"/>
          <w:szCs w:val="28"/>
          <w:highlight w:val="none"/>
        </w:rPr>
        <w:t>2.质疑处理</w:t>
      </w:r>
      <w:bookmarkEnd w:id="79"/>
    </w:p>
    <w:p w14:paraId="73E1ECB9">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2.1 提出质疑的供应商应当是参与所质疑项目采购活动的供应商。潜在供应商依法获取其可质疑的磋商文件的，可以对磋商文件提出质疑。</w:t>
      </w:r>
    </w:p>
    <w:p w14:paraId="3D4379C1">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2.2供应商认为磋商文件、采购过程和采购结果使自己的权益受到损害的，可以在知道或应知其权益受到损害之日起七个工作日内，以书面形式向采购代理机构或采购人提出质疑。上述应知其权益受到损害之日，是指：</w:t>
      </w:r>
    </w:p>
    <w:p w14:paraId="60A2C764">
      <w:pPr>
        <w:adjustRightInd w:val="0"/>
        <w:snapToGrid w:val="0"/>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sz w:val="28"/>
          <w:szCs w:val="28"/>
          <w:highlight w:val="none"/>
        </w:rPr>
        <w:t>2.2.1</w:t>
      </w:r>
      <w:r>
        <w:rPr>
          <w:rFonts w:hint="eastAsia" w:ascii="宋体" w:hAnsi="宋体" w:cs="宋体"/>
          <w:color w:val="auto"/>
          <w:kern w:val="0"/>
          <w:sz w:val="28"/>
          <w:szCs w:val="28"/>
          <w:highlight w:val="none"/>
        </w:rPr>
        <w:t>对可以质疑的磋商文件提出质疑的，为收到磋商文件之日或者磋商文件公告期限届满之日；</w:t>
      </w:r>
    </w:p>
    <w:p w14:paraId="5FC81ED8">
      <w:pPr>
        <w:adjustRightInd w:val="0"/>
        <w:snapToGrid w:val="0"/>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sz w:val="28"/>
          <w:szCs w:val="28"/>
          <w:highlight w:val="none"/>
        </w:rPr>
        <w:t>2.2.2</w:t>
      </w:r>
      <w:r>
        <w:rPr>
          <w:rFonts w:hint="eastAsia" w:ascii="宋体" w:hAnsi="宋体" w:cs="宋体"/>
          <w:color w:val="auto"/>
          <w:kern w:val="0"/>
          <w:sz w:val="28"/>
          <w:szCs w:val="28"/>
          <w:highlight w:val="none"/>
        </w:rPr>
        <w:t>对采购过程提出质疑的，为各采购程序环节结束之日；</w:t>
      </w:r>
    </w:p>
    <w:p w14:paraId="1B54244E">
      <w:pPr>
        <w:adjustRightInd w:val="0"/>
        <w:snapToGrid w:val="0"/>
        <w:spacing w:line="460" w:lineRule="exact"/>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其中：对评审过程中涉及到的密封检查、身份核对、澄清等和程序性事项，供应商如有异议的，必须当时提出。否则，均视为供应商无异议。无论是否成交，供应商事后不得再就前述事项提出任何异议或质疑投诉。</w:t>
      </w:r>
    </w:p>
    <w:p w14:paraId="06018407">
      <w:pPr>
        <w:adjustRightInd w:val="0"/>
        <w:snapToGrid w:val="0"/>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sz w:val="28"/>
          <w:szCs w:val="28"/>
          <w:highlight w:val="none"/>
        </w:rPr>
        <w:t>2.2.3</w:t>
      </w:r>
      <w:r>
        <w:rPr>
          <w:rFonts w:hint="eastAsia" w:ascii="宋体" w:hAnsi="宋体" w:cs="宋体"/>
          <w:color w:val="auto"/>
          <w:kern w:val="0"/>
          <w:sz w:val="28"/>
          <w:szCs w:val="28"/>
          <w:highlight w:val="none"/>
        </w:rPr>
        <w:t>对成交结果提出质疑的，为成交结果公告期限届满之日。</w:t>
      </w:r>
    </w:p>
    <w:p w14:paraId="0332C329">
      <w:pPr>
        <w:adjustRightInd w:val="0"/>
        <w:snapToGrid w:val="0"/>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供应商应当在法定质疑期内一次性提出针对同一采购程序环节的质疑。</w:t>
      </w:r>
    </w:p>
    <w:p w14:paraId="4D759B5D">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2.3质疑函必须按照本磋商文件中《质疑函范本》要求的格式和内容进行填写。供应商如组成联合体参加磋商，则《质疑函范本》中要求签字、盖章、加盖公章之处，联合体各方均须按要求签字、盖章、加盖公章。</w:t>
      </w:r>
    </w:p>
    <w:p w14:paraId="33D623B8">
      <w:pPr>
        <w:adjustRightInd w:val="0"/>
        <w:snapToGrid w:val="0"/>
        <w:spacing w:line="460" w:lineRule="exact"/>
        <w:ind w:firstLine="560" w:firstLineChars="200"/>
        <w:rPr>
          <w:rFonts w:hint="eastAsia" w:ascii="宋体" w:hAnsi="宋体" w:cs="宋体"/>
          <w:b/>
          <w:color w:val="auto"/>
          <w:sz w:val="28"/>
          <w:szCs w:val="28"/>
          <w:highlight w:val="none"/>
        </w:rPr>
      </w:pPr>
      <w:r>
        <w:rPr>
          <w:rFonts w:hint="eastAsia" w:ascii="宋体" w:hAnsi="宋体" w:cs="宋体"/>
          <w:color w:val="auto"/>
          <w:sz w:val="28"/>
          <w:szCs w:val="28"/>
          <w:highlight w:val="none"/>
        </w:rPr>
        <w:t>2.4对采购方式、磋商文件中项目需求、供应商资格条件、评审方法和评审标准、资格审查结果等应当由采购人答复的质疑，请向采购人提出，由采购人负责答复。供应商对其他事项的质疑，请向采购代理机构提出，由采购人或采购代理机构负责答复。</w:t>
      </w:r>
    </w:p>
    <w:p w14:paraId="392507A9">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供应商提起质疑采取书面形式，可以现场送达，也可以邮寄。</w:t>
      </w:r>
    </w:p>
    <w:p w14:paraId="5CA3B29D">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采购人质疑接收人及联系方式，见磋商文件第一部分。</w:t>
      </w:r>
    </w:p>
    <w:p w14:paraId="0F08112C">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2.5 以下情形的质疑不予受理</w:t>
      </w:r>
    </w:p>
    <w:p w14:paraId="43877A2F">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2.5.1 内容不符合《政府采购质疑和投诉办法》第十二条规定的质疑。</w:t>
      </w:r>
    </w:p>
    <w:p w14:paraId="3F673591">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2.5.2 超出法定期限的质疑。</w:t>
      </w:r>
    </w:p>
    <w:p w14:paraId="757EC301">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2.5.3 未参加磋商活动的供应商或在磋商活动中自身权益未受到损害的供应商所提出的质疑。</w:t>
      </w:r>
    </w:p>
    <w:p w14:paraId="1B0BFA92">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2.5.4供应商组成联合体参加磋商，联合体中任何一方或多方未按要求签字、盖章、加盖公章的质疑。</w:t>
      </w:r>
    </w:p>
    <w:p w14:paraId="35987A99">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2.6 供应商提出书面质疑必须有理、有据，不得捏造事实、提供虚假材料进行恶意质疑。否则，一经查实，采购代理机构有权依据有关规定，报请监管部门对该供应商进行相应的行政处罚和记录该供应商的失信信息。</w:t>
      </w:r>
    </w:p>
    <w:p w14:paraId="35A404F7">
      <w:pPr>
        <w:keepNext/>
        <w:adjustRightInd w:val="0"/>
        <w:snapToGrid w:val="0"/>
        <w:spacing w:line="460" w:lineRule="exact"/>
        <w:ind w:firstLine="560" w:firstLineChars="200"/>
        <w:rPr>
          <w:rFonts w:hint="eastAsia" w:ascii="宋体" w:hAnsi="宋体" w:cs="宋体"/>
          <w:b/>
          <w:color w:val="auto"/>
          <w:kern w:val="0"/>
          <w:sz w:val="28"/>
          <w:szCs w:val="28"/>
          <w:highlight w:val="none"/>
        </w:rPr>
      </w:pPr>
      <w:r>
        <w:rPr>
          <w:rFonts w:hint="eastAsia" w:ascii="宋体" w:hAnsi="宋体" w:cs="宋体"/>
          <w:color w:val="auto"/>
          <w:kern w:val="0"/>
          <w:sz w:val="28"/>
          <w:szCs w:val="28"/>
          <w:highlight w:val="none"/>
        </w:rPr>
        <w:t>3．成交通知书</w:t>
      </w:r>
    </w:p>
    <w:p w14:paraId="705F5936">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3.l</w:t>
      </w:r>
      <w:r>
        <w:rPr>
          <w:rFonts w:hint="eastAsia" w:ascii="宋体" w:hAnsi="宋体" w:cs="宋体"/>
          <w:b/>
          <w:color w:val="auto"/>
          <w:sz w:val="28"/>
          <w:szCs w:val="28"/>
          <w:highlight w:val="none"/>
        </w:rPr>
        <w:t xml:space="preserve"> </w:t>
      </w:r>
      <w:r>
        <w:rPr>
          <w:rFonts w:hint="eastAsia" w:ascii="宋体" w:hAnsi="宋体" w:cs="宋体"/>
          <w:color w:val="auto"/>
          <w:sz w:val="28"/>
          <w:szCs w:val="28"/>
          <w:highlight w:val="none"/>
        </w:rPr>
        <w:t>成交结果确定后，采购人将向成交供应商发出成交通知书。成交供应商应在成交结果公告期满后5个工作日内到采购代理机构办理领取成交通知书手续，否则，由此产生的后果供应商自负。</w:t>
      </w:r>
    </w:p>
    <w:p w14:paraId="14EE5286">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3.2成交通知书将是合同的一个组成部分，对采购人和成交供应商均具有法律效力。成交通知书发出后，采购人改变成交结果的，或者成交供应商放弃磋商项目的，应当依法承担法律责任。</w:t>
      </w:r>
    </w:p>
    <w:p w14:paraId="15E0935B">
      <w:pPr>
        <w:keepNext/>
        <w:keepLines/>
        <w:adjustRightInd w:val="0"/>
        <w:snapToGrid w:val="0"/>
        <w:spacing w:line="460" w:lineRule="exact"/>
        <w:ind w:firstLine="562" w:firstLineChars="200"/>
        <w:outlineLvl w:val="1"/>
        <w:rPr>
          <w:rFonts w:hint="eastAsia" w:ascii="宋体" w:hAnsi="宋体" w:cs="宋体"/>
          <w:b/>
          <w:bCs/>
          <w:color w:val="auto"/>
          <w:kern w:val="0"/>
          <w:sz w:val="28"/>
          <w:szCs w:val="28"/>
          <w:highlight w:val="none"/>
        </w:rPr>
      </w:pPr>
      <w:bookmarkStart w:id="80" w:name="_Toc120614220"/>
      <w:bookmarkStart w:id="81" w:name="_Toc20823308"/>
      <w:bookmarkStart w:id="82" w:name="_Toc16938552"/>
      <w:bookmarkStart w:id="83" w:name="_Toc513029236"/>
      <w:r>
        <w:rPr>
          <w:rFonts w:hint="eastAsia" w:ascii="宋体" w:hAnsi="宋体" w:cs="宋体"/>
          <w:b/>
          <w:bCs/>
          <w:color w:val="auto"/>
          <w:kern w:val="0"/>
          <w:sz w:val="28"/>
          <w:szCs w:val="28"/>
          <w:highlight w:val="none"/>
        </w:rPr>
        <w:t>七、授予合同</w:t>
      </w:r>
      <w:bookmarkEnd w:id="80"/>
    </w:p>
    <w:bookmarkEnd w:id="81"/>
    <w:bookmarkEnd w:id="82"/>
    <w:bookmarkEnd w:id="83"/>
    <w:p w14:paraId="6381D822">
      <w:pPr>
        <w:keepNext/>
        <w:adjustRightInd w:val="0"/>
        <w:snapToGrid w:val="0"/>
        <w:spacing w:line="460" w:lineRule="exact"/>
        <w:ind w:firstLine="560" w:firstLineChars="200"/>
        <w:rPr>
          <w:rFonts w:hint="eastAsia" w:ascii="宋体" w:hAnsi="宋体" w:cs="宋体"/>
          <w:b/>
          <w:color w:val="auto"/>
          <w:kern w:val="0"/>
          <w:sz w:val="28"/>
          <w:szCs w:val="28"/>
          <w:highlight w:val="none"/>
        </w:rPr>
      </w:pPr>
      <w:bookmarkStart w:id="84" w:name="_Toc16938553"/>
      <w:bookmarkStart w:id="85" w:name="_Toc20823309"/>
      <w:bookmarkStart w:id="86" w:name="_Toc513029237"/>
      <w:r>
        <w:rPr>
          <w:rFonts w:hint="eastAsia" w:ascii="宋体" w:hAnsi="宋体" w:cs="宋体"/>
          <w:color w:val="auto"/>
          <w:kern w:val="0"/>
          <w:sz w:val="28"/>
          <w:szCs w:val="28"/>
          <w:highlight w:val="none"/>
        </w:rPr>
        <w:t>1.签订合同</w:t>
      </w:r>
    </w:p>
    <w:p w14:paraId="074D7489">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bCs/>
          <w:color w:val="auto"/>
          <w:sz w:val="28"/>
          <w:szCs w:val="28"/>
          <w:highlight w:val="none"/>
        </w:rPr>
        <w:t>1</w:t>
      </w:r>
      <w:r>
        <w:rPr>
          <w:rFonts w:hint="eastAsia" w:ascii="宋体" w:hAnsi="宋体" w:cs="宋体"/>
          <w:color w:val="auto"/>
          <w:sz w:val="28"/>
          <w:szCs w:val="28"/>
          <w:highlight w:val="none"/>
        </w:rPr>
        <w:t>.l成交供应商应当在成交通知书发出之日起十五日内，按照磋商文件确定的事项与采购人签订采购合同。</w:t>
      </w:r>
    </w:p>
    <w:p w14:paraId="417C59A0">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1.2磋商文件、成交供应商的响应文件及磋商过程中有关澄清、承诺文件均应作为合同附件。</w:t>
      </w:r>
    </w:p>
    <w:p w14:paraId="5A872F42">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1.3签订合同后，成交供应商不得将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14:paraId="0F2CD28B">
      <w:pPr>
        <w:keepNext/>
        <w:adjustRightInd w:val="0"/>
        <w:snapToGrid w:val="0"/>
        <w:spacing w:line="460" w:lineRule="exact"/>
        <w:ind w:firstLine="560" w:firstLineChars="200"/>
        <w:rPr>
          <w:rFonts w:hint="eastAsia" w:ascii="宋体" w:hAnsi="宋体" w:cs="宋体"/>
          <w:b/>
          <w:color w:val="auto"/>
          <w:kern w:val="0"/>
          <w:sz w:val="28"/>
          <w:szCs w:val="28"/>
          <w:highlight w:val="none"/>
        </w:rPr>
      </w:pPr>
      <w:r>
        <w:rPr>
          <w:rFonts w:hint="eastAsia" w:ascii="宋体" w:hAnsi="宋体" w:cs="宋体"/>
          <w:color w:val="auto"/>
          <w:kern w:val="0"/>
          <w:sz w:val="28"/>
          <w:szCs w:val="28"/>
          <w:highlight w:val="none"/>
        </w:rPr>
        <w:t>2.服务的追加、减少和添购。</w:t>
      </w:r>
    </w:p>
    <w:p w14:paraId="4595D0A0">
      <w:pPr>
        <w:adjustRightInd w:val="0"/>
        <w:snapToGrid w:val="0"/>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2.1合同履行中，采购人需追加与合同标的相同的服务的，在不改变合同其他条款的前提下，可以与成交供应商协商签订补充合同，但所有补充合同的采购金额不超过原合同金额10%。</w:t>
      </w:r>
    </w:p>
    <w:p w14:paraId="1F715176">
      <w:pPr>
        <w:keepNext/>
        <w:adjustRightInd w:val="0"/>
        <w:snapToGrid w:val="0"/>
        <w:spacing w:line="460" w:lineRule="exact"/>
        <w:ind w:firstLine="560" w:firstLineChars="200"/>
        <w:rPr>
          <w:rFonts w:hint="eastAsia" w:ascii="宋体" w:hAnsi="宋体" w:cs="宋体"/>
          <w:bCs/>
          <w:color w:val="auto"/>
          <w:sz w:val="36"/>
          <w:szCs w:val="36"/>
          <w:highlight w:val="none"/>
        </w:rPr>
      </w:pPr>
      <w:r>
        <w:rPr>
          <w:rFonts w:hint="eastAsia" w:ascii="宋体" w:hAnsi="宋体" w:cs="宋体"/>
          <w:color w:val="auto"/>
          <w:sz w:val="28"/>
          <w:szCs w:val="28"/>
          <w:highlight w:val="none"/>
        </w:rPr>
        <w:t>2.2采购结束后，采购人若由于各种客观原因，必须对采购项目所牵涉的服务进行适当的减少时，在双方协商一致的前提下，可以按照采购时的价格水平做相应的调减，并据此签订补充合同。</w:t>
      </w:r>
      <w:bookmarkEnd w:id="84"/>
      <w:bookmarkEnd w:id="85"/>
      <w:bookmarkEnd w:id="86"/>
    </w:p>
    <w:p w14:paraId="594ECC58">
      <w:pPr>
        <w:adjustRightInd w:val="0"/>
        <w:snapToGrid w:val="0"/>
        <w:spacing w:line="360" w:lineRule="auto"/>
        <w:jc w:val="center"/>
        <w:outlineLvl w:val="0"/>
        <w:rPr>
          <w:rFonts w:hint="eastAsia" w:ascii="宋体" w:hAnsi="宋体" w:cs="宋体"/>
          <w:color w:val="auto"/>
          <w:sz w:val="28"/>
          <w:szCs w:val="28"/>
          <w:highlight w:val="none"/>
        </w:rPr>
      </w:pPr>
      <w:r>
        <w:rPr>
          <w:rFonts w:hint="eastAsia" w:ascii="宋体" w:hAnsi="宋体" w:cs="宋体"/>
          <w:bCs/>
          <w:color w:val="auto"/>
          <w:sz w:val="36"/>
          <w:szCs w:val="36"/>
          <w:highlight w:val="none"/>
        </w:rPr>
        <w:br w:type="page"/>
      </w:r>
      <w:r>
        <w:rPr>
          <w:rFonts w:hint="eastAsia" w:ascii="宋体" w:hAnsi="宋体" w:cs="宋体"/>
          <w:bCs/>
          <w:color w:val="auto"/>
          <w:sz w:val="36"/>
          <w:szCs w:val="36"/>
          <w:highlight w:val="none"/>
        </w:rPr>
        <w:t>第三部分 项目需求</w:t>
      </w:r>
    </w:p>
    <w:p w14:paraId="3F0239D0">
      <w:pPr>
        <w:adjustRightInd w:val="0"/>
        <w:snapToGrid w:val="0"/>
        <w:spacing w:line="460" w:lineRule="exact"/>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370C557">
      <w:pPr>
        <w:wordWrap w:val="0"/>
        <w:spacing w:line="460" w:lineRule="exact"/>
        <w:ind w:firstLine="560" w:firstLineChars="200"/>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一、</w:t>
      </w:r>
      <w:r>
        <w:rPr>
          <w:rFonts w:hint="eastAsia" w:ascii="宋体" w:hAnsi="宋体" w:cs="宋体"/>
          <w:b/>
          <w:bCs/>
          <w:color w:val="auto"/>
          <w:kern w:val="0"/>
          <w:sz w:val="28"/>
          <w:szCs w:val="28"/>
          <w:highlight w:val="none"/>
          <w:lang w:val="zh-CN"/>
        </w:rPr>
        <w:t>项目概况：</w:t>
      </w:r>
    </w:p>
    <w:p w14:paraId="284F8036">
      <w:pPr>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val="zh-CN"/>
        </w:rPr>
        <w:t>南通市公安局交通管理支队高速公路七大队光伏车棚充电桩安装项目。</w:t>
      </w:r>
      <w:r>
        <w:rPr>
          <w:rFonts w:hint="eastAsia" w:ascii="宋体" w:hAnsi="宋体" w:cs="宋体"/>
          <w:color w:val="auto"/>
          <w:kern w:val="0"/>
          <w:sz w:val="28"/>
          <w:szCs w:val="28"/>
          <w:highlight w:val="none"/>
        </w:rPr>
        <w:t>本项目拟利用</w:t>
      </w:r>
      <w:r>
        <w:rPr>
          <w:rFonts w:hint="eastAsia" w:ascii="宋体" w:hAnsi="宋体" w:cs="宋体"/>
          <w:color w:val="auto"/>
          <w:kern w:val="0"/>
          <w:sz w:val="28"/>
          <w:szCs w:val="28"/>
          <w:highlight w:val="none"/>
          <w:lang w:val="zh-CN"/>
        </w:rPr>
        <w:t>高速公路七大队提供900平方米屋顶</w:t>
      </w:r>
      <w:r>
        <w:rPr>
          <w:rFonts w:hint="eastAsia" w:ascii="宋体" w:hAnsi="宋体" w:cs="宋体"/>
          <w:color w:val="auto"/>
          <w:kern w:val="0"/>
          <w:sz w:val="28"/>
          <w:szCs w:val="28"/>
          <w:highlight w:val="none"/>
          <w:lang w:val="zh-CN"/>
        </w:rPr>
        <w:t>（其中</w:t>
      </w:r>
      <w:r>
        <w:rPr>
          <w:rFonts w:hint="eastAsia" w:ascii="宋体" w:hAnsi="宋体" w:cs="宋体"/>
          <w:color w:val="auto"/>
          <w:kern w:val="0"/>
          <w:sz w:val="28"/>
          <w:szCs w:val="28"/>
          <w:highlight w:val="none"/>
        </w:rPr>
        <w:t>成交供应商新建</w:t>
      </w:r>
      <w:r>
        <w:rPr>
          <w:rFonts w:hint="eastAsia" w:ascii="宋体" w:hAnsi="宋体" w:cs="宋体"/>
          <w:color w:val="auto"/>
          <w:kern w:val="0"/>
          <w:sz w:val="28"/>
          <w:szCs w:val="28"/>
          <w:highlight w:val="none"/>
          <w:lang w:val="zh-CN"/>
        </w:rPr>
        <w:t>410平米光伏车棚）</w:t>
      </w:r>
      <w:r>
        <w:rPr>
          <w:rFonts w:hint="eastAsia" w:ascii="宋体" w:hAnsi="宋体" w:cs="宋体"/>
          <w:color w:val="auto"/>
          <w:kern w:val="0"/>
          <w:sz w:val="28"/>
          <w:szCs w:val="28"/>
          <w:highlight w:val="none"/>
        </w:rPr>
        <w:t>安装分布式光伏系统，采用“自发自用，余电上网”的并网方式，其中自发自用部分由成交供应商与采购人结算电费（按成交价结算），余电上网部分与供电公司结算电费。</w:t>
      </w:r>
    </w:p>
    <w:p w14:paraId="0CF656C9">
      <w:pPr>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光伏合作模式：</w:t>
      </w:r>
    </w:p>
    <w:p w14:paraId="616C1537">
      <w:pPr>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1.投标人（成交供应商）在项目提供屋顶上建设分布式光伏系统，服务期20年。</w:t>
      </w:r>
      <w:r>
        <w:rPr>
          <w:rFonts w:hint="eastAsia" w:ascii="宋体" w:hAnsi="宋体" w:cs="宋体"/>
          <w:color w:val="auto"/>
          <w:sz w:val="28"/>
          <w:szCs w:val="28"/>
          <w:highlight w:val="none"/>
        </w:rPr>
        <w:t>服务期满，双方可</w:t>
      </w:r>
      <w:r>
        <w:rPr>
          <w:rFonts w:ascii="宋体" w:hAnsi="宋体" w:cs="宋体"/>
          <w:color w:val="auto"/>
          <w:sz w:val="28"/>
          <w:szCs w:val="28"/>
          <w:highlight w:val="none"/>
        </w:rPr>
        <w:t>友好协商</w:t>
      </w:r>
      <w:r>
        <w:rPr>
          <w:rFonts w:hint="eastAsia" w:ascii="宋体" w:hAnsi="宋体" w:cs="宋体"/>
          <w:color w:val="auto"/>
          <w:sz w:val="28"/>
          <w:szCs w:val="28"/>
          <w:highlight w:val="none"/>
        </w:rPr>
        <w:t>，</w:t>
      </w:r>
      <w:r>
        <w:rPr>
          <w:rFonts w:ascii="宋体" w:hAnsi="宋体" w:cs="宋体"/>
          <w:color w:val="auto"/>
          <w:sz w:val="28"/>
          <w:szCs w:val="28"/>
          <w:highlight w:val="none"/>
        </w:rPr>
        <w:t>总续期不超过五年</w:t>
      </w:r>
      <w:r>
        <w:rPr>
          <w:rFonts w:hint="eastAsia" w:ascii="宋体" w:hAnsi="宋体" w:cs="宋体"/>
          <w:color w:val="auto"/>
          <w:sz w:val="28"/>
          <w:szCs w:val="28"/>
          <w:highlight w:val="none"/>
        </w:rPr>
        <w:t>。</w:t>
      </w:r>
      <w:r>
        <w:rPr>
          <w:rFonts w:hint="eastAsia" w:ascii="宋体" w:hAnsi="宋体" w:cs="宋体"/>
          <w:color w:val="auto"/>
          <w:kern w:val="0"/>
          <w:sz w:val="28"/>
          <w:szCs w:val="28"/>
          <w:highlight w:val="none"/>
        </w:rPr>
        <w:t>合同到期后，所有设备归采购人所有。</w:t>
      </w:r>
    </w:p>
    <w:p w14:paraId="0A76C1AA">
      <w:pPr>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投标人（成交供应商）负责包含但不限于新建车棚、太阳能光伏电站投资、前期手续办理、工程设计、采购供应、安装施工、工程质量及工期控制、工程管理、设备监造、培训、调试、运行直至竣工验收等全部内容，分布式光伏系统由投标人负责合同期间的运维检修工作，遇到问题在2小时内响应，一般性问题在48小时内解决，严重性问题在5日内解决，承包商应保证光伏系统的正常稳定运行，每半年进行清洗工作，满足合同其他责任和义务的同时使本项目符合相关达标验收的要求。</w:t>
      </w:r>
    </w:p>
    <w:p w14:paraId="08F052B4">
      <w:pPr>
        <w:spacing w:line="460" w:lineRule="exact"/>
        <w:ind w:firstLine="560" w:firstLineChars="200"/>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rPr>
        <w:t>3.投标人（成交供应商）须优先将项目所发电力提供给业主；业主应优先使用投标人所发电量。</w:t>
      </w:r>
      <w:r>
        <w:rPr>
          <w:rFonts w:hint="eastAsia" w:ascii="宋体" w:hAnsi="宋体" w:cs="宋体"/>
          <w:color w:val="auto"/>
          <w:kern w:val="0"/>
          <w:sz w:val="28"/>
          <w:szCs w:val="28"/>
          <w:highlight w:val="none"/>
          <w:lang w:val="en-US" w:eastAsia="zh-CN"/>
        </w:rPr>
        <w:t>按照目前基础资料，业主每年办公用电量约10万度，车辆（目前4辆）用电量约1.4万度。该数据供响应供应商磋商报价响应时综合参考，最终以实际用电量为准。</w:t>
      </w:r>
    </w:p>
    <w:p w14:paraId="06A182DC">
      <w:pPr>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4.安全要求：</w:t>
      </w:r>
    </w:p>
    <w:p w14:paraId="7D25DFA0">
      <w:pPr>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（1）满足国家要求的风载、雪载、拉拔力等设计安全要求。</w:t>
      </w:r>
    </w:p>
    <w:p w14:paraId="3100F5B0">
      <w:pPr>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（2）噪声影响：本项目安装设备在系统运行中组件不产生噪音，逆变器等电力设备会产生微量的运行噪声及电磁辐射水平符合国家标准。</w:t>
      </w:r>
    </w:p>
    <w:p w14:paraId="0CDE1E75">
      <w:pPr>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（3）光污染：安装的光伏组件内无眩光，不会产生光污染。</w:t>
      </w:r>
    </w:p>
    <w:p w14:paraId="404326DA">
      <w:pPr>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（4）安装设备符合国标、国网相关标准要求。</w:t>
      </w:r>
    </w:p>
    <w:p w14:paraId="6B364372">
      <w:pPr>
        <w:wordWrap w:val="0"/>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三、</w:t>
      </w:r>
      <w:r>
        <w:rPr>
          <w:rFonts w:ascii="宋体" w:hAnsi="宋体"/>
          <w:b/>
          <w:bCs/>
          <w:color w:val="auto"/>
          <w:sz w:val="28"/>
          <w:szCs w:val="28"/>
          <w:highlight w:val="none"/>
        </w:rPr>
        <w:t>总则</w:t>
      </w:r>
    </w:p>
    <w:p w14:paraId="1BC66CD8">
      <w:pPr>
        <w:spacing w:line="460" w:lineRule="exact"/>
        <w:ind w:firstLine="562" w:firstLineChars="200"/>
        <w:rPr>
          <w:rFonts w:hint="eastAsia" w:ascii="宋体" w:hAnsi="宋体"/>
          <w:b/>
          <w:bCs/>
          <w:color w:val="auto"/>
          <w:sz w:val="28"/>
          <w:szCs w:val="28"/>
          <w:highlight w:val="none"/>
        </w:rPr>
      </w:pPr>
      <w:r>
        <w:rPr>
          <w:rFonts w:ascii="宋体" w:hAnsi="宋体"/>
          <w:b/>
          <w:bCs/>
          <w:color w:val="auto"/>
          <w:sz w:val="28"/>
          <w:szCs w:val="28"/>
          <w:highlight w:val="none"/>
        </w:rPr>
        <w:t xml:space="preserve">1.1 </w:t>
      </w:r>
      <w:r>
        <w:rPr>
          <w:rFonts w:hint="eastAsia" w:ascii="宋体" w:hAnsi="宋体"/>
          <w:b/>
          <w:bCs/>
          <w:color w:val="auto"/>
          <w:sz w:val="28"/>
          <w:szCs w:val="28"/>
          <w:highlight w:val="none"/>
        </w:rPr>
        <w:t>实施</w:t>
      </w:r>
      <w:r>
        <w:rPr>
          <w:rFonts w:ascii="宋体" w:hAnsi="宋体"/>
          <w:b/>
          <w:bCs/>
          <w:color w:val="auto"/>
          <w:sz w:val="28"/>
          <w:szCs w:val="28"/>
          <w:highlight w:val="none"/>
        </w:rPr>
        <w:t>依据</w:t>
      </w:r>
    </w:p>
    <w:p w14:paraId="264A5AD6">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本光伏车棚设计</w:t>
      </w:r>
      <w:r>
        <w:rPr>
          <w:rFonts w:hint="eastAsia" w:ascii="宋体" w:hAnsi="宋体"/>
          <w:color w:val="auto"/>
          <w:sz w:val="28"/>
          <w:szCs w:val="28"/>
          <w:highlight w:val="none"/>
        </w:rPr>
        <w:t>、施工安装</w:t>
      </w:r>
      <w:r>
        <w:rPr>
          <w:rFonts w:ascii="宋体" w:hAnsi="宋体"/>
          <w:color w:val="auto"/>
          <w:sz w:val="28"/>
          <w:szCs w:val="28"/>
          <w:highlight w:val="none"/>
        </w:rPr>
        <w:t>需严格遵循国家现行法律、法规及规范标准，核心依据包括但不限于：</w:t>
      </w:r>
    </w:p>
    <w:p w14:paraId="0D8B7858">
      <w:pPr>
        <w:spacing w:line="460" w:lineRule="exact"/>
        <w:ind w:firstLine="400" w:firstLineChars="200"/>
        <w:rPr>
          <w:rFonts w:hint="eastAsia" w:ascii="宋体" w:hAnsi="宋体"/>
          <w:color w:val="auto"/>
          <w:sz w:val="28"/>
          <w:szCs w:val="28"/>
          <w:highlight w:val="none"/>
        </w:rPr>
      </w:pPr>
      <w:r>
        <w:rPr>
          <w:rFonts w:ascii="Symbol" w:hAnsi="Symbol"/>
          <w:color w:val="auto"/>
          <w:sz w:val="20"/>
          <w:szCs w:val="28"/>
          <w:highlight w:val="none"/>
        </w:rPr>
        <w:t></w:t>
      </w:r>
      <w:r>
        <w:rPr>
          <w:rFonts w:ascii="宋体" w:hAnsi="宋体"/>
          <w:color w:val="auto"/>
          <w:sz w:val="28"/>
          <w:szCs w:val="28"/>
          <w:highlight w:val="none"/>
        </w:rPr>
        <w:t>《建筑结构荷载规范》（GB 50009-2012）</w:t>
      </w:r>
    </w:p>
    <w:p w14:paraId="3A948F14">
      <w:pPr>
        <w:spacing w:line="460" w:lineRule="exact"/>
        <w:ind w:firstLine="400" w:firstLineChars="200"/>
        <w:rPr>
          <w:rFonts w:hint="eastAsia" w:ascii="宋体" w:hAnsi="宋体"/>
          <w:color w:val="auto"/>
          <w:sz w:val="28"/>
          <w:szCs w:val="28"/>
          <w:highlight w:val="none"/>
        </w:rPr>
      </w:pPr>
      <w:r>
        <w:rPr>
          <w:rFonts w:ascii="Symbol" w:hAnsi="Symbol"/>
          <w:color w:val="auto"/>
          <w:sz w:val="20"/>
          <w:szCs w:val="28"/>
          <w:highlight w:val="none"/>
        </w:rPr>
        <w:t></w:t>
      </w:r>
      <w:r>
        <w:rPr>
          <w:rFonts w:ascii="宋体" w:hAnsi="宋体"/>
          <w:color w:val="auto"/>
          <w:sz w:val="28"/>
          <w:szCs w:val="28"/>
          <w:highlight w:val="none"/>
        </w:rPr>
        <w:t>《钢结构设计标准》（GB 50017-2017）</w:t>
      </w:r>
    </w:p>
    <w:p w14:paraId="7041B433">
      <w:pPr>
        <w:spacing w:line="460" w:lineRule="exact"/>
        <w:ind w:firstLine="400" w:firstLineChars="200"/>
        <w:rPr>
          <w:rFonts w:hint="eastAsia" w:ascii="宋体" w:hAnsi="宋体"/>
          <w:color w:val="auto"/>
          <w:sz w:val="28"/>
          <w:szCs w:val="28"/>
          <w:highlight w:val="none"/>
        </w:rPr>
      </w:pPr>
      <w:r>
        <w:rPr>
          <w:rFonts w:ascii="Symbol" w:hAnsi="Symbol"/>
          <w:color w:val="auto"/>
          <w:sz w:val="20"/>
          <w:szCs w:val="28"/>
          <w:highlight w:val="none"/>
        </w:rPr>
        <w:t></w:t>
      </w:r>
      <w:r>
        <w:rPr>
          <w:rFonts w:ascii="宋体" w:hAnsi="宋体"/>
          <w:color w:val="auto"/>
          <w:sz w:val="28"/>
          <w:szCs w:val="28"/>
          <w:highlight w:val="none"/>
        </w:rPr>
        <w:t>《门式刚架轻型房屋钢结构技术规范》（GB 51022-2015）</w:t>
      </w:r>
    </w:p>
    <w:p w14:paraId="23AB02BD">
      <w:pPr>
        <w:spacing w:line="460" w:lineRule="exact"/>
        <w:ind w:firstLine="400" w:firstLineChars="200"/>
        <w:rPr>
          <w:rFonts w:hint="eastAsia" w:ascii="宋体" w:hAnsi="宋体"/>
          <w:color w:val="auto"/>
          <w:sz w:val="28"/>
          <w:szCs w:val="28"/>
          <w:highlight w:val="none"/>
        </w:rPr>
      </w:pPr>
      <w:r>
        <w:rPr>
          <w:rFonts w:ascii="Symbol" w:hAnsi="Symbol"/>
          <w:color w:val="auto"/>
          <w:sz w:val="20"/>
          <w:szCs w:val="28"/>
          <w:highlight w:val="none"/>
        </w:rPr>
        <w:t></w:t>
      </w:r>
      <w:r>
        <w:rPr>
          <w:rFonts w:ascii="宋体" w:hAnsi="宋体"/>
          <w:color w:val="auto"/>
          <w:sz w:val="28"/>
          <w:szCs w:val="28"/>
          <w:highlight w:val="none"/>
        </w:rPr>
        <w:t>《建筑抗震设计标准》（GB 50011-2016）</w:t>
      </w:r>
    </w:p>
    <w:p w14:paraId="7294CA06">
      <w:pPr>
        <w:spacing w:line="460" w:lineRule="exact"/>
        <w:ind w:firstLine="400" w:firstLineChars="200"/>
        <w:rPr>
          <w:rFonts w:hint="eastAsia" w:ascii="宋体" w:hAnsi="宋体"/>
          <w:color w:val="auto"/>
          <w:sz w:val="28"/>
          <w:szCs w:val="28"/>
          <w:highlight w:val="none"/>
        </w:rPr>
      </w:pPr>
      <w:r>
        <w:rPr>
          <w:rFonts w:ascii="Symbol" w:hAnsi="Symbol"/>
          <w:color w:val="auto"/>
          <w:sz w:val="20"/>
          <w:szCs w:val="28"/>
          <w:highlight w:val="none"/>
        </w:rPr>
        <w:t></w:t>
      </w:r>
      <w:r>
        <w:rPr>
          <w:rFonts w:ascii="宋体" w:hAnsi="宋体"/>
          <w:color w:val="auto"/>
          <w:sz w:val="28"/>
          <w:szCs w:val="28"/>
          <w:highlight w:val="none"/>
        </w:rPr>
        <w:t>《光伏发电站设计规范》（GB 50797-2012）</w:t>
      </w:r>
    </w:p>
    <w:p w14:paraId="51173F51">
      <w:pPr>
        <w:spacing w:line="460" w:lineRule="exact"/>
        <w:ind w:firstLine="400" w:firstLineChars="200"/>
        <w:rPr>
          <w:rFonts w:hint="eastAsia" w:ascii="宋体" w:hAnsi="宋体"/>
          <w:color w:val="auto"/>
          <w:sz w:val="28"/>
          <w:szCs w:val="28"/>
          <w:highlight w:val="none"/>
        </w:rPr>
      </w:pPr>
      <w:r>
        <w:rPr>
          <w:rFonts w:ascii="Symbol" w:hAnsi="Symbol"/>
          <w:color w:val="auto"/>
          <w:sz w:val="20"/>
          <w:szCs w:val="28"/>
          <w:highlight w:val="none"/>
        </w:rPr>
        <w:t></w:t>
      </w:r>
      <w:r>
        <w:rPr>
          <w:rFonts w:ascii="宋体" w:hAnsi="宋体"/>
          <w:color w:val="auto"/>
          <w:sz w:val="28"/>
          <w:szCs w:val="28"/>
          <w:highlight w:val="none"/>
        </w:rPr>
        <w:t>《光伏建筑一体化应用技术标准》（GB/T 51368-2019）</w:t>
      </w:r>
    </w:p>
    <w:p w14:paraId="03E4D913">
      <w:pPr>
        <w:spacing w:line="460" w:lineRule="exact"/>
        <w:ind w:firstLine="400" w:firstLineChars="200"/>
        <w:rPr>
          <w:rFonts w:hint="eastAsia" w:ascii="宋体" w:hAnsi="宋体"/>
          <w:color w:val="auto"/>
          <w:sz w:val="28"/>
          <w:szCs w:val="28"/>
          <w:highlight w:val="none"/>
        </w:rPr>
      </w:pPr>
      <w:r>
        <w:rPr>
          <w:rFonts w:ascii="Symbol" w:hAnsi="Symbol"/>
          <w:color w:val="auto"/>
          <w:sz w:val="20"/>
          <w:szCs w:val="28"/>
          <w:highlight w:val="none"/>
        </w:rPr>
        <w:t></w:t>
      </w:r>
      <w:r>
        <w:rPr>
          <w:rFonts w:ascii="宋体" w:hAnsi="宋体"/>
          <w:color w:val="auto"/>
          <w:sz w:val="28"/>
          <w:szCs w:val="28"/>
          <w:highlight w:val="none"/>
        </w:rPr>
        <w:t>《低压配电设计规范》（GB 50054-2011）</w:t>
      </w:r>
    </w:p>
    <w:p w14:paraId="7D686EC9">
      <w:pPr>
        <w:spacing w:line="460" w:lineRule="exact"/>
        <w:ind w:firstLine="400" w:firstLineChars="200"/>
        <w:rPr>
          <w:rFonts w:hint="eastAsia" w:ascii="宋体" w:hAnsi="宋体"/>
          <w:color w:val="auto"/>
          <w:sz w:val="28"/>
          <w:szCs w:val="28"/>
          <w:highlight w:val="none"/>
        </w:rPr>
      </w:pPr>
      <w:r>
        <w:rPr>
          <w:rFonts w:ascii="Symbol" w:hAnsi="Symbol"/>
          <w:color w:val="auto"/>
          <w:sz w:val="20"/>
          <w:szCs w:val="28"/>
          <w:highlight w:val="none"/>
        </w:rPr>
        <w:t></w:t>
      </w:r>
      <w:r>
        <w:rPr>
          <w:rFonts w:ascii="宋体" w:hAnsi="宋体"/>
          <w:color w:val="auto"/>
          <w:sz w:val="28"/>
          <w:szCs w:val="28"/>
          <w:highlight w:val="none"/>
        </w:rPr>
        <w:t>《混凝土结构设计规范》（GB 50010-2010，2015 年版）</w:t>
      </w:r>
    </w:p>
    <w:p w14:paraId="2A6F20C3">
      <w:pPr>
        <w:spacing w:line="460" w:lineRule="exact"/>
        <w:ind w:firstLine="400" w:firstLineChars="200"/>
        <w:rPr>
          <w:rFonts w:hint="eastAsia" w:ascii="宋体" w:hAnsi="宋体"/>
          <w:color w:val="auto"/>
          <w:sz w:val="28"/>
          <w:szCs w:val="28"/>
          <w:highlight w:val="none"/>
        </w:rPr>
      </w:pPr>
      <w:r>
        <w:rPr>
          <w:rFonts w:ascii="Symbol" w:hAnsi="Symbol"/>
          <w:color w:val="auto"/>
          <w:sz w:val="20"/>
          <w:szCs w:val="28"/>
          <w:highlight w:val="none"/>
        </w:rPr>
        <w:t></w:t>
      </w:r>
      <w:r>
        <w:rPr>
          <w:rFonts w:ascii="宋体" w:hAnsi="宋体"/>
          <w:color w:val="auto"/>
          <w:sz w:val="28"/>
          <w:szCs w:val="28"/>
          <w:highlight w:val="none"/>
        </w:rPr>
        <w:t>项目所在地气象、地质勘察报告及相关规划要求</w:t>
      </w:r>
    </w:p>
    <w:p w14:paraId="0448A98B">
      <w:pPr>
        <w:spacing w:line="460" w:lineRule="exact"/>
        <w:ind w:firstLine="562" w:firstLineChars="200"/>
        <w:rPr>
          <w:rFonts w:hint="eastAsia" w:ascii="宋体" w:hAnsi="宋体"/>
          <w:b/>
          <w:bCs/>
          <w:color w:val="auto"/>
          <w:sz w:val="28"/>
          <w:szCs w:val="28"/>
          <w:highlight w:val="none"/>
        </w:rPr>
      </w:pPr>
      <w:r>
        <w:rPr>
          <w:rFonts w:ascii="宋体" w:hAnsi="宋体"/>
          <w:b/>
          <w:bCs/>
          <w:color w:val="auto"/>
          <w:sz w:val="28"/>
          <w:szCs w:val="28"/>
          <w:highlight w:val="none"/>
        </w:rPr>
        <w:t xml:space="preserve">1.2 </w:t>
      </w:r>
      <w:r>
        <w:rPr>
          <w:rFonts w:hint="eastAsia" w:ascii="宋体" w:hAnsi="宋体"/>
          <w:b/>
          <w:bCs/>
          <w:color w:val="auto"/>
          <w:sz w:val="28"/>
          <w:szCs w:val="28"/>
          <w:highlight w:val="none"/>
        </w:rPr>
        <w:t>实施</w:t>
      </w:r>
      <w:r>
        <w:rPr>
          <w:rFonts w:ascii="宋体" w:hAnsi="宋体"/>
          <w:b/>
          <w:bCs/>
          <w:color w:val="auto"/>
          <w:sz w:val="28"/>
          <w:szCs w:val="28"/>
          <w:highlight w:val="none"/>
        </w:rPr>
        <w:t>范围</w:t>
      </w:r>
    </w:p>
    <w:p w14:paraId="729CDEA8">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本次设计涵盖光伏车棚全系统，包括但不限于：</w:t>
      </w:r>
    </w:p>
    <w:p w14:paraId="0716D6D5">
      <w:pPr>
        <w:spacing w:line="460" w:lineRule="exact"/>
        <w:ind w:firstLine="400" w:firstLineChars="200"/>
        <w:rPr>
          <w:rFonts w:hint="eastAsia" w:ascii="宋体" w:hAnsi="宋体"/>
          <w:color w:val="auto"/>
          <w:sz w:val="28"/>
          <w:szCs w:val="28"/>
          <w:highlight w:val="none"/>
        </w:rPr>
      </w:pPr>
      <w:r>
        <w:rPr>
          <w:rFonts w:ascii="Symbol" w:hAnsi="Symbol"/>
          <w:color w:val="auto"/>
          <w:sz w:val="20"/>
          <w:szCs w:val="28"/>
          <w:highlight w:val="none"/>
        </w:rPr>
        <w:t></w:t>
      </w:r>
      <w:r>
        <w:rPr>
          <w:rFonts w:ascii="宋体" w:hAnsi="宋体"/>
          <w:color w:val="auto"/>
          <w:sz w:val="28"/>
          <w:szCs w:val="28"/>
          <w:highlight w:val="none"/>
        </w:rPr>
        <w:t>主体结构系统（含基础、钢构支架、车棚顶盖框架）</w:t>
      </w:r>
    </w:p>
    <w:p w14:paraId="123C7057">
      <w:pPr>
        <w:spacing w:line="460" w:lineRule="exact"/>
        <w:ind w:firstLine="400" w:firstLineChars="200"/>
        <w:rPr>
          <w:rFonts w:hint="eastAsia" w:ascii="宋体" w:hAnsi="宋体"/>
          <w:color w:val="auto"/>
          <w:sz w:val="28"/>
          <w:szCs w:val="28"/>
          <w:highlight w:val="none"/>
        </w:rPr>
      </w:pPr>
      <w:r>
        <w:rPr>
          <w:rFonts w:ascii="Symbol" w:hAnsi="Symbol"/>
          <w:color w:val="auto"/>
          <w:sz w:val="20"/>
          <w:szCs w:val="28"/>
          <w:highlight w:val="none"/>
        </w:rPr>
        <w:t></w:t>
      </w:r>
      <w:r>
        <w:rPr>
          <w:rFonts w:ascii="宋体" w:hAnsi="宋体"/>
          <w:color w:val="auto"/>
          <w:sz w:val="28"/>
          <w:szCs w:val="28"/>
          <w:highlight w:val="none"/>
        </w:rPr>
        <w:t>光伏组件及支架系统</w:t>
      </w:r>
    </w:p>
    <w:p w14:paraId="33AE6D9B">
      <w:pPr>
        <w:spacing w:line="460" w:lineRule="exact"/>
        <w:ind w:firstLine="400" w:firstLineChars="200"/>
        <w:rPr>
          <w:rFonts w:hint="eastAsia" w:ascii="宋体" w:hAnsi="宋体"/>
          <w:color w:val="auto"/>
          <w:sz w:val="28"/>
          <w:szCs w:val="28"/>
          <w:highlight w:val="none"/>
        </w:rPr>
      </w:pPr>
      <w:r>
        <w:rPr>
          <w:rFonts w:ascii="Symbol" w:hAnsi="Symbol"/>
          <w:color w:val="auto"/>
          <w:sz w:val="20"/>
          <w:szCs w:val="28"/>
          <w:highlight w:val="none"/>
        </w:rPr>
        <w:t></w:t>
      </w:r>
      <w:r>
        <w:rPr>
          <w:rFonts w:ascii="宋体" w:hAnsi="宋体"/>
          <w:color w:val="auto"/>
          <w:sz w:val="28"/>
          <w:szCs w:val="28"/>
          <w:highlight w:val="none"/>
        </w:rPr>
        <w:t>电气系统（含逆变器、汇流箱、配电设备、线缆敷设）</w:t>
      </w:r>
    </w:p>
    <w:p w14:paraId="45AFAF65">
      <w:pPr>
        <w:spacing w:line="460" w:lineRule="exact"/>
        <w:ind w:firstLine="400" w:firstLineChars="200"/>
        <w:rPr>
          <w:rFonts w:hint="eastAsia" w:ascii="宋体" w:hAnsi="宋体"/>
          <w:color w:val="auto"/>
          <w:sz w:val="28"/>
          <w:szCs w:val="28"/>
          <w:highlight w:val="none"/>
        </w:rPr>
      </w:pPr>
      <w:r>
        <w:rPr>
          <w:rFonts w:ascii="Symbol" w:hAnsi="Symbol"/>
          <w:color w:val="auto"/>
          <w:sz w:val="20"/>
          <w:szCs w:val="28"/>
          <w:highlight w:val="none"/>
        </w:rPr>
        <w:t></w:t>
      </w:r>
      <w:r>
        <w:rPr>
          <w:rFonts w:ascii="宋体" w:hAnsi="宋体"/>
          <w:color w:val="auto"/>
          <w:sz w:val="28"/>
          <w:szCs w:val="28"/>
          <w:highlight w:val="none"/>
        </w:rPr>
        <w:t>防雷接地系统</w:t>
      </w:r>
    </w:p>
    <w:p w14:paraId="7FE89898">
      <w:pPr>
        <w:spacing w:line="460" w:lineRule="exact"/>
        <w:ind w:firstLine="400" w:firstLineChars="200"/>
        <w:rPr>
          <w:rFonts w:hint="eastAsia" w:ascii="宋体" w:hAnsi="宋体"/>
          <w:color w:val="auto"/>
          <w:sz w:val="28"/>
          <w:szCs w:val="28"/>
          <w:highlight w:val="none"/>
        </w:rPr>
      </w:pPr>
      <w:r>
        <w:rPr>
          <w:rFonts w:ascii="Symbol" w:hAnsi="Symbol"/>
          <w:color w:val="auto"/>
          <w:sz w:val="20"/>
          <w:szCs w:val="28"/>
          <w:highlight w:val="none"/>
        </w:rPr>
        <w:t></w:t>
      </w:r>
      <w:r>
        <w:rPr>
          <w:rFonts w:ascii="宋体" w:hAnsi="宋体"/>
          <w:color w:val="auto"/>
          <w:sz w:val="28"/>
          <w:szCs w:val="28"/>
          <w:highlight w:val="none"/>
        </w:rPr>
        <w:t>消防与安全防护系统</w:t>
      </w:r>
    </w:p>
    <w:p w14:paraId="1932F66F">
      <w:pPr>
        <w:spacing w:line="460" w:lineRule="exact"/>
        <w:ind w:firstLine="400" w:firstLineChars="200"/>
        <w:rPr>
          <w:rFonts w:hint="eastAsia" w:ascii="宋体" w:hAnsi="宋体"/>
          <w:color w:val="auto"/>
          <w:sz w:val="28"/>
          <w:szCs w:val="28"/>
          <w:highlight w:val="none"/>
        </w:rPr>
      </w:pPr>
      <w:r>
        <w:rPr>
          <w:rFonts w:ascii="Symbol" w:hAnsi="Symbol"/>
          <w:color w:val="auto"/>
          <w:sz w:val="20"/>
          <w:szCs w:val="28"/>
          <w:highlight w:val="none"/>
        </w:rPr>
        <w:t></w:t>
      </w:r>
      <w:r>
        <w:rPr>
          <w:rFonts w:ascii="宋体" w:hAnsi="宋体"/>
          <w:color w:val="auto"/>
          <w:sz w:val="28"/>
          <w:szCs w:val="28"/>
          <w:highlight w:val="none"/>
        </w:rPr>
        <w:t>附属设施（如充电桩接口预留、照明系统）</w:t>
      </w:r>
    </w:p>
    <w:p w14:paraId="5324B380">
      <w:pPr>
        <w:spacing w:line="460" w:lineRule="exact"/>
        <w:ind w:firstLine="562" w:firstLineChars="200"/>
        <w:rPr>
          <w:rFonts w:hint="eastAsia" w:ascii="宋体" w:hAnsi="宋体"/>
          <w:b/>
          <w:bCs/>
          <w:color w:val="auto"/>
          <w:sz w:val="28"/>
          <w:szCs w:val="28"/>
          <w:highlight w:val="none"/>
        </w:rPr>
      </w:pPr>
      <w:r>
        <w:rPr>
          <w:rFonts w:ascii="宋体" w:hAnsi="宋体"/>
          <w:b/>
          <w:bCs/>
          <w:color w:val="auto"/>
          <w:sz w:val="28"/>
          <w:szCs w:val="28"/>
          <w:highlight w:val="none"/>
        </w:rPr>
        <w:t xml:space="preserve">1.3 </w:t>
      </w:r>
      <w:r>
        <w:rPr>
          <w:rFonts w:hint="eastAsia" w:ascii="宋体" w:hAnsi="宋体"/>
          <w:b/>
          <w:bCs/>
          <w:color w:val="auto"/>
          <w:sz w:val="28"/>
          <w:szCs w:val="28"/>
          <w:highlight w:val="none"/>
        </w:rPr>
        <w:t>实施</w:t>
      </w:r>
      <w:r>
        <w:rPr>
          <w:rFonts w:ascii="宋体" w:hAnsi="宋体"/>
          <w:b/>
          <w:bCs/>
          <w:color w:val="auto"/>
          <w:sz w:val="28"/>
          <w:szCs w:val="28"/>
          <w:highlight w:val="none"/>
        </w:rPr>
        <w:t>目标</w:t>
      </w:r>
    </w:p>
    <w:p w14:paraId="420711A9">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1.安全性：结构承载、抗震、防雷、防火等性能满足规范要求，确保人员、车辆及设备安全；</w:t>
      </w:r>
    </w:p>
    <w:p w14:paraId="243D6A45">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2.可靠性：光伏系统年发电量达标，主体结构设计使用年限不低于 25 年，光伏组件质保不低于 25 年；</w:t>
      </w:r>
    </w:p>
    <w:p w14:paraId="6322A5CB">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3.适用性：适配常见车型（轿车、SUV 等），预留充电接口，兼顾日常停车与</w:t>
      </w:r>
      <w:r>
        <w:rPr>
          <w:rFonts w:hint="eastAsia" w:ascii="宋体" w:hAnsi="宋体"/>
          <w:color w:val="auto"/>
          <w:sz w:val="28"/>
          <w:szCs w:val="28"/>
          <w:highlight w:val="none"/>
        </w:rPr>
        <w:t>充电</w:t>
      </w:r>
      <w:r>
        <w:rPr>
          <w:rFonts w:ascii="宋体" w:hAnsi="宋体"/>
          <w:color w:val="auto"/>
          <w:sz w:val="28"/>
          <w:szCs w:val="28"/>
          <w:highlight w:val="none"/>
        </w:rPr>
        <w:t>功能；</w:t>
      </w:r>
    </w:p>
    <w:p w14:paraId="433F3696">
      <w:pPr>
        <w:spacing w:line="460" w:lineRule="exact"/>
        <w:ind w:firstLine="560" w:firstLineChars="200"/>
        <w:rPr>
          <w:rFonts w:hint="eastAsia" w:ascii="宋体" w:hAnsi="宋体"/>
          <w:color w:val="auto"/>
          <w:sz w:val="24"/>
          <w:highlight w:val="none"/>
        </w:rPr>
      </w:pPr>
      <w:r>
        <w:rPr>
          <w:rFonts w:ascii="宋体" w:hAnsi="宋体"/>
          <w:color w:val="auto"/>
          <w:sz w:val="28"/>
          <w:szCs w:val="28"/>
          <w:highlight w:val="none"/>
        </w:rPr>
        <w:t>4.环保性：减少施工与运营阶段对环境的影响。</w:t>
      </w:r>
    </w:p>
    <w:p w14:paraId="6B1DEA29">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三</w:t>
      </w:r>
      <w:r>
        <w:rPr>
          <w:rFonts w:ascii="宋体" w:hAnsi="宋体"/>
          <w:b/>
          <w:bCs/>
          <w:color w:val="auto"/>
          <w:sz w:val="28"/>
          <w:szCs w:val="28"/>
          <w:highlight w:val="none"/>
        </w:rPr>
        <w:t>、基础设计</w:t>
      </w:r>
      <w:r>
        <w:rPr>
          <w:rFonts w:hint="eastAsia" w:ascii="宋体" w:hAnsi="宋体"/>
          <w:b/>
          <w:bCs/>
          <w:color w:val="auto"/>
          <w:sz w:val="28"/>
          <w:szCs w:val="28"/>
          <w:highlight w:val="none"/>
        </w:rPr>
        <w:t>实施</w:t>
      </w:r>
      <w:r>
        <w:rPr>
          <w:rFonts w:ascii="宋体" w:hAnsi="宋体"/>
          <w:b/>
          <w:bCs/>
          <w:color w:val="auto"/>
          <w:sz w:val="28"/>
          <w:szCs w:val="28"/>
          <w:highlight w:val="none"/>
        </w:rPr>
        <w:t>参数</w:t>
      </w:r>
    </w:p>
    <w:p w14:paraId="75AD26A5">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3</w:t>
      </w:r>
      <w:r>
        <w:rPr>
          <w:rFonts w:ascii="宋体" w:hAnsi="宋体"/>
          <w:b/>
          <w:bCs/>
          <w:color w:val="auto"/>
          <w:sz w:val="28"/>
          <w:szCs w:val="28"/>
          <w:highlight w:val="none"/>
        </w:rPr>
        <w:t>.1 气象与荷载参数</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3"/>
        <w:gridCol w:w="7158"/>
      </w:tblGrid>
      <w:tr w14:paraId="2934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blHeader/>
          <w:jc w:val="center"/>
        </w:trPr>
        <w:tc>
          <w:tcPr>
            <w:tcW w:w="0" w:type="auto"/>
            <w:shd w:val="clear" w:color="auto" w:fill="F2F2F2"/>
            <w:tcMar>
              <w:top w:w="180" w:type="dxa"/>
              <w:left w:w="270" w:type="dxa"/>
              <w:bottom w:w="180" w:type="dxa"/>
              <w:right w:w="270" w:type="dxa"/>
            </w:tcMar>
            <w:vAlign w:val="center"/>
          </w:tcPr>
          <w:p w14:paraId="0EB07C9C">
            <w:pPr>
              <w:spacing w:line="480" w:lineRule="auto"/>
              <w:rPr>
                <w:rFonts w:hint="eastAsia" w:ascii="宋体" w:hAnsi="宋体"/>
                <w:b/>
                <w:bCs/>
                <w:color w:val="auto"/>
                <w:sz w:val="22"/>
                <w:szCs w:val="22"/>
                <w:highlight w:val="none"/>
              </w:rPr>
            </w:pPr>
            <w:r>
              <w:rPr>
                <w:rFonts w:ascii="宋体" w:hAnsi="宋体"/>
                <w:b/>
                <w:bCs/>
                <w:color w:val="auto"/>
                <w:sz w:val="22"/>
                <w:szCs w:val="22"/>
                <w:highlight w:val="none"/>
              </w:rPr>
              <w:t>参数类别</w:t>
            </w:r>
          </w:p>
        </w:tc>
        <w:tc>
          <w:tcPr>
            <w:tcW w:w="0" w:type="auto"/>
            <w:shd w:val="clear" w:color="auto" w:fill="F2F2F2"/>
            <w:tcMar>
              <w:top w:w="180" w:type="dxa"/>
              <w:left w:w="270" w:type="dxa"/>
              <w:bottom w:w="180" w:type="dxa"/>
              <w:right w:w="270" w:type="dxa"/>
            </w:tcMar>
            <w:vAlign w:val="center"/>
          </w:tcPr>
          <w:p w14:paraId="23A9191B">
            <w:pPr>
              <w:spacing w:line="480" w:lineRule="auto"/>
              <w:jc w:val="center"/>
              <w:rPr>
                <w:rFonts w:hint="eastAsia" w:ascii="宋体" w:hAnsi="宋体"/>
                <w:b/>
                <w:bCs/>
                <w:color w:val="auto"/>
                <w:sz w:val="22"/>
                <w:szCs w:val="22"/>
                <w:highlight w:val="none"/>
              </w:rPr>
            </w:pPr>
            <w:r>
              <w:rPr>
                <w:rFonts w:ascii="宋体" w:hAnsi="宋体"/>
                <w:b/>
                <w:bCs/>
                <w:color w:val="auto"/>
                <w:sz w:val="22"/>
                <w:szCs w:val="22"/>
                <w:highlight w:val="none"/>
              </w:rPr>
              <w:t>取值要求</w:t>
            </w:r>
          </w:p>
        </w:tc>
      </w:tr>
      <w:tr w14:paraId="0207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0" w:type="auto"/>
            <w:tcMar>
              <w:top w:w="180" w:type="dxa"/>
              <w:left w:w="270" w:type="dxa"/>
              <w:bottom w:w="180" w:type="dxa"/>
              <w:right w:w="270" w:type="dxa"/>
            </w:tcMar>
            <w:vAlign w:val="center"/>
          </w:tcPr>
          <w:p w14:paraId="6ED9F6FC">
            <w:pPr>
              <w:spacing w:line="480" w:lineRule="auto"/>
              <w:rPr>
                <w:rFonts w:hint="eastAsia" w:ascii="宋体" w:hAnsi="宋体"/>
                <w:color w:val="auto"/>
                <w:sz w:val="22"/>
                <w:szCs w:val="22"/>
                <w:highlight w:val="none"/>
              </w:rPr>
            </w:pPr>
            <w:r>
              <w:rPr>
                <w:rFonts w:ascii="宋体" w:hAnsi="宋体"/>
                <w:color w:val="auto"/>
                <w:sz w:val="22"/>
                <w:szCs w:val="22"/>
                <w:highlight w:val="none"/>
              </w:rPr>
              <w:t>基本风压</w:t>
            </w:r>
          </w:p>
        </w:tc>
        <w:tc>
          <w:tcPr>
            <w:tcW w:w="0" w:type="auto"/>
            <w:tcMar>
              <w:top w:w="180" w:type="dxa"/>
              <w:left w:w="270" w:type="dxa"/>
              <w:bottom w:w="180" w:type="dxa"/>
              <w:right w:w="270" w:type="dxa"/>
            </w:tcMar>
            <w:vAlign w:val="center"/>
          </w:tcPr>
          <w:p w14:paraId="3AE51948">
            <w:pPr>
              <w:spacing w:line="480" w:lineRule="auto"/>
              <w:rPr>
                <w:rFonts w:hint="eastAsia" w:ascii="宋体" w:hAnsi="宋体"/>
                <w:color w:val="auto"/>
                <w:sz w:val="22"/>
                <w:szCs w:val="22"/>
                <w:highlight w:val="none"/>
              </w:rPr>
            </w:pPr>
            <w:r>
              <w:rPr>
                <w:rFonts w:ascii="宋体" w:hAnsi="宋体"/>
                <w:color w:val="auto"/>
                <w:sz w:val="22"/>
                <w:szCs w:val="22"/>
                <w:highlight w:val="none"/>
              </w:rPr>
              <w:t>按项目所在地《建筑结构荷载规范》取值，且不低于 0.30kN/m²，需考虑局部风压增大系数</w:t>
            </w:r>
          </w:p>
        </w:tc>
      </w:tr>
      <w:tr w14:paraId="1792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0" w:type="auto"/>
            <w:tcMar>
              <w:top w:w="180" w:type="dxa"/>
              <w:left w:w="270" w:type="dxa"/>
              <w:bottom w:w="180" w:type="dxa"/>
              <w:right w:w="270" w:type="dxa"/>
            </w:tcMar>
            <w:vAlign w:val="center"/>
          </w:tcPr>
          <w:p w14:paraId="7ED7CEB7">
            <w:pPr>
              <w:spacing w:line="480" w:lineRule="auto"/>
              <w:rPr>
                <w:rFonts w:hint="eastAsia" w:ascii="宋体" w:hAnsi="宋体"/>
                <w:color w:val="auto"/>
                <w:sz w:val="22"/>
                <w:szCs w:val="22"/>
                <w:highlight w:val="none"/>
              </w:rPr>
            </w:pPr>
            <w:r>
              <w:rPr>
                <w:rFonts w:ascii="宋体" w:hAnsi="宋体"/>
                <w:color w:val="auto"/>
                <w:sz w:val="22"/>
                <w:szCs w:val="22"/>
                <w:highlight w:val="none"/>
              </w:rPr>
              <w:t>基本雪压</w:t>
            </w:r>
          </w:p>
        </w:tc>
        <w:tc>
          <w:tcPr>
            <w:tcW w:w="0" w:type="auto"/>
            <w:tcMar>
              <w:top w:w="180" w:type="dxa"/>
              <w:left w:w="270" w:type="dxa"/>
              <w:bottom w:w="180" w:type="dxa"/>
              <w:right w:w="270" w:type="dxa"/>
            </w:tcMar>
            <w:vAlign w:val="center"/>
          </w:tcPr>
          <w:p w14:paraId="38225139">
            <w:pPr>
              <w:spacing w:line="480" w:lineRule="auto"/>
              <w:rPr>
                <w:rFonts w:hint="eastAsia" w:ascii="宋体" w:hAnsi="宋体"/>
                <w:color w:val="auto"/>
                <w:sz w:val="22"/>
                <w:szCs w:val="22"/>
                <w:highlight w:val="none"/>
              </w:rPr>
            </w:pPr>
            <w:r>
              <w:rPr>
                <w:rFonts w:ascii="宋体" w:hAnsi="宋体"/>
                <w:color w:val="auto"/>
                <w:sz w:val="22"/>
                <w:szCs w:val="22"/>
                <w:highlight w:val="none"/>
              </w:rPr>
              <w:t>按项目所在地规范取值，且不低于 0.20kN/m²，积雪荷载需按最不利分布计算</w:t>
            </w:r>
          </w:p>
        </w:tc>
      </w:tr>
      <w:tr w14:paraId="4CE8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0" w:type="auto"/>
            <w:tcMar>
              <w:top w:w="180" w:type="dxa"/>
              <w:left w:w="270" w:type="dxa"/>
              <w:bottom w:w="180" w:type="dxa"/>
              <w:right w:w="270" w:type="dxa"/>
            </w:tcMar>
            <w:vAlign w:val="center"/>
          </w:tcPr>
          <w:p w14:paraId="7455D25C">
            <w:pPr>
              <w:spacing w:line="480" w:lineRule="auto"/>
              <w:rPr>
                <w:rFonts w:hint="eastAsia" w:ascii="宋体" w:hAnsi="宋体"/>
                <w:color w:val="auto"/>
                <w:sz w:val="22"/>
                <w:szCs w:val="22"/>
                <w:highlight w:val="none"/>
              </w:rPr>
            </w:pPr>
            <w:r>
              <w:rPr>
                <w:rFonts w:ascii="宋体" w:hAnsi="宋体"/>
                <w:color w:val="auto"/>
                <w:sz w:val="22"/>
                <w:szCs w:val="22"/>
                <w:highlight w:val="none"/>
              </w:rPr>
              <w:t>活荷载</w:t>
            </w:r>
          </w:p>
        </w:tc>
        <w:tc>
          <w:tcPr>
            <w:tcW w:w="0" w:type="auto"/>
            <w:tcMar>
              <w:top w:w="180" w:type="dxa"/>
              <w:left w:w="270" w:type="dxa"/>
              <w:bottom w:w="180" w:type="dxa"/>
              <w:right w:w="270" w:type="dxa"/>
            </w:tcMar>
            <w:vAlign w:val="center"/>
          </w:tcPr>
          <w:p w14:paraId="1B7404CA">
            <w:pPr>
              <w:spacing w:line="480" w:lineRule="auto"/>
              <w:rPr>
                <w:rFonts w:hint="eastAsia" w:ascii="宋体" w:hAnsi="宋体"/>
                <w:color w:val="auto"/>
                <w:sz w:val="22"/>
                <w:szCs w:val="22"/>
                <w:highlight w:val="none"/>
              </w:rPr>
            </w:pPr>
            <w:r>
              <w:rPr>
                <w:rFonts w:ascii="宋体" w:hAnsi="宋体"/>
                <w:color w:val="auto"/>
                <w:sz w:val="22"/>
                <w:szCs w:val="22"/>
                <w:highlight w:val="none"/>
              </w:rPr>
              <w:t>车棚顶盖活荷载不低于 0.5kN/m²，运维检修荷载不低于 1.0kN/m²（局部集中荷载）</w:t>
            </w:r>
          </w:p>
        </w:tc>
      </w:tr>
      <w:tr w14:paraId="64E3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0" w:type="auto"/>
            <w:tcMar>
              <w:top w:w="180" w:type="dxa"/>
              <w:left w:w="270" w:type="dxa"/>
              <w:bottom w:w="180" w:type="dxa"/>
              <w:right w:w="270" w:type="dxa"/>
            </w:tcMar>
            <w:vAlign w:val="center"/>
          </w:tcPr>
          <w:p w14:paraId="10620F05">
            <w:pPr>
              <w:spacing w:line="480" w:lineRule="auto"/>
              <w:rPr>
                <w:rFonts w:hint="eastAsia" w:ascii="宋体" w:hAnsi="宋体"/>
                <w:color w:val="auto"/>
                <w:sz w:val="22"/>
                <w:szCs w:val="22"/>
                <w:highlight w:val="none"/>
              </w:rPr>
            </w:pPr>
            <w:r>
              <w:rPr>
                <w:rFonts w:ascii="宋体" w:hAnsi="宋体"/>
                <w:color w:val="auto"/>
                <w:sz w:val="22"/>
                <w:szCs w:val="22"/>
                <w:highlight w:val="none"/>
              </w:rPr>
              <w:t>风荷载体型系数</w:t>
            </w:r>
          </w:p>
        </w:tc>
        <w:tc>
          <w:tcPr>
            <w:tcW w:w="0" w:type="auto"/>
            <w:tcMar>
              <w:top w:w="180" w:type="dxa"/>
              <w:left w:w="270" w:type="dxa"/>
              <w:bottom w:w="180" w:type="dxa"/>
              <w:right w:w="270" w:type="dxa"/>
            </w:tcMar>
            <w:vAlign w:val="center"/>
          </w:tcPr>
          <w:p w14:paraId="1CE6FF78">
            <w:pPr>
              <w:spacing w:line="480" w:lineRule="auto"/>
              <w:rPr>
                <w:rFonts w:hint="eastAsia" w:ascii="宋体" w:hAnsi="宋体"/>
                <w:color w:val="auto"/>
                <w:sz w:val="22"/>
                <w:szCs w:val="22"/>
                <w:highlight w:val="none"/>
              </w:rPr>
            </w:pPr>
            <w:r>
              <w:rPr>
                <w:rFonts w:ascii="宋体" w:hAnsi="宋体"/>
                <w:color w:val="auto"/>
                <w:sz w:val="22"/>
                <w:szCs w:val="22"/>
                <w:highlight w:val="none"/>
              </w:rPr>
              <w:t>封闭式车棚取 1.3，半开放式车棚取 1.2，需结合车棚平面布局专项验算</w:t>
            </w:r>
          </w:p>
        </w:tc>
      </w:tr>
      <w:tr w14:paraId="4979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0" w:type="auto"/>
            <w:tcMar>
              <w:top w:w="180" w:type="dxa"/>
              <w:left w:w="270" w:type="dxa"/>
              <w:bottom w:w="180" w:type="dxa"/>
              <w:right w:w="270" w:type="dxa"/>
            </w:tcMar>
            <w:vAlign w:val="center"/>
          </w:tcPr>
          <w:p w14:paraId="0484B807">
            <w:pPr>
              <w:spacing w:line="480" w:lineRule="auto"/>
              <w:rPr>
                <w:rFonts w:hint="eastAsia" w:ascii="宋体" w:hAnsi="宋体"/>
                <w:color w:val="auto"/>
                <w:sz w:val="22"/>
                <w:szCs w:val="22"/>
                <w:highlight w:val="none"/>
              </w:rPr>
            </w:pPr>
            <w:r>
              <w:rPr>
                <w:rFonts w:ascii="宋体" w:hAnsi="宋体"/>
                <w:color w:val="auto"/>
                <w:sz w:val="22"/>
                <w:szCs w:val="22"/>
                <w:highlight w:val="none"/>
              </w:rPr>
              <w:t>温度作用</w:t>
            </w:r>
          </w:p>
        </w:tc>
        <w:tc>
          <w:tcPr>
            <w:tcW w:w="0" w:type="auto"/>
            <w:tcMar>
              <w:top w:w="180" w:type="dxa"/>
              <w:left w:w="270" w:type="dxa"/>
              <w:bottom w:w="180" w:type="dxa"/>
              <w:right w:w="270" w:type="dxa"/>
            </w:tcMar>
            <w:vAlign w:val="center"/>
          </w:tcPr>
          <w:p w14:paraId="72949731">
            <w:pPr>
              <w:spacing w:line="480" w:lineRule="auto"/>
              <w:rPr>
                <w:rFonts w:hint="eastAsia" w:ascii="宋体" w:hAnsi="宋体"/>
                <w:color w:val="auto"/>
                <w:sz w:val="22"/>
                <w:szCs w:val="22"/>
                <w:highlight w:val="none"/>
              </w:rPr>
            </w:pPr>
            <w:r>
              <w:rPr>
                <w:rFonts w:ascii="宋体" w:hAnsi="宋体"/>
                <w:color w:val="auto"/>
                <w:sz w:val="22"/>
                <w:szCs w:val="22"/>
                <w:highlight w:val="none"/>
              </w:rPr>
              <w:t>按项目所在地极端温度范围（-30℃~60℃）考虑温度应力对结构及电气系统的影响</w:t>
            </w:r>
          </w:p>
        </w:tc>
      </w:tr>
    </w:tbl>
    <w:p w14:paraId="48700D14">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3</w:t>
      </w:r>
      <w:r>
        <w:rPr>
          <w:rFonts w:ascii="宋体" w:hAnsi="宋体"/>
          <w:b/>
          <w:bCs/>
          <w:color w:val="auto"/>
          <w:sz w:val="28"/>
          <w:szCs w:val="28"/>
          <w:highlight w:val="none"/>
        </w:rPr>
        <w:t>.2 抗震与地质参数</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96"/>
        <w:gridCol w:w="6600"/>
      </w:tblGrid>
      <w:tr w14:paraId="0FDD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696" w:type="dxa"/>
            <w:shd w:val="clear" w:color="auto" w:fill="F2F2F2"/>
            <w:tcMar>
              <w:top w:w="180" w:type="dxa"/>
              <w:left w:w="270" w:type="dxa"/>
              <w:bottom w:w="180" w:type="dxa"/>
              <w:right w:w="270" w:type="dxa"/>
            </w:tcMar>
            <w:vAlign w:val="center"/>
          </w:tcPr>
          <w:p w14:paraId="0DB28957">
            <w:pPr>
              <w:spacing w:line="480" w:lineRule="auto"/>
              <w:rPr>
                <w:rFonts w:hint="eastAsia" w:ascii="宋体" w:hAnsi="宋体"/>
                <w:b/>
                <w:bCs/>
                <w:color w:val="auto"/>
                <w:sz w:val="22"/>
                <w:szCs w:val="22"/>
                <w:highlight w:val="none"/>
              </w:rPr>
            </w:pPr>
            <w:r>
              <w:rPr>
                <w:rFonts w:ascii="宋体" w:hAnsi="宋体"/>
                <w:b/>
                <w:bCs/>
                <w:color w:val="auto"/>
                <w:sz w:val="22"/>
                <w:szCs w:val="22"/>
                <w:highlight w:val="none"/>
              </w:rPr>
              <w:t>参数类别</w:t>
            </w:r>
          </w:p>
        </w:tc>
        <w:tc>
          <w:tcPr>
            <w:tcW w:w="6600" w:type="dxa"/>
            <w:shd w:val="clear" w:color="auto" w:fill="F2F2F2"/>
            <w:tcMar>
              <w:top w:w="180" w:type="dxa"/>
              <w:left w:w="270" w:type="dxa"/>
              <w:bottom w:w="180" w:type="dxa"/>
              <w:right w:w="270" w:type="dxa"/>
            </w:tcMar>
            <w:vAlign w:val="center"/>
          </w:tcPr>
          <w:p w14:paraId="154B969D">
            <w:pPr>
              <w:spacing w:line="480" w:lineRule="auto"/>
              <w:jc w:val="center"/>
              <w:rPr>
                <w:rFonts w:hint="eastAsia" w:ascii="宋体" w:hAnsi="宋体"/>
                <w:b/>
                <w:bCs/>
                <w:color w:val="auto"/>
                <w:sz w:val="22"/>
                <w:szCs w:val="22"/>
                <w:highlight w:val="none"/>
              </w:rPr>
            </w:pPr>
            <w:r>
              <w:rPr>
                <w:rFonts w:ascii="宋体" w:hAnsi="宋体"/>
                <w:b/>
                <w:bCs/>
                <w:color w:val="auto"/>
                <w:sz w:val="22"/>
                <w:szCs w:val="22"/>
                <w:highlight w:val="none"/>
              </w:rPr>
              <w:t>取值要求</w:t>
            </w:r>
          </w:p>
        </w:tc>
      </w:tr>
      <w:tr w14:paraId="4196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96" w:type="dxa"/>
            <w:tcMar>
              <w:top w:w="180" w:type="dxa"/>
              <w:left w:w="270" w:type="dxa"/>
              <w:bottom w:w="180" w:type="dxa"/>
              <w:right w:w="270" w:type="dxa"/>
            </w:tcMar>
            <w:vAlign w:val="center"/>
          </w:tcPr>
          <w:p w14:paraId="4B2F8667">
            <w:pPr>
              <w:spacing w:line="480" w:lineRule="auto"/>
              <w:rPr>
                <w:rFonts w:hint="eastAsia" w:ascii="宋体" w:hAnsi="宋体"/>
                <w:color w:val="auto"/>
                <w:sz w:val="22"/>
                <w:szCs w:val="22"/>
                <w:highlight w:val="none"/>
              </w:rPr>
            </w:pPr>
            <w:r>
              <w:rPr>
                <w:rFonts w:ascii="宋体" w:hAnsi="宋体"/>
                <w:color w:val="auto"/>
                <w:sz w:val="22"/>
                <w:szCs w:val="22"/>
                <w:highlight w:val="none"/>
              </w:rPr>
              <w:t>抗震设防</w:t>
            </w:r>
          </w:p>
        </w:tc>
        <w:tc>
          <w:tcPr>
            <w:tcW w:w="6600" w:type="dxa"/>
            <w:tcMar>
              <w:top w:w="180" w:type="dxa"/>
              <w:left w:w="270" w:type="dxa"/>
              <w:bottom w:w="180" w:type="dxa"/>
              <w:right w:w="270" w:type="dxa"/>
            </w:tcMar>
            <w:vAlign w:val="center"/>
          </w:tcPr>
          <w:p w14:paraId="79440591">
            <w:pPr>
              <w:spacing w:line="480" w:lineRule="auto"/>
              <w:rPr>
                <w:rFonts w:hint="eastAsia" w:ascii="宋体" w:hAnsi="宋体"/>
                <w:color w:val="auto"/>
                <w:sz w:val="22"/>
                <w:szCs w:val="22"/>
                <w:highlight w:val="none"/>
              </w:rPr>
            </w:pPr>
            <w:r>
              <w:rPr>
                <w:rFonts w:ascii="宋体" w:hAnsi="宋体"/>
                <w:color w:val="auto"/>
                <w:sz w:val="22"/>
                <w:szCs w:val="22"/>
                <w:highlight w:val="none"/>
              </w:rPr>
              <w:t>按项目所在地抗震设防烈度（不低于 6 度）、地震分组及场地类别设计，结构抗震等级不低于三级，关键构件（钢柱、主梁）抗震措施需符合规范加强要求；</w:t>
            </w:r>
          </w:p>
        </w:tc>
      </w:tr>
      <w:tr w14:paraId="12D3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96" w:type="dxa"/>
            <w:tcMar>
              <w:top w:w="180" w:type="dxa"/>
              <w:left w:w="270" w:type="dxa"/>
              <w:bottom w:w="180" w:type="dxa"/>
              <w:right w:w="270" w:type="dxa"/>
            </w:tcMar>
            <w:vAlign w:val="center"/>
          </w:tcPr>
          <w:p w14:paraId="44846AE3">
            <w:pPr>
              <w:spacing w:line="480" w:lineRule="auto"/>
              <w:rPr>
                <w:rFonts w:hint="eastAsia" w:ascii="宋体" w:hAnsi="宋体"/>
                <w:color w:val="auto"/>
                <w:sz w:val="22"/>
                <w:szCs w:val="22"/>
                <w:highlight w:val="none"/>
              </w:rPr>
            </w:pPr>
            <w:r>
              <w:rPr>
                <w:rFonts w:ascii="宋体" w:hAnsi="宋体"/>
                <w:color w:val="auto"/>
                <w:sz w:val="22"/>
                <w:szCs w:val="22"/>
                <w:highlight w:val="none"/>
              </w:rPr>
              <w:t>地质条件</w:t>
            </w:r>
          </w:p>
        </w:tc>
        <w:tc>
          <w:tcPr>
            <w:tcW w:w="6600" w:type="dxa"/>
            <w:tcMar>
              <w:top w:w="180" w:type="dxa"/>
              <w:left w:w="270" w:type="dxa"/>
              <w:bottom w:w="180" w:type="dxa"/>
              <w:right w:w="270" w:type="dxa"/>
            </w:tcMar>
            <w:vAlign w:val="center"/>
          </w:tcPr>
          <w:p w14:paraId="2705567D">
            <w:pPr>
              <w:spacing w:line="480" w:lineRule="auto"/>
              <w:rPr>
                <w:rFonts w:hint="eastAsia" w:ascii="宋体" w:hAnsi="宋体"/>
                <w:color w:val="auto"/>
                <w:sz w:val="22"/>
                <w:szCs w:val="22"/>
                <w:highlight w:val="none"/>
              </w:rPr>
            </w:pPr>
            <w:r>
              <w:rPr>
                <w:rFonts w:ascii="宋体" w:hAnsi="宋体"/>
                <w:color w:val="auto"/>
                <w:sz w:val="22"/>
                <w:szCs w:val="22"/>
                <w:highlight w:val="none"/>
              </w:rPr>
              <w:t>基础设计需依据详细地质勘察报告，明确地基承载力特征值（天然地基不低于 120kPa，若地基承载力不足需采取换填、桩基等处理措施），考虑地下水位对基础的影响，基础抗浮稳定性系数不低于 1.05。</w:t>
            </w:r>
          </w:p>
        </w:tc>
      </w:tr>
    </w:tbl>
    <w:p w14:paraId="63509070">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3</w:t>
      </w:r>
      <w:r>
        <w:rPr>
          <w:rFonts w:ascii="宋体" w:hAnsi="宋体"/>
          <w:b/>
          <w:bCs/>
          <w:color w:val="auto"/>
          <w:sz w:val="28"/>
          <w:szCs w:val="28"/>
          <w:highlight w:val="none"/>
        </w:rPr>
        <w:t>.3 光伏系统核心参数</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96"/>
        <w:gridCol w:w="6600"/>
      </w:tblGrid>
      <w:tr w14:paraId="26BF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696" w:type="dxa"/>
            <w:shd w:val="clear" w:color="auto" w:fill="F2F2F2"/>
            <w:tcMar>
              <w:top w:w="180" w:type="dxa"/>
              <w:left w:w="270" w:type="dxa"/>
              <w:bottom w:w="180" w:type="dxa"/>
              <w:right w:w="270" w:type="dxa"/>
            </w:tcMar>
            <w:vAlign w:val="center"/>
          </w:tcPr>
          <w:p w14:paraId="24C20290">
            <w:pPr>
              <w:spacing w:line="480" w:lineRule="auto"/>
              <w:rPr>
                <w:rFonts w:hint="eastAsia" w:ascii="宋体" w:hAnsi="宋体"/>
                <w:b/>
                <w:bCs/>
                <w:color w:val="auto"/>
                <w:sz w:val="22"/>
                <w:szCs w:val="22"/>
                <w:highlight w:val="none"/>
              </w:rPr>
            </w:pPr>
            <w:r>
              <w:rPr>
                <w:rFonts w:ascii="宋体" w:hAnsi="宋体"/>
                <w:b/>
                <w:bCs/>
                <w:color w:val="auto"/>
                <w:sz w:val="22"/>
                <w:szCs w:val="22"/>
                <w:highlight w:val="none"/>
              </w:rPr>
              <w:t>系统参数</w:t>
            </w:r>
          </w:p>
        </w:tc>
        <w:tc>
          <w:tcPr>
            <w:tcW w:w="6600" w:type="dxa"/>
            <w:shd w:val="clear" w:color="auto" w:fill="F2F2F2"/>
            <w:tcMar>
              <w:top w:w="180" w:type="dxa"/>
              <w:left w:w="270" w:type="dxa"/>
              <w:bottom w:w="180" w:type="dxa"/>
              <w:right w:w="270" w:type="dxa"/>
            </w:tcMar>
            <w:vAlign w:val="center"/>
          </w:tcPr>
          <w:p w14:paraId="41E91B0A">
            <w:pPr>
              <w:spacing w:line="480" w:lineRule="auto"/>
              <w:jc w:val="center"/>
              <w:rPr>
                <w:rFonts w:hint="eastAsia" w:ascii="宋体" w:hAnsi="宋体"/>
                <w:b/>
                <w:bCs/>
                <w:color w:val="auto"/>
                <w:sz w:val="22"/>
                <w:szCs w:val="22"/>
                <w:highlight w:val="none"/>
              </w:rPr>
            </w:pPr>
            <w:r>
              <w:rPr>
                <w:rFonts w:ascii="宋体" w:hAnsi="宋体"/>
                <w:b/>
                <w:bCs/>
                <w:color w:val="auto"/>
                <w:sz w:val="22"/>
                <w:szCs w:val="22"/>
                <w:highlight w:val="none"/>
              </w:rPr>
              <w:t>设计要求</w:t>
            </w:r>
          </w:p>
        </w:tc>
      </w:tr>
      <w:tr w14:paraId="7742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96" w:type="dxa"/>
            <w:tcMar>
              <w:top w:w="180" w:type="dxa"/>
              <w:left w:w="270" w:type="dxa"/>
              <w:bottom w:w="180" w:type="dxa"/>
              <w:right w:w="270" w:type="dxa"/>
            </w:tcMar>
            <w:vAlign w:val="center"/>
          </w:tcPr>
          <w:p w14:paraId="0E807BA2">
            <w:pPr>
              <w:spacing w:line="480" w:lineRule="auto"/>
              <w:rPr>
                <w:rFonts w:hint="eastAsia" w:ascii="宋体" w:hAnsi="宋体"/>
                <w:color w:val="auto"/>
                <w:sz w:val="22"/>
                <w:szCs w:val="22"/>
                <w:highlight w:val="none"/>
              </w:rPr>
            </w:pPr>
            <w:r>
              <w:rPr>
                <w:rFonts w:ascii="宋体" w:hAnsi="宋体"/>
                <w:color w:val="auto"/>
                <w:sz w:val="22"/>
                <w:szCs w:val="22"/>
                <w:highlight w:val="none"/>
              </w:rPr>
              <w:t>光伏组件类型</w:t>
            </w:r>
          </w:p>
        </w:tc>
        <w:tc>
          <w:tcPr>
            <w:tcW w:w="6600" w:type="dxa"/>
            <w:tcMar>
              <w:top w:w="180" w:type="dxa"/>
              <w:left w:w="270" w:type="dxa"/>
              <w:bottom w:w="180" w:type="dxa"/>
              <w:right w:w="270" w:type="dxa"/>
            </w:tcMar>
            <w:vAlign w:val="center"/>
          </w:tcPr>
          <w:p w14:paraId="7213A8E0">
            <w:pPr>
              <w:spacing w:line="480" w:lineRule="auto"/>
              <w:rPr>
                <w:rFonts w:hint="eastAsia" w:ascii="宋体" w:hAnsi="宋体"/>
                <w:color w:val="auto"/>
                <w:sz w:val="22"/>
                <w:szCs w:val="22"/>
                <w:highlight w:val="none"/>
              </w:rPr>
            </w:pPr>
            <w:r>
              <w:rPr>
                <w:rFonts w:ascii="宋体" w:hAnsi="宋体"/>
                <w:color w:val="auto"/>
                <w:sz w:val="22"/>
                <w:szCs w:val="22"/>
                <w:highlight w:val="none"/>
              </w:rPr>
              <w:t>优先选用单晶硅组件，转换效率不低于23%，组件尺寸需适配车棚顶盖跨度，抗风揭性能满足 GB/T 34909 要求</w:t>
            </w:r>
          </w:p>
        </w:tc>
      </w:tr>
      <w:tr w14:paraId="3840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96" w:type="dxa"/>
            <w:tcMar>
              <w:top w:w="180" w:type="dxa"/>
              <w:left w:w="270" w:type="dxa"/>
              <w:bottom w:w="180" w:type="dxa"/>
              <w:right w:w="270" w:type="dxa"/>
            </w:tcMar>
            <w:vAlign w:val="center"/>
          </w:tcPr>
          <w:p w14:paraId="4F4D087B">
            <w:pPr>
              <w:spacing w:line="480" w:lineRule="auto"/>
              <w:rPr>
                <w:rFonts w:hint="eastAsia" w:ascii="宋体" w:hAnsi="宋体"/>
                <w:color w:val="auto"/>
                <w:sz w:val="22"/>
                <w:szCs w:val="22"/>
                <w:highlight w:val="none"/>
              </w:rPr>
            </w:pPr>
            <w:r>
              <w:rPr>
                <w:rFonts w:ascii="宋体" w:hAnsi="宋体"/>
                <w:color w:val="auto"/>
                <w:sz w:val="22"/>
                <w:szCs w:val="22"/>
                <w:highlight w:val="none"/>
              </w:rPr>
              <w:t>逆变器效率</w:t>
            </w:r>
          </w:p>
        </w:tc>
        <w:tc>
          <w:tcPr>
            <w:tcW w:w="6600" w:type="dxa"/>
            <w:tcMar>
              <w:top w:w="180" w:type="dxa"/>
              <w:left w:w="270" w:type="dxa"/>
              <w:bottom w:w="180" w:type="dxa"/>
              <w:right w:w="270" w:type="dxa"/>
            </w:tcMar>
            <w:vAlign w:val="center"/>
          </w:tcPr>
          <w:p w14:paraId="594B4919">
            <w:pPr>
              <w:spacing w:line="480" w:lineRule="auto"/>
              <w:rPr>
                <w:rFonts w:hint="eastAsia" w:ascii="宋体" w:hAnsi="宋体"/>
                <w:color w:val="auto"/>
                <w:sz w:val="22"/>
                <w:szCs w:val="22"/>
                <w:highlight w:val="none"/>
              </w:rPr>
            </w:pPr>
            <w:r>
              <w:rPr>
                <w:rFonts w:ascii="宋体" w:hAnsi="宋体"/>
                <w:color w:val="auto"/>
                <w:sz w:val="22"/>
                <w:szCs w:val="22"/>
                <w:highlight w:val="none"/>
              </w:rPr>
              <w:t>组串式逆变器最大转换效率不低于 98.5%，MPPT 跟踪精度不低于 99%，具备防孤岛、过压过流保护功能</w:t>
            </w:r>
          </w:p>
        </w:tc>
      </w:tr>
      <w:tr w14:paraId="2910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96" w:type="dxa"/>
            <w:tcMar>
              <w:top w:w="180" w:type="dxa"/>
              <w:left w:w="270" w:type="dxa"/>
              <w:bottom w:w="180" w:type="dxa"/>
              <w:right w:w="270" w:type="dxa"/>
            </w:tcMar>
            <w:vAlign w:val="center"/>
          </w:tcPr>
          <w:p w14:paraId="10E2403A">
            <w:pPr>
              <w:spacing w:line="480" w:lineRule="auto"/>
              <w:rPr>
                <w:rFonts w:hint="eastAsia" w:ascii="宋体" w:hAnsi="宋体"/>
                <w:color w:val="auto"/>
                <w:sz w:val="22"/>
                <w:szCs w:val="22"/>
                <w:highlight w:val="none"/>
              </w:rPr>
            </w:pPr>
            <w:r>
              <w:rPr>
                <w:rFonts w:ascii="宋体" w:hAnsi="宋体"/>
                <w:color w:val="auto"/>
                <w:sz w:val="22"/>
                <w:szCs w:val="22"/>
                <w:highlight w:val="none"/>
              </w:rPr>
              <w:t>系统年发电量</w:t>
            </w:r>
          </w:p>
        </w:tc>
        <w:tc>
          <w:tcPr>
            <w:tcW w:w="6600" w:type="dxa"/>
            <w:tcMar>
              <w:top w:w="180" w:type="dxa"/>
              <w:left w:w="270" w:type="dxa"/>
              <w:bottom w:w="180" w:type="dxa"/>
              <w:right w:w="270" w:type="dxa"/>
            </w:tcMar>
            <w:vAlign w:val="center"/>
          </w:tcPr>
          <w:p w14:paraId="52C6A0B9">
            <w:pPr>
              <w:spacing w:line="480" w:lineRule="auto"/>
              <w:rPr>
                <w:rFonts w:hint="eastAsia" w:ascii="宋体" w:hAnsi="宋体"/>
                <w:color w:val="auto"/>
                <w:sz w:val="22"/>
                <w:szCs w:val="22"/>
                <w:highlight w:val="none"/>
              </w:rPr>
            </w:pPr>
            <w:r>
              <w:rPr>
                <w:rFonts w:ascii="宋体" w:hAnsi="宋体"/>
                <w:color w:val="auto"/>
                <w:sz w:val="22"/>
                <w:szCs w:val="22"/>
                <w:highlight w:val="none"/>
              </w:rPr>
              <w:t>按项目所在地年平均辐照量计算，首年发电量衰减率不超过 2%，25 年发电量衰减率不超过 20%</w:t>
            </w:r>
          </w:p>
        </w:tc>
      </w:tr>
      <w:tr w14:paraId="462A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96" w:type="dxa"/>
            <w:tcMar>
              <w:top w:w="180" w:type="dxa"/>
              <w:left w:w="270" w:type="dxa"/>
              <w:bottom w:w="180" w:type="dxa"/>
              <w:right w:w="270" w:type="dxa"/>
            </w:tcMar>
            <w:vAlign w:val="center"/>
          </w:tcPr>
          <w:p w14:paraId="03B40260">
            <w:pPr>
              <w:spacing w:line="480" w:lineRule="auto"/>
              <w:rPr>
                <w:rFonts w:hint="eastAsia" w:ascii="宋体" w:hAnsi="宋体"/>
                <w:color w:val="auto"/>
                <w:sz w:val="22"/>
                <w:szCs w:val="22"/>
                <w:highlight w:val="none"/>
              </w:rPr>
            </w:pPr>
            <w:r>
              <w:rPr>
                <w:rFonts w:ascii="宋体" w:hAnsi="宋体"/>
                <w:color w:val="auto"/>
                <w:sz w:val="22"/>
                <w:szCs w:val="22"/>
                <w:highlight w:val="none"/>
              </w:rPr>
              <w:t>并网电压等级</w:t>
            </w:r>
          </w:p>
        </w:tc>
        <w:tc>
          <w:tcPr>
            <w:tcW w:w="6600" w:type="dxa"/>
            <w:tcMar>
              <w:top w:w="180" w:type="dxa"/>
              <w:left w:w="270" w:type="dxa"/>
              <w:bottom w:w="180" w:type="dxa"/>
              <w:right w:w="270" w:type="dxa"/>
            </w:tcMar>
            <w:vAlign w:val="center"/>
          </w:tcPr>
          <w:p w14:paraId="2BCBD7FF">
            <w:pPr>
              <w:spacing w:line="480" w:lineRule="auto"/>
              <w:rPr>
                <w:rFonts w:hint="eastAsia" w:ascii="宋体" w:hAnsi="宋体"/>
                <w:color w:val="auto"/>
                <w:sz w:val="22"/>
                <w:szCs w:val="22"/>
                <w:highlight w:val="none"/>
              </w:rPr>
            </w:pPr>
            <w:r>
              <w:rPr>
                <w:rFonts w:ascii="宋体" w:hAnsi="宋体"/>
                <w:color w:val="auto"/>
                <w:sz w:val="22"/>
                <w:szCs w:val="22"/>
                <w:highlight w:val="none"/>
              </w:rPr>
              <w:t>低压并网（380V），需符合电网公司并网技术要求</w:t>
            </w:r>
          </w:p>
        </w:tc>
      </w:tr>
      <w:tr w14:paraId="2EE3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96" w:type="dxa"/>
            <w:tcMar>
              <w:top w:w="180" w:type="dxa"/>
              <w:left w:w="270" w:type="dxa"/>
              <w:bottom w:w="180" w:type="dxa"/>
              <w:right w:w="270" w:type="dxa"/>
            </w:tcMar>
            <w:vAlign w:val="center"/>
          </w:tcPr>
          <w:p w14:paraId="56E1C662">
            <w:pPr>
              <w:spacing w:line="480" w:lineRule="auto"/>
              <w:rPr>
                <w:rFonts w:hint="eastAsia" w:ascii="宋体" w:hAnsi="宋体"/>
                <w:color w:val="auto"/>
                <w:sz w:val="22"/>
                <w:szCs w:val="22"/>
                <w:highlight w:val="none"/>
              </w:rPr>
            </w:pPr>
            <w:r>
              <w:rPr>
                <w:rFonts w:ascii="宋体" w:hAnsi="宋体"/>
                <w:color w:val="auto"/>
                <w:sz w:val="22"/>
                <w:szCs w:val="22"/>
                <w:highlight w:val="none"/>
              </w:rPr>
              <w:t>光伏支架倾角</w:t>
            </w:r>
          </w:p>
        </w:tc>
        <w:tc>
          <w:tcPr>
            <w:tcW w:w="6600" w:type="dxa"/>
            <w:tcMar>
              <w:top w:w="180" w:type="dxa"/>
              <w:left w:w="270" w:type="dxa"/>
              <w:bottom w:w="180" w:type="dxa"/>
              <w:right w:w="270" w:type="dxa"/>
            </w:tcMar>
            <w:vAlign w:val="center"/>
          </w:tcPr>
          <w:p w14:paraId="2E84920B">
            <w:pPr>
              <w:spacing w:line="480" w:lineRule="auto"/>
              <w:rPr>
                <w:rFonts w:hint="eastAsia" w:ascii="宋体" w:hAnsi="宋体"/>
                <w:color w:val="auto"/>
                <w:sz w:val="22"/>
                <w:szCs w:val="22"/>
                <w:highlight w:val="none"/>
              </w:rPr>
            </w:pPr>
            <w:r>
              <w:rPr>
                <w:rFonts w:ascii="宋体" w:hAnsi="宋体"/>
                <w:color w:val="auto"/>
                <w:sz w:val="22"/>
                <w:szCs w:val="22"/>
                <w:highlight w:val="none"/>
              </w:rPr>
              <w:t>结合项目所在地纬度优化设计，倾角偏差不超过 ±1°，确保组件接收最佳太阳辐照</w:t>
            </w:r>
          </w:p>
        </w:tc>
      </w:tr>
    </w:tbl>
    <w:p w14:paraId="65F898C8">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四</w:t>
      </w:r>
      <w:r>
        <w:rPr>
          <w:rFonts w:ascii="宋体" w:hAnsi="宋体"/>
          <w:b/>
          <w:bCs/>
          <w:color w:val="auto"/>
          <w:sz w:val="28"/>
          <w:szCs w:val="28"/>
          <w:highlight w:val="none"/>
        </w:rPr>
        <w:t>、主体结构设计</w:t>
      </w:r>
      <w:r>
        <w:rPr>
          <w:rFonts w:hint="eastAsia" w:ascii="宋体" w:hAnsi="宋体"/>
          <w:b/>
          <w:bCs/>
          <w:color w:val="auto"/>
          <w:sz w:val="28"/>
          <w:szCs w:val="28"/>
          <w:highlight w:val="none"/>
        </w:rPr>
        <w:t>实施</w:t>
      </w:r>
      <w:r>
        <w:rPr>
          <w:rFonts w:ascii="宋体" w:hAnsi="宋体"/>
          <w:b/>
          <w:bCs/>
          <w:color w:val="auto"/>
          <w:sz w:val="28"/>
          <w:szCs w:val="28"/>
          <w:highlight w:val="none"/>
        </w:rPr>
        <w:t>标准</w:t>
      </w:r>
    </w:p>
    <w:p w14:paraId="0D0A10CB">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4</w:t>
      </w:r>
      <w:r>
        <w:rPr>
          <w:rFonts w:ascii="宋体" w:hAnsi="宋体"/>
          <w:b/>
          <w:bCs/>
          <w:color w:val="auto"/>
          <w:sz w:val="28"/>
          <w:szCs w:val="28"/>
          <w:highlight w:val="none"/>
        </w:rPr>
        <w:t>.1 结构形式</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96"/>
        <w:gridCol w:w="6600"/>
      </w:tblGrid>
      <w:tr w14:paraId="1F4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696" w:type="dxa"/>
            <w:shd w:val="clear" w:color="auto" w:fill="F2F2F2"/>
            <w:tcMar>
              <w:top w:w="180" w:type="dxa"/>
              <w:left w:w="270" w:type="dxa"/>
              <w:bottom w:w="180" w:type="dxa"/>
              <w:right w:w="270" w:type="dxa"/>
            </w:tcMar>
            <w:vAlign w:val="center"/>
          </w:tcPr>
          <w:p w14:paraId="5632F0F2">
            <w:pPr>
              <w:spacing w:line="480" w:lineRule="auto"/>
              <w:rPr>
                <w:rFonts w:hint="eastAsia" w:ascii="宋体" w:hAnsi="宋体"/>
                <w:b/>
                <w:bCs/>
                <w:color w:val="auto"/>
                <w:sz w:val="22"/>
                <w:szCs w:val="22"/>
                <w:highlight w:val="none"/>
              </w:rPr>
            </w:pPr>
            <w:r>
              <w:rPr>
                <w:rFonts w:ascii="宋体" w:hAnsi="宋体"/>
                <w:b/>
                <w:bCs/>
                <w:color w:val="auto"/>
                <w:sz w:val="22"/>
                <w:szCs w:val="22"/>
                <w:highlight w:val="none"/>
              </w:rPr>
              <w:t>参数类别</w:t>
            </w:r>
          </w:p>
        </w:tc>
        <w:tc>
          <w:tcPr>
            <w:tcW w:w="6600" w:type="dxa"/>
            <w:shd w:val="clear" w:color="auto" w:fill="F2F2F2"/>
            <w:tcMar>
              <w:top w:w="180" w:type="dxa"/>
              <w:left w:w="270" w:type="dxa"/>
              <w:bottom w:w="180" w:type="dxa"/>
              <w:right w:w="270" w:type="dxa"/>
            </w:tcMar>
            <w:vAlign w:val="center"/>
          </w:tcPr>
          <w:p w14:paraId="7B524C67">
            <w:pPr>
              <w:spacing w:line="480" w:lineRule="auto"/>
              <w:jc w:val="center"/>
              <w:rPr>
                <w:rFonts w:hint="eastAsia" w:ascii="宋体" w:hAnsi="宋体"/>
                <w:b/>
                <w:bCs/>
                <w:color w:val="auto"/>
                <w:sz w:val="22"/>
                <w:szCs w:val="22"/>
                <w:highlight w:val="none"/>
              </w:rPr>
            </w:pPr>
            <w:r>
              <w:rPr>
                <w:rFonts w:ascii="宋体" w:hAnsi="宋体"/>
                <w:b/>
                <w:bCs/>
                <w:color w:val="auto"/>
                <w:sz w:val="22"/>
                <w:szCs w:val="22"/>
                <w:highlight w:val="none"/>
              </w:rPr>
              <w:t>取值要求</w:t>
            </w:r>
          </w:p>
        </w:tc>
      </w:tr>
      <w:tr w14:paraId="251F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96" w:type="dxa"/>
            <w:tcMar>
              <w:top w:w="180" w:type="dxa"/>
              <w:left w:w="270" w:type="dxa"/>
              <w:bottom w:w="180" w:type="dxa"/>
              <w:right w:w="270" w:type="dxa"/>
            </w:tcMar>
            <w:vAlign w:val="center"/>
          </w:tcPr>
          <w:p w14:paraId="73E6A460">
            <w:pPr>
              <w:spacing w:line="480" w:lineRule="auto"/>
              <w:rPr>
                <w:rFonts w:hint="eastAsia" w:ascii="宋体" w:hAnsi="宋体"/>
                <w:color w:val="auto"/>
                <w:sz w:val="22"/>
                <w:szCs w:val="22"/>
                <w:highlight w:val="none"/>
              </w:rPr>
            </w:pPr>
            <w:r>
              <w:rPr>
                <w:rFonts w:ascii="宋体" w:hAnsi="宋体"/>
                <w:color w:val="auto"/>
                <w:sz w:val="22"/>
                <w:szCs w:val="22"/>
                <w:highlight w:val="none"/>
              </w:rPr>
              <w:t>主体框架</w:t>
            </w:r>
          </w:p>
        </w:tc>
        <w:tc>
          <w:tcPr>
            <w:tcW w:w="6600" w:type="dxa"/>
            <w:tcMar>
              <w:top w:w="180" w:type="dxa"/>
              <w:left w:w="270" w:type="dxa"/>
              <w:bottom w:w="180" w:type="dxa"/>
              <w:right w:w="270" w:type="dxa"/>
            </w:tcMar>
            <w:vAlign w:val="center"/>
          </w:tcPr>
          <w:p w14:paraId="723CE4B8">
            <w:pPr>
              <w:spacing w:line="480" w:lineRule="auto"/>
              <w:rPr>
                <w:rFonts w:hint="eastAsia" w:ascii="宋体" w:hAnsi="宋体"/>
                <w:color w:val="auto"/>
                <w:sz w:val="22"/>
                <w:szCs w:val="22"/>
                <w:highlight w:val="none"/>
              </w:rPr>
            </w:pPr>
            <w:r>
              <w:rPr>
                <w:rFonts w:ascii="宋体" w:hAnsi="宋体"/>
                <w:color w:val="auto"/>
                <w:sz w:val="22"/>
                <w:szCs w:val="22"/>
                <w:highlight w:val="none"/>
              </w:rPr>
              <w:t>采用门式刚架或桁架式钢结构，单跨跨度根据停车需求确定（单车道跨度不小于 5.5m，双车道跨度不小于 9.0m），柱距不大于 6.0m，车棚净高不低于 2.8m（大型车辆停放区不低于 3.5m）</w:t>
            </w:r>
          </w:p>
        </w:tc>
      </w:tr>
    </w:tbl>
    <w:p w14:paraId="3CAAB82E">
      <w:pPr>
        <w:pStyle w:val="121"/>
        <w:numPr>
          <w:ilvl w:val="1"/>
          <w:numId w:val="0"/>
        </w:numPr>
        <w:spacing w:line="460" w:lineRule="exact"/>
        <w:ind w:left="462" w:leftChars="220" w:firstLine="48" w:firstLineChars="17"/>
        <w:rPr>
          <w:rFonts w:hint="eastAsia" w:ascii="宋体" w:hAnsi="宋体"/>
          <w:color w:val="auto"/>
          <w:sz w:val="28"/>
          <w:szCs w:val="28"/>
          <w:highlight w:val="none"/>
        </w:rPr>
      </w:pPr>
      <w:r>
        <w:rPr>
          <w:rFonts w:hint="eastAsia" w:ascii="宋体" w:hAnsi="宋体"/>
          <w:b/>
          <w:color w:val="auto"/>
          <w:sz w:val="28"/>
          <w:szCs w:val="28"/>
          <w:highlight w:val="none"/>
        </w:rPr>
        <w:t>4</w:t>
      </w:r>
      <w:r>
        <w:rPr>
          <w:rFonts w:ascii="宋体" w:hAnsi="宋体"/>
          <w:b/>
          <w:color w:val="auto"/>
          <w:sz w:val="28"/>
          <w:szCs w:val="28"/>
          <w:highlight w:val="none"/>
        </w:rPr>
        <w:t>.2</w:t>
      </w:r>
      <w:r>
        <w:rPr>
          <w:rFonts w:hint="eastAsia" w:ascii="宋体" w:hAnsi="宋体"/>
          <w:b/>
          <w:bCs/>
          <w:color w:val="auto"/>
          <w:sz w:val="28"/>
          <w:szCs w:val="28"/>
          <w:highlight w:val="none"/>
        </w:rPr>
        <w:t xml:space="preserve"> </w:t>
      </w:r>
      <w:r>
        <w:rPr>
          <w:rFonts w:ascii="宋体" w:hAnsi="宋体"/>
          <w:b/>
          <w:bCs/>
          <w:color w:val="auto"/>
          <w:sz w:val="28"/>
          <w:szCs w:val="28"/>
          <w:highlight w:val="none"/>
        </w:rPr>
        <w:t>材料要求</w:t>
      </w:r>
      <w:r>
        <w:rPr>
          <w:rFonts w:ascii="宋体" w:hAnsi="宋体"/>
          <w:color w:val="auto"/>
          <w:sz w:val="28"/>
          <w:szCs w:val="28"/>
          <w:highlight w:val="none"/>
        </w:rPr>
        <w:t>：</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54"/>
        <w:gridCol w:w="6825"/>
      </w:tblGrid>
      <w:tr w14:paraId="2F87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blHeader/>
          <w:jc w:val="center"/>
        </w:trPr>
        <w:tc>
          <w:tcPr>
            <w:tcW w:w="1754" w:type="dxa"/>
            <w:shd w:val="clear" w:color="auto" w:fill="F2F2F2"/>
            <w:tcMar>
              <w:top w:w="180" w:type="dxa"/>
              <w:left w:w="270" w:type="dxa"/>
              <w:bottom w:w="180" w:type="dxa"/>
              <w:right w:w="270" w:type="dxa"/>
            </w:tcMar>
            <w:vAlign w:val="center"/>
          </w:tcPr>
          <w:p w14:paraId="7C68A0F6">
            <w:pPr>
              <w:spacing w:line="480" w:lineRule="auto"/>
              <w:rPr>
                <w:rFonts w:hint="eastAsia" w:ascii="宋体" w:hAnsi="宋体"/>
                <w:b/>
                <w:bCs/>
                <w:color w:val="auto"/>
                <w:sz w:val="22"/>
                <w:szCs w:val="22"/>
                <w:highlight w:val="none"/>
              </w:rPr>
            </w:pPr>
            <w:r>
              <w:rPr>
                <w:rFonts w:ascii="宋体" w:hAnsi="宋体"/>
                <w:b/>
                <w:bCs/>
                <w:color w:val="auto"/>
                <w:sz w:val="22"/>
                <w:szCs w:val="22"/>
                <w:highlight w:val="none"/>
              </w:rPr>
              <w:t>参数类别</w:t>
            </w:r>
          </w:p>
        </w:tc>
        <w:tc>
          <w:tcPr>
            <w:tcW w:w="6825" w:type="dxa"/>
            <w:shd w:val="clear" w:color="auto" w:fill="F2F2F2"/>
            <w:tcMar>
              <w:top w:w="180" w:type="dxa"/>
              <w:left w:w="270" w:type="dxa"/>
              <w:bottom w:w="180" w:type="dxa"/>
              <w:right w:w="270" w:type="dxa"/>
            </w:tcMar>
            <w:vAlign w:val="center"/>
          </w:tcPr>
          <w:p w14:paraId="54F3FEEB">
            <w:pPr>
              <w:spacing w:line="480" w:lineRule="auto"/>
              <w:rPr>
                <w:rFonts w:hint="eastAsia" w:ascii="宋体" w:hAnsi="宋体"/>
                <w:b/>
                <w:bCs/>
                <w:color w:val="auto"/>
                <w:sz w:val="22"/>
                <w:szCs w:val="22"/>
                <w:highlight w:val="none"/>
              </w:rPr>
            </w:pPr>
            <w:r>
              <w:rPr>
                <w:rFonts w:ascii="宋体" w:hAnsi="宋体"/>
                <w:b/>
                <w:bCs/>
                <w:color w:val="auto"/>
                <w:sz w:val="22"/>
                <w:szCs w:val="22"/>
                <w:highlight w:val="none"/>
              </w:rPr>
              <w:t>取值要求</w:t>
            </w:r>
          </w:p>
        </w:tc>
      </w:tr>
      <w:tr w14:paraId="4C67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jc w:val="center"/>
        </w:trPr>
        <w:tc>
          <w:tcPr>
            <w:tcW w:w="1754" w:type="dxa"/>
            <w:tcMar>
              <w:top w:w="180" w:type="dxa"/>
              <w:left w:w="270" w:type="dxa"/>
              <w:bottom w:w="180" w:type="dxa"/>
              <w:right w:w="270" w:type="dxa"/>
            </w:tcMar>
            <w:vAlign w:val="center"/>
          </w:tcPr>
          <w:p w14:paraId="767FC068">
            <w:pPr>
              <w:spacing w:line="480" w:lineRule="auto"/>
              <w:rPr>
                <w:rFonts w:hint="eastAsia" w:ascii="宋体" w:hAnsi="宋体"/>
                <w:color w:val="auto"/>
                <w:sz w:val="22"/>
                <w:szCs w:val="22"/>
                <w:highlight w:val="none"/>
              </w:rPr>
            </w:pPr>
            <w:r>
              <w:rPr>
                <w:rFonts w:ascii="宋体" w:hAnsi="宋体"/>
                <w:color w:val="auto"/>
                <w:sz w:val="22"/>
                <w:szCs w:val="22"/>
                <w:highlight w:val="none"/>
              </w:rPr>
              <w:t>钢结构主材</w:t>
            </w:r>
          </w:p>
        </w:tc>
        <w:tc>
          <w:tcPr>
            <w:tcW w:w="6825" w:type="dxa"/>
            <w:tcMar>
              <w:top w:w="180" w:type="dxa"/>
              <w:left w:w="270" w:type="dxa"/>
              <w:bottom w:w="180" w:type="dxa"/>
              <w:right w:w="270" w:type="dxa"/>
            </w:tcMar>
            <w:vAlign w:val="center"/>
          </w:tcPr>
          <w:p w14:paraId="1E054CFF">
            <w:pPr>
              <w:spacing w:line="480" w:lineRule="auto"/>
              <w:rPr>
                <w:rFonts w:hint="eastAsia" w:ascii="宋体" w:hAnsi="宋体"/>
                <w:color w:val="auto"/>
                <w:sz w:val="22"/>
                <w:szCs w:val="22"/>
                <w:highlight w:val="none"/>
              </w:rPr>
            </w:pPr>
            <w:r>
              <w:rPr>
                <w:rFonts w:ascii="宋体" w:hAnsi="宋体"/>
                <w:color w:val="auto"/>
                <w:sz w:val="22"/>
                <w:szCs w:val="22"/>
                <w:highlight w:val="none"/>
              </w:rPr>
              <w:t>立柱、主梁采用 Q355B 钢材，腹板厚度不小于 8mm，翼缘厚度不小于 10mm，钢材力学性能需符合 GB/T 1591 要求</w:t>
            </w:r>
          </w:p>
        </w:tc>
      </w:tr>
      <w:tr w14:paraId="0DAF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jc w:val="center"/>
        </w:trPr>
        <w:tc>
          <w:tcPr>
            <w:tcW w:w="1754" w:type="dxa"/>
            <w:tcMar>
              <w:top w:w="180" w:type="dxa"/>
              <w:left w:w="270" w:type="dxa"/>
              <w:bottom w:w="180" w:type="dxa"/>
              <w:right w:w="270" w:type="dxa"/>
            </w:tcMar>
            <w:vAlign w:val="center"/>
          </w:tcPr>
          <w:p w14:paraId="3A8558BA">
            <w:pPr>
              <w:spacing w:line="480" w:lineRule="auto"/>
              <w:rPr>
                <w:rFonts w:hint="eastAsia" w:ascii="宋体" w:hAnsi="宋体"/>
                <w:color w:val="auto"/>
                <w:sz w:val="22"/>
                <w:szCs w:val="22"/>
                <w:highlight w:val="none"/>
              </w:rPr>
            </w:pPr>
            <w:r>
              <w:rPr>
                <w:rFonts w:ascii="宋体" w:hAnsi="宋体"/>
                <w:color w:val="auto"/>
                <w:sz w:val="22"/>
                <w:szCs w:val="22"/>
                <w:highlight w:val="none"/>
              </w:rPr>
              <w:t>连接螺栓</w:t>
            </w:r>
          </w:p>
        </w:tc>
        <w:tc>
          <w:tcPr>
            <w:tcW w:w="6825" w:type="dxa"/>
            <w:tcMar>
              <w:top w:w="180" w:type="dxa"/>
              <w:left w:w="270" w:type="dxa"/>
              <w:bottom w:w="180" w:type="dxa"/>
              <w:right w:w="270" w:type="dxa"/>
            </w:tcMar>
            <w:vAlign w:val="center"/>
          </w:tcPr>
          <w:p w14:paraId="28A99B15">
            <w:pPr>
              <w:spacing w:line="480" w:lineRule="auto"/>
              <w:rPr>
                <w:rFonts w:hint="eastAsia" w:ascii="宋体" w:hAnsi="宋体"/>
                <w:color w:val="auto"/>
                <w:sz w:val="22"/>
                <w:szCs w:val="22"/>
                <w:highlight w:val="none"/>
              </w:rPr>
            </w:pPr>
            <w:r>
              <w:rPr>
                <w:rFonts w:ascii="宋体" w:hAnsi="宋体"/>
                <w:color w:val="auto"/>
                <w:sz w:val="22"/>
                <w:szCs w:val="22"/>
                <w:highlight w:val="none"/>
              </w:rPr>
              <w:t>采用 10.9 级高强度螺栓，抗滑移系数不低于 0.45，普通螺栓采用 8.8 级，需做防腐处理</w:t>
            </w:r>
          </w:p>
        </w:tc>
      </w:tr>
      <w:tr w14:paraId="1BA4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jc w:val="center"/>
        </w:trPr>
        <w:tc>
          <w:tcPr>
            <w:tcW w:w="1754" w:type="dxa"/>
            <w:tcMar>
              <w:top w:w="180" w:type="dxa"/>
              <w:left w:w="270" w:type="dxa"/>
              <w:bottom w:w="180" w:type="dxa"/>
              <w:right w:w="270" w:type="dxa"/>
            </w:tcMar>
            <w:vAlign w:val="center"/>
          </w:tcPr>
          <w:p w14:paraId="176B19E7">
            <w:pPr>
              <w:spacing w:line="480" w:lineRule="auto"/>
              <w:rPr>
                <w:rFonts w:hint="eastAsia" w:ascii="宋体" w:hAnsi="宋体"/>
                <w:color w:val="auto"/>
                <w:sz w:val="22"/>
                <w:szCs w:val="22"/>
                <w:highlight w:val="none"/>
              </w:rPr>
            </w:pPr>
            <w:r>
              <w:rPr>
                <w:rFonts w:ascii="宋体" w:hAnsi="宋体"/>
                <w:color w:val="auto"/>
                <w:sz w:val="22"/>
                <w:szCs w:val="22"/>
                <w:highlight w:val="none"/>
              </w:rPr>
              <w:t>基础材料</w:t>
            </w:r>
          </w:p>
        </w:tc>
        <w:tc>
          <w:tcPr>
            <w:tcW w:w="6825" w:type="dxa"/>
            <w:tcMar>
              <w:top w:w="180" w:type="dxa"/>
              <w:left w:w="270" w:type="dxa"/>
              <w:bottom w:w="180" w:type="dxa"/>
              <w:right w:w="270" w:type="dxa"/>
            </w:tcMar>
            <w:vAlign w:val="center"/>
          </w:tcPr>
          <w:p w14:paraId="02CD5E3B">
            <w:pPr>
              <w:spacing w:line="480" w:lineRule="auto"/>
              <w:rPr>
                <w:rFonts w:hint="eastAsia" w:ascii="宋体" w:hAnsi="宋体"/>
                <w:color w:val="auto"/>
                <w:sz w:val="22"/>
                <w:szCs w:val="22"/>
                <w:highlight w:val="none"/>
              </w:rPr>
            </w:pPr>
            <w:r>
              <w:rPr>
                <w:rFonts w:ascii="宋体" w:hAnsi="宋体"/>
                <w:color w:val="auto"/>
                <w:sz w:val="22"/>
                <w:szCs w:val="22"/>
                <w:highlight w:val="none"/>
              </w:rPr>
              <w:t>混凝土强度等级不低于 C30，钢筋采用 HRB400E，保护层厚度不小于 40mm（地下部分）</w:t>
            </w:r>
          </w:p>
        </w:tc>
      </w:tr>
    </w:tbl>
    <w:p w14:paraId="18126D19">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4</w:t>
      </w:r>
      <w:r>
        <w:rPr>
          <w:rFonts w:ascii="宋体" w:hAnsi="宋体"/>
          <w:b/>
          <w:bCs/>
          <w:color w:val="auto"/>
          <w:sz w:val="28"/>
          <w:szCs w:val="28"/>
          <w:highlight w:val="none"/>
        </w:rPr>
        <w:t>.</w:t>
      </w:r>
      <w:r>
        <w:rPr>
          <w:rFonts w:hint="eastAsia" w:ascii="宋体" w:hAnsi="宋体"/>
          <w:b/>
          <w:bCs/>
          <w:color w:val="auto"/>
          <w:sz w:val="28"/>
          <w:szCs w:val="28"/>
          <w:highlight w:val="none"/>
        </w:rPr>
        <w:t>3</w:t>
      </w:r>
      <w:r>
        <w:rPr>
          <w:rFonts w:ascii="宋体" w:hAnsi="宋体"/>
          <w:b/>
          <w:bCs/>
          <w:color w:val="auto"/>
          <w:sz w:val="28"/>
          <w:szCs w:val="28"/>
          <w:highlight w:val="none"/>
        </w:rPr>
        <w:t xml:space="preserve"> 结构承载验算</w:t>
      </w:r>
    </w:p>
    <w:p w14:paraId="15F0147A">
      <w:pPr>
        <w:spacing w:line="460" w:lineRule="exact"/>
        <w:ind w:firstLine="562" w:firstLineChars="200"/>
        <w:rPr>
          <w:rFonts w:hint="eastAsia" w:ascii="宋体" w:hAnsi="宋体"/>
          <w:color w:val="auto"/>
          <w:sz w:val="28"/>
          <w:szCs w:val="28"/>
          <w:highlight w:val="none"/>
        </w:rPr>
      </w:pPr>
      <w:r>
        <w:rPr>
          <w:rFonts w:hint="eastAsia" w:ascii="宋体" w:hAnsi="宋体"/>
          <w:b/>
          <w:bCs/>
          <w:color w:val="auto"/>
          <w:sz w:val="28"/>
          <w:szCs w:val="28"/>
          <w:highlight w:val="none"/>
        </w:rPr>
        <w:t>1.</w:t>
      </w:r>
      <w:r>
        <w:rPr>
          <w:rFonts w:ascii="宋体" w:hAnsi="宋体"/>
          <w:b/>
          <w:bCs/>
          <w:color w:val="auto"/>
          <w:sz w:val="28"/>
          <w:szCs w:val="28"/>
          <w:highlight w:val="none"/>
        </w:rPr>
        <w:t>荷载组合</w:t>
      </w:r>
      <w:r>
        <w:rPr>
          <w:rFonts w:ascii="宋体" w:hAnsi="宋体"/>
          <w:color w:val="auto"/>
          <w:sz w:val="28"/>
          <w:szCs w:val="28"/>
          <w:highlight w:val="none"/>
        </w:rPr>
        <w:t>：需考虑以下最不利荷载组合，确保结构应力比不超过 0.85（关键构件不超过 0.8）：</w:t>
      </w:r>
    </w:p>
    <w:p w14:paraId="364E4F3B">
      <w:pPr>
        <w:numPr>
          <w:ilvl w:val="1"/>
          <w:numId w:val="0"/>
        </w:numPr>
        <w:spacing w:line="460" w:lineRule="exact"/>
        <w:ind w:firstLine="560" w:firstLineChars="200"/>
        <w:jc w:val="left"/>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1.3 恒载（结构自重 + 光伏组件自重）+1.5 活载；</w:t>
      </w:r>
    </w:p>
    <w:p w14:paraId="75426C23">
      <w:pPr>
        <w:numPr>
          <w:ilvl w:val="1"/>
          <w:numId w:val="0"/>
        </w:numPr>
        <w:spacing w:line="460" w:lineRule="exact"/>
        <w:ind w:firstLine="560" w:firstLineChars="200"/>
        <w:jc w:val="left"/>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1.3 恒载 + 1.5 风荷载（左风 / 右风）；</w:t>
      </w:r>
    </w:p>
    <w:p w14:paraId="103B7587">
      <w:pPr>
        <w:numPr>
          <w:ilvl w:val="1"/>
          <w:numId w:val="0"/>
        </w:numPr>
        <w:spacing w:line="460" w:lineRule="exact"/>
        <w:ind w:firstLine="560" w:firstLineChars="200"/>
        <w:jc w:val="left"/>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1.3 恒载 + 1.5 雪荷载；</w:t>
      </w:r>
    </w:p>
    <w:p w14:paraId="5418646E">
      <w:pPr>
        <w:numPr>
          <w:ilvl w:val="1"/>
          <w:numId w:val="0"/>
        </w:numPr>
        <w:spacing w:line="460" w:lineRule="exact"/>
        <w:ind w:firstLine="560" w:firstLineChars="200"/>
        <w:jc w:val="left"/>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1.2 恒载 + 1.3 地震作用 + 0.9 风荷载（抗震组合）；</w:t>
      </w:r>
    </w:p>
    <w:p w14:paraId="46D1A621">
      <w:pPr>
        <w:spacing w:line="460" w:lineRule="exact"/>
        <w:ind w:firstLine="562" w:firstLineChars="200"/>
        <w:rPr>
          <w:rFonts w:hint="eastAsia" w:ascii="宋体" w:hAnsi="宋体"/>
          <w:color w:val="auto"/>
          <w:sz w:val="28"/>
          <w:szCs w:val="28"/>
          <w:highlight w:val="none"/>
        </w:rPr>
      </w:pPr>
      <w:r>
        <w:rPr>
          <w:rFonts w:hint="eastAsia" w:ascii="宋体" w:hAnsi="宋体"/>
          <w:b/>
          <w:bCs/>
          <w:color w:val="auto"/>
          <w:sz w:val="28"/>
          <w:szCs w:val="28"/>
          <w:highlight w:val="none"/>
        </w:rPr>
        <w:t>2.</w:t>
      </w:r>
      <w:r>
        <w:rPr>
          <w:rFonts w:ascii="宋体" w:hAnsi="宋体"/>
          <w:b/>
          <w:bCs/>
          <w:color w:val="auto"/>
          <w:sz w:val="28"/>
          <w:szCs w:val="28"/>
          <w:highlight w:val="none"/>
        </w:rPr>
        <w:t>变形控制</w:t>
      </w:r>
      <w:r>
        <w:rPr>
          <w:rFonts w:ascii="宋体" w:hAnsi="宋体"/>
          <w:color w:val="auto"/>
          <w:sz w:val="28"/>
          <w:szCs w:val="28"/>
          <w:highlight w:val="none"/>
        </w:rPr>
        <w:t>：</w:t>
      </w:r>
    </w:p>
    <w:p w14:paraId="73DF157B">
      <w:pPr>
        <w:numPr>
          <w:ilvl w:val="1"/>
          <w:numId w:val="0"/>
        </w:num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钢梁（恒 + 活）挠跨比不大于 1/250；</w:t>
      </w:r>
    </w:p>
    <w:p w14:paraId="5047F330">
      <w:pPr>
        <w:numPr>
          <w:ilvl w:val="1"/>
          <w:numId w:val="0"/>
        </w:num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柱顶水平位移（风荷载下）不大于柱高的 1/60，地震作用下不大于柱高的 1/50；</w:t>
      </w:r>
    </w:p>
    <w:p w14:paraId="73495AAA">
      <w:pPr>
        <w:numPr>
          <w:ilvl w:val="1"/>
          <w:numId w:val="0"/>
        </w:num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光伏组件支架变形不超过 L/300（L 为支架跨度），避免组件碎裂或影响发电效率。</w:t>
      </w:r>
    </w:p>
    <w:p w14:paraId="602830FB">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4</w:t>
      </w:r>
      <w:r>
        <w:rPr>
          <w:rFonts w:ascii="宋体" w:hAnsi="宋体"/>
          <w:b/>
          <w:bCs/>
          <w:color w:val="auto"/>
          <w:sz w:val="28"/>
          <w:szCs w:val="28"/>
          <w:highlight w:val="none"/>
        </w:rPr>
        <w:t>.3 防腐与防火设计</w:t>
      </w:r>
    </w:p>
    <w:p w14:paraId="00EBE587">
      <w:pPr>
        <w:spacing w:line="460" w:lineRule="exact"/>
        <w:ind w:firstLine="562" w:firstLineChars="200"/>
        <w:rPr>
          <w:rFonts w:hint="eastAsia" w:ascii="宋体" w:hAnsi="宋体"/>
          <w:color w:val="auto"/>
          <w:sz w:val="28"/>
          <w:szCs w:val="28"/>
          <w:highlight w:val="none"/>
        </w:rPr>
      </w:pPr>
      <w:r>
        <w:rPr>
          <w:rFonts w:hint="eastAsia" w:ascii="宋体" w:hAnsi="宋体"/>
          <w:b/>
          <w:bCs/>
          <w:color w:val="auto"/>
          <w:sz w:val="28"/>
          <w:szCs w:val="28"/>
          <w:highlight w:val="none"/>
        </w:rPr>
        <w:t>1.</w:t>
      </w:r>
      <w:r>
        <w:rPr>
          <w:rFonts w:ascii="宋体" w:hAnsi="宋体"/>
          <w:b/>
          <w:bCs/>
          <w:color w:val="auto"/>
          <w:sz w:val="28"/>
          <w:szCs w:val="28"/>
          <w:highlight w:val="none"/>
        </w:rPr>
        <w:t>防腐处理</w:t>
      </w:r>
      <w:r>
        <w:rPr>
          <w:rFonts w:ascii="宋体" w:hAnsi="宋体"/>
          <w:color w:val="auto"/>
          <w:sz w:val="28"/>
          <w:szCs w:val="28"/>
          <w:highlight w:val="none"/>
        </w:rPr>
        <w:t>：</w:t>
      </w:r>
    </w:p>
    <w:p w14:paraId="74D1256F">
      <w:p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钢结构表面采用喷砂除锈（除锈等级不低于 Sa2.5 级），涂覆氟碳漆或聚胺酯漆，干膜厚度不小于 120μm，防腐年限不低于 15 年；</w:t>
      </w:r>
    </w:p>
    <w:p w14:paraId="169618C7">
      <w:p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基础外露部分采用防腐涂料 + 瓷砖贴面或包裹玻璃钢，地下部分采用沥青卷材防腐；</w:t>
      </w:r>
    </w:p>
    <w:p w14:paraId="17413647">
      <w:pPr>
        <w:spacing w:line="4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w:t>
      </w:r>
      <w:r>
        <w:rPr>
          <w:rFonts w:ascii="宋体" w:hAnsi="宋体"/>
          <w:b/>
          <w:bCs/>
          <w:color w:val="auto"/>
          <w:sz w:val="28"/>
          <w:szCs w:val="28"/>
          <w:highlight w:val="none"/>
        </w:rPr>
        <w:t>防火设计</w:t>
      </w:r>
      <w:r>
        <w:rPr>
          <w:rFonts w:ascii="宋体" w:hAnsi="宋体"/>
          <w:color w:val="auto"/>
          <w:sz w:val="28"/>
          <w:szCs w:val="28"/>
          <w:highlight w:val="none"/>
        </w:rPr>
        <w:t>：</w:t>
      </w:r>
    </w:p>
    <w:p w14:paraId="3BCC0D2C">
      <w:pPr>
        <w:numPr>
          <w:ilvl w:val="1"/>
          <w:numId w:val="0"/>
        </w:num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钢结构防火等级不低于二级，柱、主梁耐火极限不低于 1.5h，次梁不低于 1.0h，可采用防火涂料（厚型防火涂料厚度不小于 25mm）或防火板包覆；</w:t>
      </w:r>
    </w:p>
    <w:p w14:paraId="1E22207C">
      <w:pPr>
        <w:numPr>
          <w:ilvl w:val="1"/>
          <w:numId w:val="0"/>
        </w:num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电气设备周边需设置隔离带，避免高温部件引燃易燃物。</w:t>
      </w:r>
    </w:p>
    <w:p w14:paraId="1E45042C">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五</w:t>
      </w:r>
      <w:r>
        <w:rPr>
          <w:rFonts w:ascii="宋体" w:hAnsi="宋体"/>
          <w:b/>
          <w:bCs/>
          <w:color w:val="auto"/>
          <w:sz w:val="28"/>
          <w:szCs w:val="28"/>
          <w:highlight w:val="none"/>
        </w:rPr>
        <w:t>、光伏系统设计</w:t>
      </w:r>
      <w:r>
        <w:rPr>
          <w:rFonts w:hint="eastAsia" w:ascii="宋体" w:hAnsi="宋体"/>
          <w:b/>
          <w:bCs/>
          <w:color w:val="auto"/>
          <w:sz w:val="28"/>
          <w:szCs w:val="28"/>
          <w:highlight w:val="none"/>
        </w:rPr>
        <w:t>实施</w:t>
      </w:r>
      <w:r>
        <w:rPr>
          <w:rFonts w:ascii="宋体" w:hAnsi="宋体"/>
          <w:b/>
          <w:bCs/>
          <w:color w:val="auto"/>
          <w:sz w:val="28"/>
          <w:szCs w:val="28"/>
          <w:highlight w:val="none"/>
        </w:rPr>
        <w:t>标准</w:t>
      </w:r>
    </w:p>
    <w:p w14:paraId="58BDDEA1">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5</w:t>
      </w:r>
      <w:r>
        <w:rPr>
          <w:rFonts w:ascii="宋体" w:hAnsi="宋体"/>
          <w:b/>
          <w:bCs/>
          <w:color w:val="auto"/>
          <w:sz w:val="28"/>
          <w:szCs w:val="28"/>
          <w:highlight w:val="none"/>
        </w:rPr>
        <w:t>.1 光伏组件布置</w:t>
      </w:r>
    </w:p>
    <w:p w14:paraId="0712ADBE">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1.</w:t>
      </w:r>
      <w:r>
        <w:rPr>
          <w:rFonts w:ascii="宋体" w:hAnsi="宋体"/>
          <w:b/>
          <w:bCs/>
          <w:color w:val="auto"/>
          <w:sz w:val="28"/>
          <w:szCs w:val="28"/>
          <w:highlight w:val="none"/>
        </w:rPr>
        <w:t>布局原则</w:t>
      </w:r>
      <w:r>
        <w:rPr>
          <w:rFonts w:ascii="宋体" w:hAnsi="宋体"/>
          <w:color w:val="auto"/>
          <w:sz w:val="28"/>
          <w:szCs w:val="28"/>
          <w:highlight w:val="none"/>
        </w:rPr>
        <w:t>：组件排列需与车棚顶盖尺寸匹配，避免遮挡（组件间横向间距不小于 20mm，纵向间距不小于 50mm，边缘距结构构件不小于 100mm）；</w:t>
      </w:r>
    </w:p>
    <w:p w14:paraId="72A01109">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2.</w:t>
      </w:r>
      <w:r>
        <w:rPr>
          <w:rFonts w:ascii="宋体" w:hAnsi="宋体"/>
          <w:b/>
          <w:bCs/>
          <w:color w:val="auto"/>
          <w:sz w:val="28"/>
          <w:szCs w:val="28"/>
          <w:highlight w:val="none"/>
        </w:rPr>
        <w:t>抗风揭与抗雪</w:t>
      </w:r>
      <w:r>
        <w:rPr>
          <w:rFonts w:ascii="宋体" w:hAnsi="宋体"/>
          <w:color w:val="auto"/>
          <w:sz w:val="28"/>
          <w:szCs w:val="28"/>
          <w:highlight w:val="none"/>
        </w:rPr>
        <w:t>：组件与支架连接采用专用夹具，扭矩值符合组件厂家要求，支架系统需验算雪荷载下的稳定性，避免</w:t>
      </w:r>
      <w:r>
        <w:rPr>
          <w:rFonts w:hint="eastAsia" w:ascii="宋体" w:hAnsi="宋体"/>
          <w:color w:val="auto"/>
          <w:sz w:val="28"/>
          <w:szCs w:val="28"/>
          <w:highlight w:val="none"/>
        </w:rPr>
        <w:t>安全事故发生</w:t>
      </w:r>
      <w:r>
        <w:rPr>
          <w:rFonts w:ascii="宋体" w:hAnsi="宋体"/>
          <w:color w:val="auto"/>
          <w:sz w:val="28"/>
          <w:szCs w:val="28"/>
          <w:highlight w:val="none"/>
        </w:rPr>
        <w:t>。</w:t>
      </w:r>
    </w:p>
    <w:p w14:paraId="01BA7D43">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5</w:t>
      </w:r>
      <w:r>
        <w:rPr>
          <w:rFonts w:ascii="宋体" w:hAnsi="宋体"/>
          <w:b/>
          <w:bCs/>
          <w:color w:val="auto"/>
          <w:sz w:val="28"/>
          <w:szCs w:val="28"/>
          <w:highlight w:val="none"/>
        </w:rPr>
        <w:t>.2 电气系统设计</w:t>
      </w:r>
    </w:p>
    <w:p w14:paraId="6A641189">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1.</w:t>
      </w:r>
      <w:r>
        <w:rPr>
          <w:rFonts w:ascii="宋体" w:hAnsi="宋体"/>
          <w:b/>
          <w:bCs/>
          <w:color w:val="auto"/>
          <w:sz w:val="28"/>
          <w:szCs w:val="28"/>
          <w:highlight w:val="none"/>
        </w:rPr>
        <w:t>逆变器</w:t>
      </w:r>
      <w:r>
        <w:rPr>
          <w:rFonts w:ascii="宋体" w:hAnsi="宋体"/>
          <w:color w:val="auto"/>
          <w:sz w:val="28"/>
          <w:szCs w:val="28"/>
          <w:highlight w:val="none"/>
        </w:rPr>
        <w:t>：</w:t>
      </w:r>
    </w:p>
    <w:p w14:paraId="1C019655">
      <w:pPr>
        <w:numPr>
          <w:ilvl w:val="1"/>
          <w:numId w:val="0"/>
        </w:num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逆变器布置需靠近光伏组件阵列，缩短直流线缆长度，减少损耗，安装位置需通风良好，环境温度控制在 - 25℃~50℃；</w:t>
      </w:r>
    </w:p>
    <w:p w14:paraId="03F0F208">
      <w:pPr>
        <w:numPr>
          <w:ilvl w:val="1"/>
          <w:numId w:val="0"/>
        </w:num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汇流箱需具备防雷、过流保护功能，每路输入电流不超过 15A，接地电阻不大于 4Ω；</w:t>
      </w:r>
    </w:p>
    <w:p w14:paraId="4D81C465">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2.</w:t>
      </w:r>
      <w:r>
        <w:rPr>
          <w:rFonts w:ascii="宋体" w:hAnsi="宋体"/>
          <w:b/>
          <w:bCs/>
          <w:color w:val="auto"/>
          <w:sz w:val="28"/>
          <w:szCs w:val="28"/>
          <w:highlight w:val="none"/>
        </w:rPr>
        <w:t>线缆选择与敷设</w:t>
      </w:r>
      <w:r>
        <w:rPr>
          <w:rFonts w:ascii="宋体" w:hAnsi="宋体"/>
          <w:color w:val="auto"/>
          <w:sz w:val="28"/>
          <w:szCs w:val="28"/>
          <w:highlight w:val="none"/>
        </w:rPr>
        <w:t>：</w:t>
      </w:r>
    </w:p>
    <w:p w14:paraId="065825F8">
      <w:pPr>
        <w:numPr>
          <w:ilvl w:val="1"/>
          <w:numId w:val="0"/>
        </w:num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直流线缆采用耐候型 PV1-F 电缆，截面积根据电流选择（不小于 4mm²），交流线缆采用</w:t>
      </w:r>
      <w:r>
        <w:rPr>
          <w:rFonts w:hint="eastAsia" w:ascii="宋体" w:hAnsi="宋体"/>
          <w:color w:val="auto"/>
          <w:sz w:val="28"/>
          <w:szCs w:val="28"/>
          <w:highlight w:val="none"/>
        </w:rPr>
        <w:t>铜芯</w:t>
      </w:r>
      <w:r>
        <w:rPr>
          <w:rFonts w:ascii="宋体" w:hAnsi="宋体"/>
          <w:color w:val="auto"/>
          <w:sz w:val="28"/>
          <w:szCs w:val="28"/>
          <w:highlight w:val="none"/>
        </w:rPr>
        <w:t>铠装电缆，敷设需穿镀锌钢管或电缆桥架；</w:t>
      </w:r>
    </w:p>
    <w:p w14:paraId="7EB5554F">
      <w:pPr>
        <w:numPr>
          <w:ilvl w:val="1"/>
          <w:numId w:val="0"/>
        </w:num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线缆防晒、防水、防机械损伤，室外部分需采用 UV 防护措施，弯曲半径不小于线缆外径的 10 倍；</w:t>
      </w:r>
    </w:p>
    <w:p w14:paraId="0D96BD13">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3.</w:t>
      </w:r>
      <w:r>
        <w:rPr>
          <w:rFonts w:ascii="宋体" w:hAnsi="宋体"/>
          <w:b/>
          <w:bCs/>
          <w:color w:val="auto"/>
          <w:sz w:val="28"/>
          <w:szCs w:val="28"/>
          <w:highlight w:val="none"/>
        </w:rPr>
        <w:t>并网控制</w:t>
      </w:r>
      <w:r>
        <w:rPr>
          <w:rFonts w:ascii="宋体" w:hAnsi="宋体"/>
          <w:color w:val="auto"/>
          <w:sz w:val="28"/>
          <w:szCs w:val="28"/>
          <w:highlight w:val="none"/>
        </w:rPr>
        <w:t>：</w:t>
      </w:r>
    </w:p>
    <w:p w14:paraId="6AE041AA">
      <w:pPr>
        <w:numPr>
          <w:ilvl w:val="1"/>
          <w:numId w:val="0"/>
        </w:num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需配置并网柜，含断路器、计量表、防雷器等设备；</w:t>
      </w:r>
    </w:p>
    <w:p w14:paraId="384406B4">
      <w:pPr>
        <w:numPr>
          <w:ilvl w:val="1"/>
          <w:numId w:val="0"/>
        </w:num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具备远程监控功能，可实时监测发电量、组件温度、逆变器状态等参数，数据上传频率不低于 15 分钟 / 次。</w:t>
      </w:r>
    </w:p>
    <w:p w14:paraId="24C1E941">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5</w:t>
      </w:r>
      <w:r>
        <w:rPr>
          <w:rFonts w:ascii="宋体" w:hAnsi="宋体"/>
          <w:b/>
          <w:bCs/>
          <w:color w:val="auto"/>
          <w:sz w:val="28"/>
          <w:szCs w:val="28"/>
          <w:highlight w:val="none"/>
        </w:rPr>
        <w:t>.3 防雷接地系统</w:t>
      </w:r>
    </w:p>
    <w:p w14:paraId="3E1E2F7D">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1.</w:t>
      </w:r>
      <w:r>
        <w:rPr>
          <w:rFonts w:ascii="宋体" w:hAnsi="宋体"/>
          <w:b/>
          <w:bCs/>
          <w:color w:val="auto"/>
          <w:sz w:val="28"/>
          <w:szCs w:val="28"/>
          <w:highlight w:val="none"/>
        </w:rPr>
        <w:t>防雷等级</w:t>
      </w:r>
      <w:r>
        <w:rPr>
          <w:rFonts w:ascii="宋体" w:hAnsi="宋体"/>
          <w:color w:val="auto"/>
          <w:sz w:val="28"/>
          <w:szCs w:val="28"/>
          <w:highlight w:val="none"/>
        </w:rPr>
        <w:t>：按二类防雷建筑物设计，车棚顶部设置接闪带（采用 Φ12 热镀锌圆钢，网格间距不大于 10m×10m），光伏组件支架与接闪带可靠连接；</w:t>
      </w:r>
    </w:p>
    <w:p w14:paraId="2710B630">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2.</w:t>
      </w:r>
      <w:r>
        <w:rPr>
          <w:rFonts w:ascii="宋体" w:hAnsi="宋体"/>
          <w:b/>
          <w:bCs/>
          <w:color w:val="auto"/>
          <w:sz w:val="28"/>
          <w:szCs w:val="28"/>
          <w:highlight w:val="none"/>
        </w:rPr>
        <w:t>接地系统</w:t>
      </w:r>
      <w:r>
        <w:rPr>
          <w:rFonts w:ascii="宋体" w:hAnsi="宋体"/>
          <w:color w:val="auto"/>
          <w:sz w:val="28"/>
          <w:szCs w:val="28"/>
          <w:highlight w:val="none"/>
        </w:rPr>
        <w:t>：</w:t>
      </w:r>
    </w:p>
    <w:p w14:paraId="472A18DE">
      <w:pPr>
        <w:numPr>
          <w:ilvl w:val="1"/>
          <w:numId w:val="0"/>
        </w:num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工作接地、保护接地、防雷接地共用接地极，接地电阻不大于 4Ω，若接地电阻不满足要求，需增设人工接地极（如镀锌角钢 50×50×5，长度 2.5m，间距 5m）；</w:t>
      </w:r>
    </w:p>
    <w:p w14:paraId="3508D6CA">
      <w:pPr>
        <w:numPr>
          <w:ilvl w:val="1"/>
          <w:numId w:val="0"/>
        </w:num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所有金属构件（钢结构、支架、设备外壳）需可靠接地，接地连接线采用 Φ10 热镀锌圆钢或 25mm² 铜缆。</w:t>
      </w:r>
    </w:p>
    <w:p w14:paraId="2F24CA91">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六</w:t>
      </w:r>
      <w:r>
        <w:rPr>
          <w:rFonts w:ascii="宋体" w:hAnsi="宋体"/>
          <w:b/>
          <w:bCs/>
          <w:color w:val="auto"/>
          <w:sz w:val="28"/>
          <w:szCs w:val="28"/>
          <w:highlight w:val="none"/>
        </w:rPr>
        <w:t>、安全与</w:t>
      </w:r>
      <w:r>
        <w:rPr>
          <w:rFonts w:hint="eastAsia" w:ascii="宋体" w:hAnsi="宋体"/>
          <w:b/>
          <w:bCs/>
          <w:color w:val="auto"/>
          <w:sz w:val="28"/>
          <w:szCs w:val="28"/>
          <w:highlight w:val="none"/>
        </w:rPr>
        <w:t>附属设施</w:t>
      </w:r>
    </w:p>
    <w:p w14:paraId="317BE595">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6</w:t>
      </w:r>
      <w:r>
        <w:rPr>
          <w:rFonts w:ascii="宋体" w:hAnsi="宋体"/>
          <w:b/>
          <w:bCs/>
          <w:color w:val="auto"/>
          <w:sz w:val="28"/>
          <w:szCs w:val="28"/>
          <w:highlight w:val="none"/>
        </w:rPr>
        <w:t>.1 安全防护</w:t>
      </w:r>
    </w:p>
    <w:p w14:paraId="792354D9">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1.</w:t>
      </w:r>
      <w:r>
        <w:rPr>
          <w:rFonts w:ascii="宋体" w:hAnsi="宋体"/>
          <w:b/>
          <w:bCs/>
          <w:color w:val="auto"/>
          <w:sz w:val="28"/>
          <w:szCs w:val="28"/>
          <w:highlight w:val="none"/>
        </w:rPr>
        <w:t>防触电</w:t>
      </w:r>
      <w:r>
        <w:rPr>
          <w:rFonts w:ascii="宋体" w:hAnsi="宋体"/>
          <w:color w:val="auto"/>
          <w:sz w:val="28"/>
          <w:szCs w:val="28"/>
          <w:highlight w:val="none"/>
        </w:rPr>
        <w:t>：电气设备外壳需可靠接地，光伏组件阵列周边设置警示标识</w:t>
      </w:r>
      <w:r>
        <w:rPr>
          <w:rFonts w:hint="eastAsia" w:ascii="宋体" w:hAnsi="宋体"/>
          <w:color w:val="auto"/>
          <w:sz w:val="28"/>
          <w:szCs w:val="28"/>
          <w:highlight w:val="none"/>
        </w:rPr>
        <w:t>；</w:t>
      </w:r>
      <w:r>
        <w:rPr>
          <w:rFonts w:ascii="宋体" w:hAnsi="宋体"/>
          <w:color w:val="auto"/>
          <w:sz w:val="28"/>
          <w:szCs w:val="28"/>
          <w:highlight w:val="none"/>
        </w:rPr>
        <w:t xml:space="preserve"> </w:t>
      </w:r>
    </w:p>
    <w:p w14:paraId="5B7B1339">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2.</w:t>
      </w:r>
      <w:r>
        <w:rPr>
          <w:rFonts w:ascii="宋体" w:hAnsi="宋体"/>
          <w:b/>
          <w:bCs/>
          <w:color w:val="auto"/>
          <w:sz w:val="28"/>
          <w:szCs w:val="28"/>
          <w:highlight w:val="none"/>
        </w:rPr>
        <w:t>消防设施</w:t>
      </w:r>
      <w:r>
        <w:rPr>
          <w:rFonts w:ascii="宋体" w:hAnsi="宋体"/>
          <w:color w:val="auto"/>
          <w:sz w:val="28"/>
          <w:szCs w:val="28"/>
          <w:highlight w:val="none"/>
        </w:rPr>
        <w:t>：每 500m² 设置 2 具 4kg 干粉灭火器，灭火器放置高度 1.5m 以下，便于取用。</w:t>
      </w:r>
    </w:p>
    <w:p w14:paraId="1B9D5E6E">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6</w:t>
      </w:r>
      <w:r>
        <w:rPr>
          <w:rFonts w:ascii="宋体" w:hAnsi="宋体"/>
          <w:b/>
          <w:bCs/>
          <w:color w:val="auto"/>
          <w:sz w:val="28"/>
          <w:szCs w:val="28"/>
          <w:highlight w:val="none"/>
        </w:rPr>
        <w:t xml:space="preserve">.2 </w:t>
      </w:r>
      <w:r>
        <w:rPr>
          <w:rFonts w:hint="eastAsia" w:ascii="宋体" w:hAnsi="宋体"/>
          <w:b/>
          <w:bCs/>
          <w:color w:val="auto"/>
          <w:sz w:val="28"/>
          <w:szCs w:val="28"/>
          <w:highlight w:val="none"/>
        </w:rPr>
        <w:t>附属设施</w:t>
      </w:r>
    </w:p>
    <w:p w14:paraId="7F3C6AF0">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1.</w:t>
      </w:r>
      <w:r>
        <w:rPr>
          <w:rFonts w:ascii="宋体" w:hAnsi="宋体"/>
          <w:b/>
          <w:bCs/>
          <w:color w:val="auto"/>
          <w:sz w:val="28"/>
          <w:szCs w:val="28"/>
          <w:highlight w:val="none"/>
        </w:rPr>
        <w:t>充电桩</w:t>
      </w:r>
      <w:r>
        <w:rPr>
          <w:rFonts w:ascii="宋体" w:hAnsi="宋体"/>
          <w:color w:val="auto"/>
          <w:sz w:val="28"/>
          <w:szCs w:val="28"/>
          <w:highlight w:val="none"/>
        </w:rPr>
        <w:t>：按 10% 停车位数</w:t>
      </w:r>
      <w:r>
        <w:rPr>
          <w:rFonts w:hint="eastAsia" w:ascii="宋体" w:hAnsi="宋体"/>
          <w:color w:val="auto"/>
          <w:sz w:val="28"/>
          <w:szCs w:val="28"/>
          <w:highlight w:val="none"/>
        </w:rPr>
        <w:t>安装</w:t>
      </w:r>
      <w:r>
        <w:rPr>
          <w:rFonts w:ascii="宋体" w:hAnsi="宋体"/>
          <w:color w:val="auto"/>
          <w:sz w:val="28"/>
          <w:szCs w:val="28"/>
          <w:highlight w:val="none"/>
        </w:rPr>
        <w:t>充电桩</w:t>
      </w:r>
      <w:r>
        <w:rPr>
          <w:rFonts w:hint="eastAsia" w:ascii="宋体" w:hAnsi="宋体"/>
          <w:color w:val="auto"/>
          <w:sz w:val="28"/>
          <w:szCs w:val="28"/>
          <w:highlight w:val="none"/>
        </w:rPr>
        <w:t>，不小于1台120kW两枪快充桩 + 2台7kW交流桩；</w:t>
      </w:r>
      <w:r>
        <w:rPr>
          <w:rFonts w:ascii="宋体" w:hAnsi="宋体"/>
          <w:color w:val="auto"/>
          <w:sz w:val="28"/>
          <w:szCs w:val="28"/>
          <w:highlight w:val="none"/>
        </w:rPr>
        <w:t xml:space="preserve"> </w:t>
      </w:r>
    </w:p>
    <w:p w14:paraId="4BDF763E">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2.</w:t>
      </w:r>
      <w:r>
        <w:rPr>
          <w:rFonts w:ascii="宋体" w:hAnsi="宋体"/>
          <w:b/>
          <w:bCs/>
          <w:color w:val="auto"/>
          <w:sz w:val="28"/>
          <w:szCs w:val="28"/>
          <w:highlight w:val="none"/>
        </w:rPr>
        <w:t>排水设计</w:t>
      </w:r>
      <w:r>
        <w:rPr>
          <w:rFonts w:ascii="宋体" w:hAnsi="宋体"/>
          <w:color w:val="auto"/>
          <w:sz w:val="28"/>
          <w:szCs w:val="28"/>
          <w:highlight w:val="none"/>
        </w:rPr>
        <w:t>：车棚顶盖排水坡度不小于 2%，采用内排水或外排水。</w:t>
      </w:r>
    </w:p>
    <w:p w14:paraId="56C80881">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七</w:t>
      </w:r>
      <w:r>
        <w:rPr>
          <w:rFonts w:ascii="宋体" w:hAnsi="宋体"/>
          <w:b/>
          <w:bCs/>
          <w:color w:val="auto"/>
          <w:sz w:val="28"/>
          <w:szCs w:val="28"/>
          <w:highlight w:val="none"/>
        </w:rPr>
        <w:t>、验收标准与质保要求</w:t>
      </w:r>
    </w:p>
    <w:p w14:paraId="52FB30DA">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7</w:t>
      </w:r>
      <w:r>
        <w:rPr>
          <w:rFonts w:ascii="宋体" w:hAnsi="宋体"/>
          <w:b/>
          <w:bCs/>
          <w:color w:val="auto"/>
          <w:sz w:val="28"/>
          <w:szCs w:val="28"/>
          <w:highlight w:val="none"/>
        </w:rPr>
        <w:t>.1 验收标准</w:t>
      </w:r>
    </w:p>
    <w:p w14:paraId="098DFBEE">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1.</w:t>
      </w:r>
      <w:r>
        <w:rPr>
          <w:rFonts w:ascii="宋体" w:hAnsi="宋体"/>
          <w:b/>
          <w:bCs/>
          <w:color w:val="auto"/>
          <w:sz w:val="28"/>
          <w:szCs w:val="28"/>
          <w:highlight w:val="none"/>
        </w:rPr>
        <w:t>结构验收</w:t>
      </w:r>
      <w:r>
        <w:rPr>
          <w:rFonts w:ascii="宋体" w:hAnsi="宋体"/>
          <w:color w:val="auto"/>
          <w:sz w:val="28"/>
          <w:szCs w:val="28"/>
          <w:highlight w:val="none"/>
        </w:rPr>
        <w:t>：</w:t>
      </w:r>
    </w:p>
    <w:p w14:paraId="2706A00C">
      <w:pPr>
        <w:numPr>
          <w:ilvl w:val="1"/>
          <w:numId w:val="0"/>
        </w:num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钢结构尺寸偏差符合 GB 50205 要求，柱垂直度偏差不大于 H/1000（H 为柱高），梁平整度偏差不大于 L/1000（L 为梁长）；</w:t>
      </w:r>
    </w:p>
    <w:p w14:paraId="4436A3E2">
      <w:pPr>
        <w:numPr>
          <w:ilvl w:val="1"/>
          <w:numId w:val="0"/>
        </w:num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混凝土基础强度需达到设计强度的 100%，外观无裂缝、露筋等缺陷，尺寸偏差符合 GB 50204 要求；</w:t>
      </w:r>
    </w:p>
    <w:p w14:paraId="7F39DF6D">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2.</w:t>
      </w:r>
      <w:r>
        <w:rPr>
          <w:rFonts w:ascii="宋体" w:hAnsi="宋体"/>
          <w:b/>
          <w:bCs/>
          <w:color w:val="auto"/>
          <w:sz w:val="28"/>
          <w:szCs w:val="28"/>
          <w:highlight w:val="none"/>
        </w:rPr>
        <w:t>光伏系统验收</w:t>
      </w:r>
      <w:r>
        <w:rPr>
          <w:rFonts w:ascii="宋体" w:hAnsi="宋体"/>
          <w:color w:val="auto"/>
          <w:sz w:val="28"/>
          <w:szCs w:val="28"/>
          <w:highlight w:val="none"/>
        </w:rPr>
        <w:t>：</w:t>
      </w:r>
    </w:p>
    <w:p w14:paraId="6A3D5FFE">
      <w:pPr>
        <w:numPr>
          <w:ilvl w:val="1"/>
          <w:numId w:val="0"/>
        </w:num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组件安装偏差：平面位置偏差不大于 5mm，倾角偏差不大于 1°；</w:t>
      </w:r>
    </w:p>
    <w:p w14:paraId="4F9875CE">
      <w:pPr>
        <w:numPr>
          <w:ilvl w:val="1"/>
          <w:numId w:val="0"/>
        </w:numPr>
        <w:spacing w:line="460" w:lineRule="exact"/>
        <w:ind w:firstLine="560" w:firstLineChars="200"/>
        <w:rPr>
          <w:rFonts w:hint="eastAsia" w:ascii="宋体" w:hAnsi="宋体"/>
          <w:color w:val="auto"/>
          <w:sz w:val="28"/>
          <w:szCs w:val="28"/>
          <w:highlight w:val="none"/>
        </w:rPr>
      </w:pPr>
      <w:r>
        <w:rPr>
          <w:rFonts w:ascii="Courier New" w:hAnsi="Courier New"/>
          <w:color w:val="auto"/>
          <w:sz w:val="28"/>
          <w:szCs w:val="28"/>
          <w:highlight w:val="none"/>
        </w:rPr>
        <w:t>o</w:t>
      </w:r>
      <w:r>
        <w:rPr>
          <w:rFonts w:ascii="宋体" w:hAnsi="宋体"/>
          <w:color w:val="auto"/>
          <w:sz w:val="28"/>
          <w:szCs w:val="28"/>
          <w:highlight w:val="none"/>
        </w:rPr>
        <w:t>电气性能测试：逆变器效率、并网电流谐波含量（THD 不大于 5%）需符合设计要求，接地电阻测试值不大于 4Ω；</w:t>
      </w:r>
    </w:p>
    <w:p w14:paraId="26EC3435">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3.</w:t>
      </w:r>
      <w:r>
        <w:rPr>
          <w:rFonts w:ascii="宋体" w:hAnsi="宋体"/>
          <w:b/>
          <w:bCs/>
          <w:color w:val="auto"/>
          <w:sz w:val="28"/>
          <w:szCs w:val="28"/>
          <w:highlight w:val="none"/>
        </w:rPr>
        <w:t>发电量验收</w:t>
      </w:r>
      <w:r>
        <w:rPr>
          <w:rFonts w:ascii="宋体" w:hAnsi="宋体"/>
          <w:color w:val="auto"/>
          <w:sz w:val="28"/>
          <w:szCs w:val="28"/>
          <w:highlight w:val="none"/>
        </w:rPr>
        <w:t>：首年发电量需达到设计值的 95% 以上，否则需分析原因并整改。</w:t>
      </w:r>
    </w:p>
    <w:p w14:paraId="4E9B9CF6">
      <w:pPr>
        <w:spacing w:line="460" w:lineRule="exact"/>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7</w:t>
      </w:r>
      <w:r>
        <w:rPr>
          <w:rFonts w:ascii="宋体" w:hAnsi="宋体"/>
          <w:b/>
          <w:bCs/>
          <w:color w:val="auto"/>
          <w:sz w:val="28"/>
          <w:szCs w:val="28"/>
          <w:highlight w:val="none"/>
        </w:rPr>
        <w:t>.2 质保要求</w:t>
      </w:r>
    </w:p>
    <w:p w14:paraId="42E15CB0">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1.</w:t>
      </w:r>
      <w:r>
        <w:rPr>
          <w:rFonts w:ascii="宋体" w:hAnsi="宋体"/>
          <w:b/>
          <w:bCs/>
          <w:color w:val="auto"/>
          <w:sz w:val="28"/>
          <w:szCs w:val="28"/>
          <w:highlight w:val="none"/>
        </w:rPr>
        <w:t>结构质保</w:t>
      </w:r>
      <w:r>
        <w:rPr>
          <w:rFonts w:ascii="宋体" w:hAnsi="宋体"/>
          <w:color w:val="auto"/>
          <w:sz w:val="28"/>
          <w:szCs w:val="28"/>
          <w:highlight w:val="none"/>
        </w:rPr>
        <w:t>：主体钢结构质保不低于 15 年，基础质保不低于 20 年；</w:t>
      </w:r>
    </w:p>
    <w:p w14:paraId="5AADA52D">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2.</w:t>
      </w:r>
      <w:r>
        <w:rPr>
          <w:rFonts w:ascii="宋体" w:hAnsi="宋体"/>
          <w:b/>
          <w:bCs/>
          <w:color w:val="auto"/>
          <w:sz w:val="28"/>
          <w:szCs w:val="28"/>
          <w:highlight w:val="none"/>
        </w:rPr>
        <w:t>光伏系统质保</w:t>
      </w:r>
      <w:r>
        <w:rPr>
          <w:rFonts w:ascii="宋体" w:hAnsi="宋体"/>
          <w:color w:val="auto"/>
          <w:sz w:val="28"/>
          <w:szCs w:val="28"/>
          <w:highlight w:val="none"/>
        </w:rPr>
        <w:t>：光伏组件质保不低于 2</w:t>
      </w:r>
      <w:r>
        <w:rPr>
          <w:rFonts w:hint="eastAsia" w:ascii="宋体" w:hAnsi="宋体"/>
          <w:color w:val="auto"/>
          <w:sz w:val="28"/>
          <w:szCs w:val="28"/>
          <w:highlight w:val="none"/>
        </w:rPr>
        <w:t>0</w:t>
      </w:r>
      <w:r>
        <w:rPr>
          <w:rFonts w:ascii="宋体" w:hAnsi="宋体"/>
          <w:color w:val="auto"/>
          <w:sz w:val="28"/>
          <w:szCs w:val="28"/>
          <w:highlight w:val="none"/>
        </w:rPr>
        <w:t xml:space="preserve"> 年（发电量衰减率符合要求）</w:t>
      </w:r>
      <w:r>
        <w:rPr>
          <w:rFonts w:hint="eastAsia" w:ascii="宋体" w:hAnsi="宋体"/>
          <w:color w:val="auto"/>
          <w:sz w:val="28"/>
          <w:szCs w:val="28"/>
          <w:highlight w:val="none"/>
        </w:rPr>
        <w:t>；</w:t>
      </w:r>
    </w:p>
    <w:p w14:paraId="52A69600">
      <w:pPr>
        <w:spacing w:line="460" w:lineRule="exact"/>
        <w:ind w:firstLine="562" w:firstLineChars="200"/>
        <w:rPr>
          <w:rFonts w:hint="eastAsia" w:ascii="宋体" w:hAnsi="宋体"/>
          <w:color w:val="auto"/>
          <w:sz w:val="28"/>
          <w:szCs w:val="28"/>
          <w:highlight w:val="none"/>
        </w:rPr>
      </w:pPr>
      <w:r>
        <w:rPr>
          <w:rFonts w:hint="eastAsia" w:ascii="宋体" w:hAnsi="宋体"/>
          <w:b/>
          <w:bCs/>
          <w:color w:val="auto"/>
          <w:sz w:val="28"/>
          <w:szCs w:val="28"/>
          <w:highlight w:val="none"/>
        </w:rPr>
        <w:t>八</w:t>
      </w:r>
      <w:r>
        <w:rPr>
          <w:rFonts w:ascii="宋体" w:hAnsi="宋体"/>
          <w:b/>
          <w:bCs/>
          <w:color w:val="auto"/>
          <w:sz w:val="28"/>
          <w:szCs w:val="28"/>
          <w:highlight w:val="none"/>
        </w:rPr>
        <w:t>、设计成果要求</w:t>
      </w:r>
      <w:r>
        <w:rPr>
          <w:rFonts w:hint="eastAsia" w:ascii="宋体" w:hAnsi="宋体"/>
          <w:b/>
          <w:bCs/>
          <w:color w:val="auto"/>
          <w:sz w:val="28"/>
          <w:szCs w:val="28"/>
          <w:highlight w:val="none"/>
        </w:rPr>
        <w:t>及项目交付</w:t>
      </w:r>
    </w:p>
    <w:p w14:paraId="5BD551FE">
      <w:pPr>
        <w:spacing w:line="4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（一）</w:t>
      </w:r>
      <w:r>
        <w:rPr>
          <w:rFonts w:ascii="宋体" w:hAnsi="宋体"/>
          <w:color w:val="auto"/>
          <w:sz w:val="28"/>
          <w:szCs w:val="28"/>
          <w:highlight w:val="none"/>
        </w:rPr>
        <w:t>中标单位需在合同签订后 30 日内提交完整设计成果，包括但不限于：</w:t>
      </w:r>
    </w:p>
    <w:p w14:paraId="21B76EDE">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1.设计说明书（含设计依据、参数计算、方案比选、技术要点等）；</w:t>
      </w:r>
    </w:p>
    <w:p w14:paraId="1524FC37">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2.结构施工图（含基础平面布置图、钢结构节点详图、光伏支架安装图）；</w:t>
      </w:r>
    </w:p>
    <w:p w14:paraId="46EC7AFC">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3.电气施工图（含光伏系统接线图、配电设备布置图、线缆敷设图、防雷接地图）；</w:t>
      </w:r>
    </w:p>
    <w:p w14:paraId="7936E771">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4.工程量清单；</w:t>
      </w:r>
    </w:p>
    <w:p w14:paraId="4A59C858">
      <w:pPr>
        <w:spacing w:line="460" w:lineRule="exact"/>
        <w:ind w:firstLine="560" w:firstLineChars="200"/>
        <w:rPr>
          <w:rFonts w:hint="eastAsia" w:ascii="宋体" w:hAnsi="宋体"/>
          <w:color w:val="auto"/>
          <w:sz w:val="28"/>
          <w:szCs w:val="28"/>
          <w:highlight w:val="none"/>
        </w:rPr>
      </w:pPr>
      <w:r>
        <w:rPr>
          <w:rFonts w:ascii="宋体" w:hAnsi="宋体"/>
          <w:color w:val="auto"/>
          <w:sz w:val="28"/>
          <w:szCs w:val="28"/>
          <w:highlight w:val="none"/>
        </w:rPr>
        <w:t>5.光伏系统发电量计算书、结构承载力验算书；</w:t>
      </w:r>
    </w:p>
    <w:p w14:paraId="7167C031">
      <w:pPr>
        <w:spacing w:line="460" w:lineRule="exact"/>
        <w:ind w:firstLine="560" w:firstLineChars="200"/>
        <w:rPr>
          <w:rFonts w:hint="eastAsia" w:ascii="宋体" w:hAnsi="宋体" w:cs="宋体"/>
          <w:color w:val="auto"/>
          <w:sz w:val="28"/>
          <w:szCs w:val="28"/>
          <w:highlight w:val="none"/>
          <w:shd w:val="clear" w:color="auto" w:fill="FFFFFF"/>
        </w:rPr>
      </w:pPr>
      <w:r>
        <w:rPr>
          <w:rFonts w:ascii="宋体" w:hAnsi="宋体"/>
          <w:color w:val="auto"/>
          <w:sz w:val="28"/>
          <w:szCs w:val="28"/>
          <w:highlight w:val="none"/>
        </w:rPr>
        <w:t>6.设计图纸需加盖注册结构工程师、注册电气工程师执业印章，确保成果合法有效。</w:t>
      </w:r>
    </w:p>
    <w:p w14:paraId="34450B0B">
      <w:pPr>
        <w:spacing w:line="460" w:lineRule="exact"/>
        <w:ind w:firstLine="562" w:firstLineChars="200"/>
        <w:rPr>
          <w:rFonts w:hint="eastAsia" w:ascii="宋体" w:hAnsi="宋体" w:cs="宋体"/>
          <w:b/>
          <w:bCs/>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rPr>
        <w:t>（二）设计成果经相关部门审核并经采购人确认后，由成交供应商实施。</w:t>
      </w:r>
    </w:p>
    <w:p w14:paraId="57C5668F">
      <w:pPr>
        <w:spacing w:line="460" w:lineRule="exact"/>
        <w:ind w:firstLine="562" w:firstLineChars="200"/>
        <w:rPr>
          <w:rFonts w:hint="eastAsia" w:ascii="宋体" w:hAnsi="宋体" w:cs="宋体"/>
          <w:b/>
          <w:bCs/>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rPr>
        <w:t>本项目为交钥匙工程。所有涉及该项目设计、设备采购、现场安装施工、调试、运维，以及相关的专家论证、方案报批等所有事项及费用，均由成交供应商自行考虑。采购人不承担任何费用。</w:t>
      </w:r>
    </w:p>
    <w:p w14:paraId="4AFC5351">
      <w:pPr>
        <w:pStyle w:val="26"/>
        <w:rPr>
          <w:color w:val="auto"/>
          <w:highlight w:val="none"/>
        </w:rPr>
      </w:pPr>
    </w:p>
    <w:p w14:paraId="4D151C52">
      <w:pPr>
        <w:spacing w:line="460" w:lineRule="exact"/>
        <w:ind w:firstLine="562" w:firstLineChars="200"/>
        <w:rPr>
          <w:rFonts w:hint="eastAsia" w:ascii="宋体" w:hAnsi="宋体" w:cs="宋体"/>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rPr>
        <w:t>九、投标项目涉及到的现场勘察</w:t>
      </w:r>
    </w:p>
    <w:p w14:paraId="3DEC6415">
      <w:pPr>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招标文件所提供的项目相关数据仅做参考，根据自身需要，投标供应商可在投标文件递交之日前对有关现场和周围环境进行勘察，以获取编制投标文件和签署合同所需的信息；现场勘察联系人：计先生，联系电话：18816266088；勘察现场所发生的责任和费用由投标供应商自己承担。</w:t>
      </w:r>
    </w:p>
    <w:p w14:paraId="30C861DB">
      <w:pPr>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2．采购单位向投标供应商提供的有关现场的资料和数据，是采购单位现有的并认为能使投标供应商可利用的资料。采购人对投标供应商由此而做出的推论、理解和结论概不负责。</w:t>
      </w:r>
    </w:p>
    <w:p w14:paraId="125EDB70">
      <w:pPr>
        <w:spacing w:line="460" w:lineRule="exact"/>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十、付款方式</w:t>
      </w:r>
    </w:p>
    <w:p w14:paraId="5C151919">
      <w:pPr>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光伏发电设备安装完工通过验收并完成并网发电后，采购人购进光伏发电系统产生的电能。采购人自收到中标单位发票后 10 个工作日内付款（按</w:t>
      </w:r>
      <w:r>
        <w:rPr>
          <w:rFonts w:hint="eastAsia" w:ascii="宋体" w:hAnsi="宋体" w:cs="宋体"/>
          <w:color w:val="auto"/>
          <w:sz w:val="28"/>
          <w:szCs w:val="28"/>
          <w:highlight w:val="none"/>
        </w:rPr>
        <w:t>月</w:t>
      </w:r>
      <w:r>
        <w:rPr>
          <w:rFonts w:hint="eastAsia" w:ascii="宋体" w:hAnsi="宋体" w:cs="宋体"/>
          <w:color w:val="auto"/>
          <w:sz w:val="28"/>
          <w:szCs w:val="28"/>
          <w:highlight w:val="none"/>
        </w:rPr>
        <w:t>结付）。</w:t>
      </w:r>
    </w:p>
    <w:p w14:paraId="3070C3E0">
      <w:pPr>
        <w:spacing w:line="46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特别提醒：请各投标人开标前自行勘查现场，以便详细了解项目实况，做出合理合适的投标报价。</w:t>
      </w:r>
    </w:p>
    <w:p w14:paraId="71174283">
      <w:pPr>
        <w:autoSpaceDE w:val="0"/>
        <w:autoSpaceDN w:val="0"/>
        <w:adjustRightInd w:val="0"/>
        <w:snapToGrid w:val="0"/>
        <w:spacing w:line="460" w:lineRule="exact"/>
        <w:ind w:firstLine="720" w:firstLineChars="200"/>
        <w:jc w:val="center"/>
        <w:rPr>
          <w:rFonts w:hint="eastAsia" w:ascii="宋体" w:hAnsi="宋体" w:cs="宋体"/>
          <w:bCs/>
          <w:color w:val="auto"/>
          <w:sz w:val="36"/>
          <w:szCs w:val="36"/>
          <w:highlight w:val="none"/>
        </w:rPr>
      </w:pPr>
    </w:p>
    <w:p w14:paraId="245F8923">
      <w:pPr>
        <w:pStyle w:val="2"/>
        <w:rPr>
          <w:rFonts w:hint="eastAsia" w:ascii="宋体" w:hAnsi="宋体" w:cs="宋体"/>
          <w:bCs/>
          <w:color w:val="auto"/>
          <w:sz w:val="36"/>
          <w:szCs w:val="36"/>
          <w:highlight w:val="none"/>
        </w:rPr>
      </w:pPr>
    </w:p>
    <w:p w14:paraId="4518606A">
      <w:pPr>
        <w:pStyle w:val="2"/>
        <w:rPr>
          <w:color w:val="auto"/>
          <w:highlight w:val="none"/>
        </w:rPr>
      </w:pPr>
    </w:p>
    <w:p w14:paraId="5337A603">
      <w:pPr>
        <w:autoSpaceDE w:val="0"/>
        <w:autoSpaceDN w:val="0"/>
        <w:adjustRightInd w:val="0"/>
        <w:snapToGrid w:val="0"/>
        <w:spacing w:line="460" w:lineRule="exact"/>
        <w:ind w:firstLine="720" w:firstLineChars="200"/>
        <w:jc w:val="center"/>
        <w:rPr>
          <w:rFonts w:hint="eastAsia" w:ascii="宋体" w:hAnsi="宋体" w:cs="宋体"/>
          <w:bCs/>
          <w:color w:val="auto"/>
          <w:sz w:val="36"/>
          <w:szCs w:val="36"/>
          <w:highlight w:val="none"/>
        </w:rPr>
      </w:pPr>
    </w:p>
    <w:p w14:paraId="18E8A353">
      <w:pPr>
        <w:autoSpaceDE w:val="0"/>
        <w:autoSpaceDN w:val="0"/>
        <w:adjustRightInd w:val="0"/>
        <w:snapToGrid w:val="0"/>
        <w:spacing w:line="460" w:lineRule="exact"/>
        <w:ind w:firstLine="720" w:firstLineChars="200"/>
        <w:jc w:val="center"/>
        <w:rPr>
          <w:rFonts w:hint="eastAsia" w:ascii="宋体" w:hAnsi="宋体" w:cs="宋体"/>
          <w:b/>
          <w:color w:val="auto"/>
          <w:sz w:val="32"/>
          <w:szCs w:val="32"/>
          <w:highlight w:val="none"/>
        </w:rPr>
      </w:pPr>
      <w:r>
        <w:rPr>
          <w:rFonts w:hint="eastAsia" w:ascii="宋体" w:hAnsi="宋体" w:cs="宋体"/>
          <w:bCs/>
          <w:color w:val="auto"/>
          <w:sz w:val="36"/>
          <w:szCs w:val="36"/>
          <w:highlight w:val="none"/>
        </w:rPr>
        <w:t>第四部分 评审方法和评审标准</w:t>
      </w:r>
    </w:p>
    <w:p w14:paraId="2FCE5FA6">
      <w:pPr>
        <w:adjustRightInd w:val="0"/>
        <w:snapToGrid w:val="0"/>
        <w:spacing w:line="460" w:lineRule="exact"/>
        <w:ind w:firstLine="562" w:firstLineChars="200"/>
        <w:jc w:val="left"/>
        <w:textAlignment w:val="baseline"/>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rPr>
        <w:t>一、</w:t>
      </w:r>
      <w:r>
        <w:rPr>
          <w:rFonts w:hint="eastAsia" w:ascii="宋体" w:hAnsi="宋体" w:cs="宋体"/>
          <w:bCs/>
          <w:color w:val="auto"/>
          <w:sz w:val="28"/>
          <w:szCs w:val="28"/>
          <w:highlight w:val="none"/>
        </w:rPr>
        <w:t>磋商方式</w:t>
      </w:r>
    </w:p>
    <w:p w14:paraId="1B383B7F">
      <w:pPr>
        <w:tabs>
          <w:tab w:val="left" w:pos="3585"/>
        </w:tabs>
        <w:adjustRightInd w:val="0"/>
        <w:snapToGrid w:val="0"/>
        <w:spacing w:line="460" w:lineRule="exact"/>
        <w:ind w:firstLine="537" w:firstLineChars="192"/>
        <w:rPr>
          <w:rFonts w:hint="eastAsia" w:ascii="宋体" w:hAnsi="宋体" w:cs="宋体"/>
          <w:color w:val="auto"/>
          <w:sz w:val="28"/>
          <w:szCs w:val="28"/>
          <w:highlight w:val="none"/>
        </w:rPr>
      </w:pPr>
      <w:r>
        <w:rPr>
          <w:rFonts w:hint="eastAsia" w:ascii="宋体" w:hAnsi="宋体" w:cs="宋体"/>
          <w:color w:val="auto"/>
          <w:sz w:val="28"/>
          <w:szCs w:val="28"/>
          <w:highlight w:val="none"/>
        </w:rPr>
        <w:t>见面磋商模式：供应商在采购文件规定的时间和地点参加磋商活动。</w:t>
      </w:r>
    </w:p>
    <w:p w14:paraId="574F48F5">
      <w:pPr>
        <w:adjustRightInd w:val="0"/>
        <w:snapToGrid w:val="0"/>
        <w:spacing w:line="460" w:lineRule="exact"/>
        <w:ind w:firstLine="562" w:firstLineChars="200"/>
        <w:jc w:val="left"/>
        <w:textAlignment w:val="baseline"/>
        <w:outlineLvl w:val="1"/>
        <w:rPr>
          <w:rFonts w:hint="eastAsia" w:ascii="宋体" w:hAnsi="宋体" w:cs="宋体"/>
          <w:color w:val="auto"/>
          <w:sz w:val="28"/>
          <w:szCs w:val="28"/>
          <w:highlight w:val="none"/>
        </w:rPr>
      </w:pPr>
      <w:r>
        <w:rPr>
          <w:rFonts w:hint="eastAsia" w:ascii="宋体" w:hAnsi="宋体" w:cs="宋体"/>
          <w:b/>
          <w:color w:val="auto"/>
          <w:sz w:val="28"/>
          <w:szCs w:val="28"/>
          <w:highlight w:val="none"/>
        </w:rPr>
        <w:t>二、</w:t>
      </w:r>
      <w:r>
        <w:rPr>
          <w:rFonts w:hint="eastAsia" w:ascii="宋体" w:hAnsi="宋体" w:cs="宋体"/>
          <w:color w:val="auto"/>
          <w:sz w:val="28"/>
          <w:szCs w:val="28"/>
          <w:highlight w:val="none"/>
        </w:rPr>
        <w:t>磋商程序及评审方法和标准</w:t>
      </w:r>
    </w:p>
    <w:p w14:paraId="17AEC655">
      <w:pPr>
        <w:adjustRightInd w:val="0"/>
        <w:snapToGrid w:val="0"/>
        <w:spacing w:line="460" w:lineRule="exact"/>
        <w:ind w:firstLine="691" w:firstLineChars="247"/>
        <w:rPr>
          <w:rFonts w:hint="eastAsia" w:ascii="宋体" w:hAnsi="宋体" w:cs="宋体"/>
          <w:bCs/>
          <w:color w:val="auto"/>
          <w:sz w:val="28"/>
          <w:szCs w:val="28"/>
          <w:highlight w:val="none"/>
        </w:rPr>
      </w:pPr>
      <w:r>
        <w:rPr>
          <w:rFonts w:hint="eastAsia" w:ascii="宋体" w:hAnsi="宋体" w:cs="宋体"/>
          <w:bCs/>
          <w:color w:val="auto"/>
          <w:sz w:val="28"/>
          <w:szCs w:val="28"/>
          <w:highlight w:val="none"/>
        </w:rPr>
        <w:t>1.评审方法：综合评分法，经磋商确定最终采购需求和提交最后报价的供应商后，由磋商小组采用综合评分法对提交最后报价的供应商的响应文件和最后报价进行综合评分。</w:t>
      </w:r>
    </w:p>
    <w:p w14:paraId="26FB70DD">
      <w:pPr>
        <w:adjustRightInd w:val="0"/>
        <w:snapToGrid w:val="0"/>
        <w:spacing w:line="460" w:lineRule="exact"/>
        <w:ind w:firstLine="700" w:firstLineChars="250"/>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17259ACA">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商务技术部分评审结束后进入最后报价环节，最后报价将作为评审价。代理机构发送最后报价填报通知后，所有的响应供应商须在15分钟内填写并提交最后报价，未在规定时间内提交最后报价的，视作无效响应处理。</w:t>
      </w:r>
    </w:p>
    <w:p w14:paraId="18AFFC52">
      <w:pPr>
        <w:adjustRightInd w:val="0"/>
        <w:snapToGrid w:val="0"/>
        <w:spacing w:line="460" w:lineRule="exact"/>
        <w:ind w:firstLine="555"/>
        <w:rPr>
          <w:rFonts w:hint="eastAsia" w:ascii="宋体" w:hAnsi="宋体" w:cs="宋体"/>
          <w:color w:val="auto"/>
          <w:sz w:val="28"/>
          <w:szCs w:val="28"/>
          <w:highlight w:val="none"/>
        </w:rPr>
      </w:pPr>
      <w:r>
        <w:rPr>
          <w:rFonts w:hint="eastAsia" w:ascii="宋体" w:hAnsi="宋体" w:cs="宋体"/>
          <w:color w:val="auto"/>
          <w:sz w:val="28"/>
          <w:szCs w:val="28"/>
          <w:highlight w:val="none"/>
        </w:rPr>
        <w:t>供应商商务、技术部分和价格部分的合计分值，为该供应商的评审总得分。</w:t>
      </w:r>
    </w:p>
    <w:p w14:paraId="326F8D76">
      <w:pPr>
        <w:adjustRightInd w:val="0"/>
        <w:snapToGrid w:val="0"/>
        <w:spacing w:line="460" w:lineRule="exact"/>
        <w:ind w:firstLine="555"/>
        <w:rPr>
          <w:rFonts w:hint="eastAsia" w:ascii="宋体" w:hAnsi="宋体" w:cs="宋体"/>
          <w:color w:val="auto"/>
          <w:sz w:val="28"/>
          <w:szCs w:val="28"/>
          <w:highlight w:val="none"/>
        </w:rPr>
      </w:pPr>
      <w:r>
        <w:rPr>
          <w:rFonts w:hint="eastAsia" w:ascii="宋体" w:hAnsi="宋体" w:cs="宋体"/>
          <w:color w:val="auto"/>
          <w:sz w:val="28"/>
          <w:szCs w:val="28"/>
          <w:highlight w:val="none"/>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7C92C021">
      <w:pPr>
        <w:adjustRightInd w:val="0"/>
        <w:snapToGrid w:val="0"/>
        <w:spacing w:line="460" w:lineRule="exact"/>
        <w:ind w:firstLine="555"/>
        <w:rPr>
          <w:rFonts w:hint="eastAsia" w:ascii="宋体" w:hAnsi="宋体" w:cs="宋体"/>
          <w:color w:val="auto"/>
          <w:sz w:val="28"/>
          <w:szCs w:val="28"/>
          <w:highlight w:val="none"/>
        </w:rPr>
      </w:pPr>
      <w:r>
        <w:rPr>
          <w:rFonts w:hint="eastAsia" w:ascii="宋体" w:hAnsi="宋体" w:cs="宋体"/>
          <w:color w:val="auto"/>
          <w:sz w:val="28"/>
          <w:szCs w:val="28"/>
          <w:highlight w:val="none"/>
        </w:rPr>
        <w:t>评委在认真审阅响应文件的基础上，根据各响应文件的响应程度独立评判，不得统一打分。</w:t>
      </w:r>
    </w:p>
    <w:p w14:paraId="24E1B125">
      <w:pPr>
        <w:adjustRightInd w:val="0"/>
        <w:snapToGrid w:val="0"/>
        <w:spacing w:line="460" w:lineRule="exact"/>
        <w:ind w:firstLine="555"/>
        <w:rPr>
          <w:rFonts w:hint="eastAsia" w:ascii="宋体" w:hAnsi="宋体" w:cs="宋体"/>
          <w:color w:val="auto"/>
          <w:sz w:val="28"/>
          <w:szCs w:val="28"/>
          <w:highlight w:val="none"/>
        </w:rPr>
      </w:pPr>
      <w:r>
        <w:rPr>
          <w:rFonts w:hint="eastAsia" w:ascii="宋体" w:hAnsi="宋体" w:cs="宋体"/>
          <w:color w:val="auto"/>
          <w:sz w:val="28"/>
          <w:szCs w:val="28"/>
          <w:highlight w:val="none"/>
        </w:rPr>
        <w:t>技术商务部分评审结束后，再开启最后报价计算分值。总分值为100分，加分和减分因素除外。</w:t>
      </w:r>
    </w:p>
    <w:p w14:paraId="0155955D">
      <w:pPr>
        <w:adjustRightInd w:val="0"/>
        <w:snapToGrid w:val="0"/>
        <w:spacing w:line="460" w:lineRule="exact"/>
        <w:ind w:firstLine="579" w:firstLineChars="206"/>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（一）采购人（代表）对供应商资格进行审查。</w:t>
      </w:r>
    </w:p>
    <w:p w14:paraId="4B4FB7BF">
      <w:pPr>
        <w:adjustRightInd w:val="0"/>
        <w:snapToGrid w:val="0"/>
        <w:spacing w:line="460" w:lineRule="exact"/>
        <w:ind w:firstLine="576" w:firstLineChars="206"/>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供应商资格不合格的，其响应文件判定为无效响应文件。</w:t>
      </w:r>
    </w:p>
    <w:p w14:paraId="4C49059C">
      <w:pPr>
        <w:adjustRightInd w:val="0"/>
        <w:snapToGrid w:val="0"/>
        <w:spacing w:line="460" w:lineRule="exact"/>
        <w:ind w:firstLine="579" w:firstLineChars="206"/>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（二）磋商小组对符合资格供应商的响应文件进行符合性审查。</w:t>
      </w:r>
    </w:p>
    <w:p w14:paraId="28691434">
      <w:pPr>
        <w:adjustRightInd w:val="0"/>
        <w:snapToGrid w:val="0"/>
        <w:spacing w:line="460" w:lineRule="exact"/>
        <w:ind w:firstLine="576" w:firstLineChars="206"/>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未通过符合性审查的响应文件，将被判为不满足磋商文件实质性要求。 </w:t>
      </w:r>
    </w:p>
    <w:p w14:paraId="6238E342">
      <w:pPr>
        <w:adjustRightInd w:val="0"/>
        <w:snapToGrid w:val="0"/>
        <w:spacing w:line="460" w:lineRule="exact"/>
        <w:ind w:firstLine="560" w:firstLineChars="200"/>
        <w:jc w:val="left"/>
        <w:outlineLvl w:val="2"/>
        <w:rPr>
          <w:rFonts w:hint="eastAsia" w:ascii="宋体" w:hAnsi="宋体" w:cs="宋体"/>
          <w:color w:val="auto"/>
          <w:sz w:val="28"/>
          <w:szCs w:val="28"/>
          <w:highlight w:val="none"/>
          <w:lang w:val="zh-CN"/>
        </w:rPr>
      </w:pPr>
      <w:r>
        <w:rPr>
          <w:rFonts w:hint="eastAsia" w:ascii="宋体" w:hAnsi="宋体" w:cs="宋体"/>
          <w:color w:val="auto"/>
          <w:sz w:val="28"/>
          <w:szCs w:val="28"/>
          <w:highlight w:val="none"/>
          <w:lang w:val="zh-CN"/>
        </w:rPr>
        <w:t>（三）商务技术分：</w:t>
      </w:r>
      <w:r>
        <w:rPr>
          <w:rFonts w:hint="eastAsia" w:ascii="宋体" w:hAnsi="宋体" w:cs="宋体"/>
          <w:color w:val="auto"/>
          <w:sz w:val="28"/>
          <w:szCs w:val="28"/>
          <w:highlight w:val="none"/>
        </w:rPr>
        <w:t>50</w:t>
      </w:r>
      <w:r>
        <w:rPr>
          <w:rFonts w:hint="eastAsia" w:ascii="宋体" w:hAnsi="宋体" w:cs="宋体"/>
          <w:color w:val="auto"/>
          <w:sz w:val="28"/>
          <w:szCs w:val="28"/>
          <w:highlight w:val="none"/>
          <w:lang w:val="zh-CN"/>
        </w:rPr>
        <w:t>分</w:t>
      </w:r>
    </w:p>
    <w:p w14:paraId="3B73490C">
      <w:pPr>
        <w:adjustRightInd w:val="0"/>
        <w:snapToGrid w:val="0"/>
        <w:spacing w:line="460" w:lineRule="exact"/>
        <w:ind w:firstLine="700" w:firstLineChars="25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各供应商得分为磋商小组成员评分的算术平均分，分值保留小数点后两位。</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57" w:type="dxa"/>
          <w:left w:w="108" w:type="dxa"/>
          <w:bottom w:w="57" w:type="dxa"/>
          <w:right w:w="108" w:type="dxa"/>
        </w:tblCellMar>
      </w:tblPr>
      <w:tblGrid>
        <w:gridCol w:w="1728"/>
        <w:gridCol w:w="828"/>
        <w:gridCol w:w="5863"/>
      </w:tblGrid>
      <w:tr w14:paraId="1BE5A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57" w:type="dxa"/>
            <w:left w:w="108" w:type="dxa"/>
            <w:bottom w:w="57" w:type="dxa"/>
            <w:right w:w="108" w:type="dxa"/>
          </w:tblCellMar>
        </w:tblPrEx>
        <w:trPr>
          <w:trHeight w:val="57" w:hRule="atLeast"/>
          <w:tblHeader/>
          <w:jc w:val="center"/>
        </w:trPr>
        <w:tc>
          <w:tcPr>
            <w:tcW w:w="1728" w:type="dxa"/>
            <w:shd w:val="clear" w:color="auto" w:fill="FFFFFF"/>
            <w:vAlign w:val="center"/>
          </w:tcPr>
          <w:p w14:paraId="50C624AE">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828" w:type="dxa"/>
            <w:shd w:val="clear" w:color="auto" w:fill="FFFFFF"/>
            <w:vAlign w:val="center"/>
          </w:tcPr>
          <w:p w14:paraId="5C7A0073">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满分</w:t>
            </w:r>
          </w:p>
        </w:tc>
        <w:tc>
          <w:tcPr>
            <w:tcW w:w="5863" w:type="dxa"/>
            <w:shd w:val="clear" w:color="auto" w:fill="FFFFFF"/>
            <w:vAlign w:val="center"/>
          </w:tcPr>
          <w:p w14:paraId="4F70226E">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63B2B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57" w:type="dxa"/>
            <w:left w:w="108" w:type="dxa"/>
            <w:bottom w:w="57" w:type="dxa"/>
            <w:right w:w="108" w:type="dxa"/>
          </w:tblCellMar>
        </w:tblPrEx>
        <w:trPr>
          <w:trHeight w:val="57" w:hRule="atLeast"/>
          <w:jc w:val="center"/>
        </w:trPr>
        <w:tc>
          <w:tcPr>
            <w:tcW w:w="1728" w:type="dxa"/>
            <w:tcBorders>
              <w:bottom w:val="single" w:color="auto" w:sz="4" w:space="0"/>
            </w:tcBorders>
            <w:shd w:val="clear" w:color="auto" w:fill="FFFFFF"/>
            <w:vAlign w:val="center"/>
          </w:tcPr>
          <w:p w14:paraId="54B5E73B">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企业资质</w:t>
            </w:r>
          </w:p>
        </w:tc>
        <w:tc>
          <w:tcPr>
            <w:tcW w:w="828" w:type="dxa"/>
            <w:tcBorders>
              <w:bottom w:val="single" w:color="auto" w:sz="4" w:space="0"/>
            </w:tcBorders>
            <w:shd w:val="clear" w:color="auto" w:fill="FFFFFF"/>
            <w:vAlign w:val="center"/>
          </w:tcPr>
          <w:p w14:paraId="6174AA5B">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5863" w:type="dxa"/>
            <w:tcBorders>
              <w:bottom w:val="single" w:color="auto" w:sz="4" w:space="0"/>
            </w:tcBorders>
            <w:shd w:val="clear" w:color="auto" w:fill="FFFFFF"/>
            <w:vAlign w:val="center"/>
          </w:tcPr>
          <w:p w14:paraId="53B862C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所投产品或厂家获得IOS9001质量管理体系认证的得1分； 获得IOS14001环境管理体系认证证书的得1分；获得职业管理安全体系认证证书的得1分；本项最高分3分（须在有效期内，提供加盖投标人公章的复印件）。</w:t>
            </w:r>
          </w:p>
        </w:tc>
      </w:tr>
      <w:tr w14:paraId="4D3D9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57" w:hRule="atLeast"/>
          <w:jc w:val="center"/>
        </w:trPr>
        <w:tc>
          <w:tcPr>
            <w:tcW w:w="1728" w:type="dxa"/>
            <w:tcBorders>
              <w:top w:val="single" w:color="auto" w:sz="4" w:space="0"/>
            </w:tcBorders>
            <w:shd w:val="clear" w:color="auto" w:fill="FFFFFF"/>
            <w:vAlign w:val="center"/>
          </w:tcPr>
          <w:p w14:paraId="5947DF16">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业绩能力</w:t>
            </w:r>
          </w:p>
        </w:tc>
        <w:tc>
          <w:tcPr>
            <w:tcW w:w="828" w:type="dxa"/>
            <w:tcBorders>
              <w:top w:val="single" w:color="auto" w:sz="4" w:space="0"/>
            </w:tcBorders>
            <w:shd w:val="clear" w:color="auto" w:fill="FFFFFF"/>
            <w:vAlign w:val="center"/>
          </w:tcPr>
          <w:p w14:paraId="35463738">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5863" w:type="dxa"/>
            <w:tcBorders>
              <w:top w:val="single" w:color="auto" w:sz="4" w:space="0"/>
            </w:tcBorders>
            <w:shd w:val="clear" w:color="auto" w:fill="FFFFFF"/>
            <w:vAlign w:val="center"/>
          </w:tcPr>
          <w:p w14:paraId="61C12C3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提供自 2020 年1月1日以来（以合同签订的日期为准）</w:t>
            </w:r>
            <w:r>
              <w:rPr>
                <w:rFonts w:hint="eastAsia" w:ascii="宋体" w:hAnsi="宋体" w:cs="宋体"/>
                <w:color w:val="auto"/>
                <w:szCs w:val="21"/>
                <w:highlight w:val="none"/>
              </w:rPr>
              <w:t>公共机构</w:t>
            </w:r>
            <w:r>
              <w:rPr>
                <w:rFonts w:hint="eastAsia" w:ascii="宋体" w:hAnsi="宋体" w:cs="宋体"/>
                <w:color w:val="auto"/>
                <w:szCs w:val="21"/>
                <w:highlight w:val="none"/>
              </w:rPr>
              <w:t>分布式光伏发电业绩（包含光伏工程建设业绩）的合同，每 1 份加 1 分，最多得 8 分。</w:t>
            </w:r>
          </w:p>
          <w:p w14:paraId="4ACA481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(需提供工程施工合同或并网验收单复印件加盖公章证明) </w:t>
            </w:r>
          </w:p>
        </w:tc>
      </w:tr>
      <w:tr w14:paraId="64578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57" w:type="dxa"/>
            <w:left w:w="108" w:type="dxa"/>
            <w:bottom w:w="57" w:type="dxa"/>
            <w:right w:w="108" w:type="dxa"/>
          </w:tblCellMar>
        </w:tblPrEx>
        <w:trPr>
          <w:trHeight w:val="57" w:hRule="atLeast"/>
          <w:jc w:val="center"/>
        </w:trPr>
        <w:tc>
          <w:tcPr>
            <w:tcW w:w="1728" w:type="dxa"/>
            <w:tcBorders>
              <w:top w:val="single" w:color="auto" w:sz="4" w:space="0"/>
            </w:tcBorders>
            <w:shd w:val="clear" w:color="auto" w:fill="FFFFFF"/>
            <w:vAlign w:val="center"/>
          </w:tcPr>
          <w:p w14:paraId="4ECADE70">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重点设备选型水平</w:t>
            </w:r>
          </w:p>
        </w:tc>
        <w:tc>
          <w:tcPr>
            <w:tcW w:w="828" w:type="dxa"/>
            <w:tcBorders>
              <w:top w:val="single" w:color="auto" w:sz="4" w:space="0"/>
            </w:tcBorders>
            <w:shd w:val="clear" w:color="auto" w:fill="FFFFFF"/>
            <w:vAlign w:val="center"/>
          </w:tcPr>
          <w:p w14:paraId="57C45C3B">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5863" w:type="dxa"/>
            <w:tcBorders>
              <w:top w:val="single" w:color="auto" w:sz="4" w:space="0"/>
            </w:tcBorders>
            <w:shd w:val="clear" w:color="auto" w:fill="FFFFFF"/>
            <w:vAlign w:val="center"/>
          </w:tcPr>
          <w:p w14:paraId="231332B4">
            <w:pPr>
              <w:pStyle w:val="30"/>
              <w:spacing w:after="0" w:line="360" w:lineRule="auto"/>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1）太阳能电池组件有 TUV 认证得1 分；有 CGC 证书得1分。本项最高分得2分。(提供复印件加盖公章)</w:t>
            </w:r>
          </w:p>
          <w:p w14:paraId="328CF31E">
            <w:pPr>
              <w:pStyle w:val="30"/>
              <w:spacing w:after="0" w:line="360" w:lineRule="auto"/>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2）逆变器有 TUV 认证得 1 分；有 CGC 证书得 1 分；本项最高分得2分。（提供复印件加盖公章)</w:t>
            </w:r>
          </w:p>
        </w:tc>
      </w:tr>
      <w:tr w14:paraId="1E7D7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57" w:type="dxa"/>
            <w:left w:w="108" w:type="dxa"/>
            <w:bottom w:w="57" w:type="dxa"/>
            <w:right w:w="108" w:type="dxa"/>
          </w:tblCellMar>
        </w:tblPrEx>
        <w:trPr>
          <w:trHeight w:val="57" w:hRule="atLeast"/>
          <w:jc w:val="center"/>
        </w:trPr>
        <w:tc>
          <w:tcPr>
            <w:tcW w:w="1728" w:type="dxa"/>
            <w:shd w:val="clear" w:color="auto" w:fill="FFFFFF"/>
            <w:vAlign w:val="center"/>
          </w:tcPr>
          <w:p w14:paraId="0C5F17F6">
            <w:pPr>
              <w:snapToGrid w:val="0"/>
              <w:spacing w:line="360" w:lineRule="auto"/>
              <w:jc w:val="center"/>
              <w:rPr>
                <w:rFonts w:hint="eastAsia" w:ascii="宋体" w:hAnsi="宋体" w:cs="宋体"/>
                <w:color w:val="auto"/>
                <w:szCs w:val="21"/>
                <w:highlight w:val="none"/>
              </w:rPr>
            </w:pPr>
            <w:r>
              <w:rPr>
                <w:rFonts w:hint="eastAsia" w:ascii="宋体" w:hAnsi="宋体" w:cs="宋体"/>
                <w:color w:val="auto"/>
                <w:spacing w:val="-2"/>
                <w:szCs w:val="21"/>
                <w:highlight w:val="none"/>
              </w:rPr>
              <w:t>服务方案</w:t>
            </w:r>
          </w:p>
        </w:tc>
        <w:tc>
          <w:tcPr>
            <w:tcW w:w="828" w:type="dxa"/>
            <w:shd w:val="clear" w:color="auto" w:fill="FFFFFF"/>
            <w:vAlign w:val="center"/>
          </w:tcPr>
          <w:p w14:paraId="3726FA61">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5863" w:type="dxa"/>
            <w:shd w:val="clear" w:color="auto" w:fill="FFFFFF"/>
            <w:vAlign w:val="center"/>
          </w:tcPr>
          <w:p w14:paraId="6D60360D">
            <w:pPr>
              <w:pStyle w:val="95"/>
              <w:autoSpaceDE w:val="0"/>
              <w:autoSpaceDN w:val="0"/>
              <w:spacing w:line="360" w:lineRule="auto"/>
              <w:ind w:left="102"/>
              <w:rPr>
                <w:rFonts w:hint="eastAsia"/>
                <w:color w:val="auto"/>
                <w:szCs w:val="21"/>
                <w:highlight w:val="none"/>
              </w:rPr>
            </w:pPr>
            <w:r>
              <w:rPr>
                <w:rFonts w:hint="eastAsia"/>
                <w:color w:val="auto"/>
                <w:szCs w:val="21"/>
                <w:highlight w:val="none"/>
                <w:lang w:val="en-US"/>
              </w:rPr>
              <w:t>1</w:t>
            </w:r>
            <w:r>
              <w:rPr>
                <w:rFonts w:hint="eastAsia"/>
                <w:color w:val="auto"/>
                <w:szCs w:val="21"/>
                <w:highlight w:val="none"/>
              </w:rPr>
              <w:t>、</w:t>
            </w:r>
            <w:r>
              <w:rPr>
                <w:rFonts w:hint="eastAsia"/>
                <w:color w:val="auto"/>
                <w:szCs w:val="21"/>
                <w:highlight w:val="none"/>
                <w:lang w:val="en-US"/>
              </w:rPr>
              <w:t>开发建设方案</w:t>
            </w:r>
            <w:r>
              <w:rPr>
                <w:rFonts w:hint="eastAsia"/>
                <w:color w:val="auto"/>
                <w:szCs w:val="21"/>
                <w:highlight w:val="none"/>
              </w:rPr>
              <w:t>（</w:t>
            </w:r>
            <w:r>
              <w:rPr>
                <w:rFonts w:hint="eastAsia"/>
                <w:color w:val="auto"/>
                <w:szCs w:val="21"/>
                <w:highlight w:val="none"/>
                <w:lang w:val="en-US"/>
              </w:rPr>
              <w:t>14</w:t>
            </w:r>
            <w:r>
              <w:rPr>
                <w:rFonts w:hint="eastAsia"/>
                <w:color w:val="auto"/>
                <w:szCs w:val="21"/>
                <w:highlight w:val="none"/>
              </w:rPr>
              <w:t xml:space="preserve"> 分） </w:t>
            </w:r>
          </w:p>
          <w:p w14:paraId="1F067042">
            <w:pPr>
              <w:pStyle w:val="95"/>
              <w:autoSpaceDE w:val="0"/>
              <w:autoSpaceDN w:val="0"/>
              <w:spacing w:line="360" w:lineRule="auto"/>
              <w:ind w:left="102"/>
              <w:rPr>
                <w:rFonts w:hint="eastAsia"/>
                <w:color w:val="auto"/>
                <w:szCs w:val="21"/>
                <w:highlight w:val="none"/>
              </w:rPr>
            </w:pPr>
            <w:r>
              <w:rPr>
                <w:rFonts w:hint="eastAsia"/>
                <w:color w:val="auto"/>
                <w:szCs w:val="21"/>
                <w:highlight w:val="none"/>
              </w:rPr>
              <w:t>1）提供完整的技术方案和设计图纸（支持提前踏勘），包括但不局限于（光伏支架基础图、光伏布置平面图等），技术方案、项目深化设计图纸完整、全面、科学，分为优、良、一般、差四个档次进行评价，方案、措施切实可行，考虑全面的得</w:t>
            </w:r>
            <w:r>
              <w:rPr>
                <w:rFonts w:hint="eastAsia"/>
                <w:color w:val="auto"/>
                <w:szCs w:val="21"/>
                <w:highlight w:val="none"/>
                <w:lang w:val="en-US"/>
              </w:rPr>
              <w:t>8</w:t>
            </w:r>
            <w:r>
              <w:rPr>
                <w:rFonts w:hint="eastAsia"/>
                <w:color w:val="auto"/>
                <w:szCs w:val="21"/>
                <w:highlight w:val="none"/>
              </w:rPr>
              <w:t>分；方案、措施可行，考虑比较全面的得</w:t>
            </w:r>
            <w:r>
              <w:rPr>
                <w:rFonts w:hint="eastAsia"/>
                <w:color w:val="auto"/>
                <w:szCs w:val="21"/>
                <w:highlight w:val="none"/>
                <w:lang w:val="en-US"/>
              </w:rPr>
              <w:t>5</w:t>
            </w:r>
            <w:r>
              <w:rPr>
                <w:rFonts w:hint="eastAsia"/>
                <w:color w:val="auto"/>
                <w:szCs w:val="21"/>
                <w:highlight w:val="none"/>
              </w:rPr>
              <w:t>分；方案、措施不切实可行，考虑不全面的得</w:t>
            </w:r>
            <w:r>
              <w:rPr>
                <w:rFonts w:hint="eastAsia"/>
                <w:color w:val="auto"/>
                <w:szCs w:val="21"/>
                <w:highlight w:val="none"/>
                <w:lang w:val="en-US"/>
              </w:rPr>
              <w:t>2</w:t>
            </w:r>
            <w:r>
              <w:rPr>
                <w:rFonts w:hint="eastAsia"/>
                <w:color w:val="auto"/>
                <w:szCs w:val="21"/>
                <w:highlight w:val="none"/>
              </w:rPr>
              <w:t>分，不提供不得分；</w:t>
            </w:r>
          </w:p>
          <w:p w14:paraId="550D5E3B">
            <w:pPr>
              <w:pStyle w:val="95"/>
              <w:autoSpaceDE w:val="0"/>
              <w:autoSpaceDN w:val="0"/>
              <w:spacing w:line="360" w:lineRule="auto"/>
              <w:ind w:left="102"/>
              <w:rPr>
                <w:rFonts w:hint="eastAsia"/>
                <w:color w:val="auto"/>
                <w:szCs w:val="21"/>
                <w:highlight w:val="none"/>
              </w:rPr>
            </w:pPr>
            <w:r>
              <w:rPr>
                <w:rFonts w:hint="eastAsia"/>
                <w:color w:val="auto"/>
                <w:szCs w:val="21"/>
                <w:highlight w:val="none"/>
                <w:lang w:val="en-US"/>
              </w:rPr>
              <w:t>2</w:t>
            </w:r>
            <w:r>
              <w:rPr>
                <w:rFonts w:hint="eastAsia"/>
                <w:color w:val="auto"/>
                <w:szCs w:val="21"/>
                <w:highlight w:val="none"/>
              </w:rPr>
              <w:t>）供应商应对项目实施的重点及难点、关键过程进行分析，提出针对性地解决思路及措施，根据分析深度、措施适用性等进行综合评分。方案、措施切实可行，考虑全面的得</w:t>
            </w:r>
            <w:r>
              <w:rPr>
                <w:rFonts w:hint="eastAsia"/>
                <w:color w:val="auto"/>
                <w:szCs w:val="21"/>
                <w:highlight w:val="none"/>
                <w:lang w:val="en-US"/>
              </w:rPr>
              <w:t>6</w:t>
            </w:r>
            <w:r>
              <w:rPr>
                <w:rFonts w:hint="eastAsia"/>
                <w:color w:val="auto"/>
                <w:szCs w:val="21"/>
                <w:highlight w:val="none"/>
              </w:rPr>
              <w:t>分；方案、措施可行，考虑比较全面的得</w:t>
            </w:r>
            <w:r>
              <w:rPr>
                <w:rFonts w:hint="eastAsia"/>
                <w:color w:val="auto"/>
                <w:szCs w:val="21"/>
                <w:highlight w:val="none"/>
                <w:lang w:val="en-US"/>
              </w:rPr>
              <w:t>4</w:t>
            </w:r>
            <w:r>
              <w:rPr>
                <w:rFonts w:hint="eastAsia"/>
                <w:color w:val="auto"/>
                <w:szCs w:val="21"/>
                <w:highlight w:val="none"/>
              </w:rPr>
              <w:t>分；方案、措施不切实可行，考虑不全面的得</w:t>
            </w:r>
            <w:r>
              <w:rPr>
                <w:rFonts w:hint="eastAsia"/>
                <w:color w:val="auto"/>
                <w:szCs w:val="21"/>
                <w:highlight w:val="none"/>
                <w:lang w:val="en-US"/>
              </w:rPr>
              <w:t>2</w:t>
            </w:r>
            <w:r>
              <w:rPr>
                <w:rFonts w:hint="eastAsia"/>
                <w:color w:val="auto"/>
                <w:szCs w:val="21"/>
                <w:highlight w:val="none"/>
              </w:rPr>
              <w:t>分，不提供不得分；</w:t>
            </w:r>
          </w:p>
          <w:p w14:paraId="7CE4D77E">
            <w:pPr>
              <w:pStyle w:val="95"/>
              <w:autoSpaceDE w:val="0"/>
              <w:autoSpaceDN w:val="0"/>
              <w:spacing w:line="360" w:lineRule="auto"/>
              <w:ind w:left="102"/>
              <w:rPr>
                <w:rFonts w:hint="eastAsia"/>
                <w:color w:val="auto"/>
                <w:szCs w:val="21"/>
                <w:highlight w:val="none"/>
              </w:rPr>
            </w:pPr>
            <w:r>
              <w:rPr>
                <w:rFonts w:hint="eastAsia"/>
                <w:color w:val="auto"/>
                <w:szCs w:val="21"/>
                <w:highlight w:val="none"/>
                <w:lang w:val="en-US"/>
              </w:rPr>
              <w:t>2</w:t>
            </w:r>
            <w:r>
              <w:rPr>
                <w:rFonts w:hint="eastAsia"/>
                <w:color w:val="auto"/>
                <w:szCs w:val="21"/>
                <w:highlight w:val="none"/>
              </w:rPr>
              <w:t>、售后服务（</w:t>
            </w:r>
            <w:r>
              <w:rPr>
                <w:rFonts w:hint="eastAsia"/>
                <w:color w:val="auto"/>
                <w:szCs w:val="21"/>
                <w:highlight w:val="none"/>
                <w:lang w:val="en-US"/>
              </w:rPr>
              <w:t>9</w:t>
            </w:r>
            <w:r>
              <w:rPr>
                <w:rFonts w:hint="eastAsia"/>
                <w:color w:val="auto"/>
                <w:szCs w:val="21"/>
                <w:highlight w:val="none"/>
              </w:rPr>
              <w:t xml:space="preserve">分） </w:t>
            </w:r>
          </w:p>
          <w:p w14:paraId="722C09B6">
            <w:pPr>
              <w:pStyle w:val="95"/>
              <w:autoSpaceDE w:val="0"/>
              <w:autoSpaceDN w:val="0"/>
              <w:spacing w:line="360" w:lineRule="auto"/>
              <w:ind w:left="102"/>
              <w:rPr>
                <w:rFonts w:hint="eastAsia"/>
                <w:color w:val="auto"/>
                <w:szCs w:val="21"/>
                <w:highlight w:val="none"/>
              </w:rPr>
            </w:pPr>
            <w:r>
              <w:rPr>
                <w:rFonts w:hint="eastAsia"/>
                <w:color w:val="auto"/>
                <w:szCs w:val="21"/>
                <w:highlight w:val="none"/>
                <w:lang w:val="en-US"/>
              </w:rPr>
              <w:t>评委会根据投标人售后服务承诺内容的全面性、优惠性和出现故障时的解决方案和效率情况进行综合评比，</w:t>
            </w:r>
            <w:r>
              <w:rPr>
                <w:rFonts w:hint="eastAsia"/>
                <w:color w:val="auto"/>
                <w:szCs w:val="21"/>
                <w:highlight w:val="none"/>
              </w:rPr>
              <w:t>方案、措施切实可行，考虑全面的得</w:t>
            </w:r>
            <w:r>
              <w:rPr>
                <w:rFonts w:hint="eastAsia"/>
                <w:color w:val="auto"/>
                <w:szCs w:val="21"/>
                <w:highlight w:val="none"/>
                <w:lang w:val="en-US"/>
              </w:rPr>
              <w:t>9</w:t>
            </w:r>
            <w:r>
              <w:rPr>
                <w:rFonts w:hint="eastAsia"/>
                <w:color w:val="auto"/>
                <w:szCs w:val="21"/>
                <w:highlight w:val="none"/>
              </w:rPr>
              <w:t>分；方案、措施可行，考虑比较全面的得</w:t>
            </w:r>
            <w:r>
              <w:rPr>
                <w:rFonts w:hint="eastAsia"/>
                <w:color w:val="auto"/>
                <w:szCs w:val="21"/>
                <w:highlight w:val="none"/>
                <w:lang w:val="en-US"/>
              </w:rPr>
              <w:t>5</w:t>
            </w:r>
            <w:r>
              <w:rPr>
                <w:rFonts w:hint="eastAsia"/>
                <w:color w:val="auto"/>
                <w:szCs w:val="21"/>
                <w:highlight w:val="none"/>
              </w:rPr>
              <w:t>分；方案、措施不切实可行，考虑不全面的得</w:t>
            </w:r>
            <w:r>
              <w:rPr>
                <w:rFonts w:hint="eastAsia"/>
                <w:color w:val="auto"/>
                <w:szCs w:val="21"/>
                <w:highlight w:val="none"/>
                <w:lang w:val="en-US"/>
              </w:rPr>
              <w:t>2</w:t>
            </w:r>
            <w:r>
              <w:rPr>
                <w:rFonts w:hint="eastAsia"/>
                <w:color w:val="auto"/>
                <w:szCs w:val="21"/>
                <w:highlight w:val="none"/>
              </w:rPr>
              <w:t>分，不提供不得分；</w:t>
            </w:r>
          </w:p>
        </w:tc>
      </w:tr>
      <w:tr w14:paraId="679E5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57" w:type="dxa"/>
            <w:left w:w="108" w:type="dxa"/>
            <w:bottom w:w="57" w:type="dxa"/>
            <w:right w:w="108" w:type="dxa"/>
          </w:tblCellMar>
        </w:tblPrEx>
        <w:trPr>
          <w:trHeight w:val="2469" w:hRule="atLeast"/>
          <w:jc w:val="center"/>
        </w:trPr>
        <w:tc>
          <w:tcPr>
            <w:tcW w:w="1728" w:type="dxa"/>
            <w:shd w:val="clear" w:color="auto" w:fill="FFFFFF"/>
            <w:vAlign w:val="center"/>
          </w:tcPr>
          <w:p w14:paraId="4F6DF08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防水承诺</w:t>
            </w:r>
          </w:p>
        </w:tc>
        <w:tc>
          <w:tcPr>
            <w:tcW w:w="828" w:type="dxa"/>
            <w:shd w:val="clear" w:color="auto" w:fill="FFFFFF"/>
            <w:vAlign w:val="center"/>
          </w:tcPr>
          <w:p w14:paraId="47B108B7">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5863" w:type="dxa"/>
            <w:shd w:val="clear" w:color="auto" w:fill="FFFFFF"/>
            <w:vAlign w:val="center"/>
          </w:tcPr>
          <w:p w14:paraId="6DA82B9F">
            <w:pPr>
              <w:pStyle w:val="30"/>
              <w:spacing w:line="360" w:lineRule="auto"/>
              <w:ind w:left="0" w:leftChars="0" w:firstLine="0" w:firstLineChars="0"/>
              <w:rPr>
                <w:color w:val="auto"/>
                <w:highlight w:val="none"/>
              </w:rPr>
            </w:pPr>
            <w:r>
              <w:rPr>
                <w:rFonts w:hint="eastAsia" w:ascii="宋体" w:hAnsi="宋体" w:cs="宋体"/>
                <w:color w:val="auto"/>
                <w:szCs w:val="21"/>
                <w:highlight w:val="none"/>
              </w:rPr>
              <w:t>供应商需承诺在服务期内，做好该车棚顶的防水工作，所涉及面积为设备</w:t>
            </w:r>
            <w:bookmarkStart w:id="87" w:name="OLE_LINK8"/>
            <w:r>
              <w:rPr>
                <w:rFonts w:hint="eastAsia" w:ascii="宋体" w:hAnsi="宋体" w:cs="宋体"/>
                <w:color w:val="auto"/>
                <w:szCs w:val="21"/>
                <w:highlight w:val="none"/>
              </w:rPr>
              <w:t>所在屋顶和车棚顶</w:t>
            </w:r>
            <w:bookmarkEnd w:id="87"/>
            <w:r>
              <w:rPr>
                <w:rFonts w:hint="eastAsia" w:ascii="宋体" w:hAnsi="宋体" w:cs="宋体"/>
                <w:color w:val="auto"/>
                <w:szCs w:val="21"/>
                <w:highlight w:val="none"/>
              </w:rPr>
              <w:t>的全部面积。如遇到漏水情况需要进行防水维修，必须配合大队进行光伏设备的拆卸、移除和防水维修完成后的恢复安装工作，费用由供应商承担。另外，如遇到漏水情况，供应商承诺对光伏设备</w:t>
            </w:r>
            <w:r>
              <w:rPr>
                <w:rFonts w:hint="eastAsia" w:ascii="宋体" w:hAnsi="宋体" w:cs="宋体"/>
                <w:color w:val="auto"/>
                <w:szCs w:val="21"/>
                <w:highlight w:val="none"/>
              </w:rPr>
              <w:t>所在屋顶和车棚顶</w:t>
            </w:r>
            <w:r>
              <w:rPr>
                <w:rFonts w:hint="eastAsia" w:ascii="宋体" w:hAnsi="宋体" w:cs="宋体"/>
                <w:color w:val="auto"/>
                <w:szCs w:val="21"/>
                <w:highlight w:val="none"/>
              </w:rPr>
              <w:t>进行维修，费用供应商承担：承诺10年内无条件进行维修得3分，承诺15年内无条件进行维修得5分，承诺20年内无条件进行维修得8分，承诺25年内无条件进行维修得12分。本项满分12分（需提供承诺书，格式自拟）。</w:t>
            </w:r>
          </w:p>
        </w:tc>
      </w:tr>
    </w:tbl>
    <w:p w14:paraId="405A9158">
      <w:pPr>
        <w:spacing w:line="460" w:lineRule="exact"/>
        <w:ind w:firstLine="562" w:firstLineChars="200"/>
        <w:outlineLvl w:val="2"/>
        <w:rPr>
          <w:rFonts w:hint="eastAsia" w:ascii="宋体" w:hAnsi="宋体" w:cs="宋体"/>
          <w:color w:val="auto"/>
          <w:sz w:val="28"/>
          <w:szCs w:val="28"/>
          <w:highlight w:val="none"/>
        </w:rPr>
      </w:pPr>
      <w:r>
        <w:rPr>
          <w:rFonts w:hint="eastAsia" w:ascii="宋体" w:hAnsi="宋体" w:cs="宋体"/>
          <w:b/>
          <w:color w:val="auto"/>
          <w:sz w:val="28"/>
          <w:szCs w:val="28"/>
          <w:highlight w:val="none"/>
        </w:rPr>
        <w:t>（四）</w:t>
      </w:r>
      <w:r>
        <w:rPr>
          <w:rFonts w:hint="eastAsia" w:ascii="宋体" w:hAnsi="宋体" w:cs="宋体"/>
          <w:b/>
          <w:color w:val="auto"/>
          <w:sz w:val="28"/>
          <w:szCs w:val="28"/>
          <w:highlight w:val="none"/>
          <w:lang w:val="zh-CN"/>
        </w:rPr>
        <w:t>价格分</w:t>
      </w:r>
      <w:r>
        <w:rPr>
          <w:rFonts w:hint="eastAsia" w:ascii="宋体" w:hAnsi="宋体" w:cs="宋体"/>
          <w:b/>
          <w:color w:val="auto"/>
          <w:sz w:val="28"/>
          <w:szCs w:val="28"/>
          <w:highlight w:val="none"/>
        </w:rPr>
        <w:t>：</w:t>
      </w:r>
      <w:r>
        <w:rPr>
          <w:rFonts w:hint="eastAsia" w:ascii="宋体" w:hAnsi="宋体" w:cs="宋体"/>
          <w:color w:val="auto"/>
          <w:sz w:val="28"/>
          <w:szCs w:val="28"/>
          <w:highlight w:val="none"/>
        </w:rPr>
        <w:t>50</w:t>
      </w:r>
      <w:r>
        <w:rPr>
          <w:rFonts w:hint="eastAsia" w:ascii="宋体" w:hAnsi="宋体" w:cs="宋体"/>
          <w:color w:val="auto"/>
          <w:sz w:val="28"/>
          <w:szCs w:val="28"/>
          <w:highlight w:val="none"/>
          <w:lang w:val="zh-CN"/>
        </w:rPr>
        <w:t>分</w:t>
      </w:r>
    </w:p>
    <w:p w14:paraId="6D86ABA4">
      <w:pPr>
        <w:adjustRightInd w:val="0"/>
        <w:snapToGrid w:val="0"/>
        <w:spacing w:line="460" w:lineRule="exact"/>
        <w:ind w:firstLine="570"/>
        <w:rPr>
          <w:rFonts w:hint="eastAsia" w:ascii="宋体" w:hAnsi="宋体" w:cs="宋体"/>
          <w:color w:val="auto"/>
          <w:sz w:val="28"/>
          <w:szCs w:val="28"/>
          <w:highlight w:val="none"/>
        </w:rPr>
      </w:pPr>
      <w:r>
        <w:rPr>
          <w:rFonts w:hint="eastAsia" w:ascii="宋体" w:hAnsi="宋体" w:cs="宋体"/>
          <w:color w:val="auto"/>
          <w:sz w:val="28"/>
          <w:szCs w:val="28"/>
          <w:highlight w:val="none"/>
        </w:rPr>
        <w:t>价格分统一采用低价优先法计算，即满足磋商文件要求且最后报价最低</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评审价</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的供应商的价格为磋商基准价，其价格分为满分。其他供应商的价格分统一按照下列公式计算：</w:t>
      </w:r>
    </w:p>
    <w:p w14:paraId="6273A824">
      <w:pPr>
        <w:adjustRightInd w:val="0"/>
        <w:snapToGrid w:val="0"/>
        <w:spacing w:line="460" w:lineRule="exact"/>
        <w:ind w:firstLine="570"/>
        <w:rPr>
          <w:rFonts w:hint="eastAsia" w:ascii="宋体" w:hAnsi="宋体" w:cs="宋体"/>
          <w:color w:val="auto"/>
          <w:sz w:val="28"/>
          <w:szCs w:val="28"/>
          <w:highlight w:val="none"/>
        </w:rPr>
      </w:pPr>
      <w:r>
        <w:rPr>
          <w:rFonts w:hint="eastAsia" w:ascii="宋体" w:hAnsi="宋体" w:cs="宋体"/>
          <w:color w:val="auto"/>
          <w:sz w:val="28"/>
          <w:szCs w:val="28"/>
          <w:highlight w:val="none"/>
        </w:rPr>
        <w:t>磋商报价得分=（磋商基准价/最后磋商报价</w:t>
      </w:r>
      <w:r>
        <w:rPr>
          <w:rFonts w:hint="eastAsia" w:ascii="宋体" w:hAnsi="宋体" w:cs="宋体"/>
          <w:color w:val="auto"/>
          <w:sz w:val="28"/>
          <w:szCs w:val="28"/>
          <w:highlight w:val="none"/>
          <w:lang w:val="en-US" w:eastAsia="zh-CN"/>
        </w:rPr>
        <w:t>评审价</w:t>
      </w:r>
      <w:r>
        <w:rPr>
          <w:rFonts w:hint="eastAsia" w:ascii="宋体" w:hAnsi="宋体" w:cs="宋体"/>
          <w:color w:val="auto"/>
          <w:sz w:val="28"/>
          <w:szCs w:val="28"/>
          <w:highlight w:val="none"/>
        </w:rPr>
        <w:t>）×价格权值×100%</w:t>
      </w:r>
    </w:p>
    <w:p w14:paraId="4470C820">
      <w:pPr>
        <w:adjustRightInd w:val="0"/>
        <w:snapToGrid w:val="0"/>
        <w:spacing w:line="460" w:lineRule="exact"/>
        <w:ind w:firstLine="57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报价评审按采购文件约定的年度参考用电量模拟计算出评审价：</w:t>
      </w:r>
    </w:p>
    <w:p w14:paraId="71D73062">
      <w:pPr>
        <w:adjustRightInd w:val="0"/>
        <w:snapToGrid w:val="0"/>
        <w:spacing w:line="460" w:lineRule="exact"/>
        <w:ind w:firstLine="57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评审价=办公</w:t>
      </w:r>
      <w:r>
        <w:rPr>
          <w:rFonts w:hint="eastAsia" w:ascii="宋体" w:hAnsi="宋体" w:cs="宋体"/>
          <w:color w:val="auto"/>
          <w:sz w:val="28"/>
          <w:szCs w:val="28"/>
          <w:highlight w:val="none"/>
        </w:rPr>
        <w:t>用电</w:t>
      </w:r>
      <w:r>
        <w:rPr>
          <w:rFonts w:hint="eastAsia" w:ascii="宋体" w:hAnsi="宋体" w:cs="宋体"/>
          <w:color w:val="auto"/>
          <w:sz w:val="28"/>
          <w:szCs w:val="28"/>
          <w:highlight w:val="none"/>
          <w:lang w:val="en-US" w:eastAsia="zh-CN"/>
        </w:rPr>
        <w:t>结算单价报价*10万度+</w:t>
      </w:r>
      <w:r>
        <w:rPr>
          <w:rFonts w:hint="eastAsia" w:ascii="宋体" w:hAnsi="宋体" w:cs="宋体"/>
          <w:color w:val="auto"/>
          <w:sz w:val="28"/>
          <w:szCs w:val="28"/>
          <w:highlight w:val="none"/>
        </w:rPr>
        <w:t>充电桩</w:t>
      </w:r>
      <w:r>
        <w:rPr>
          <w:rFonts w:hint="eastAsia" w:ascii="宋体" w:hAnsi="宋体" w:cs="宋体"/>
          <w:color w:val="auto"/>
          <w:sz w:val="28"/>
          <w:szCs w:val="28"/>
          <w:highlight w:val="none"/>
          <w:lang w:val="en-US" w:eastAsia="zh-CN"/>
        </w:rPr>
        <w:t>车辆用电结算单价*1.4万度</w:t>
      </w:r>
    </w:p>
    <w:p w14:paraId="51917533">
      <w:pPr>
        <w:adjustRightInd w:val="0"/>
        <w:snapToGrid w:val="0"/>
        <w:spacing w:line="460" w:lineRule="exact"/>
        <w:ind w:firstLine="57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其中：</w:t>
      </w:r>
    </w:p>
    <w:p w14:paraId="2804BF0A">
      <w:pPr>
        <w:adjustRightInd w:val="0"/>
        <w:snapToGrid w:val="0"/>
        <w:spacing w:line="460" w:lineRule="exact"/>
        <w:ind w:firstLine="57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①办公</w:t>
      </w:r>
      <w:r>
        <w:rPr>
          <w:rFonts w:hint="eastAsia" w:ascii="宋体" w:hAnsi="宋体" w:cs="宋体"/>
          <w:color w:val="auto"/>
          <w:sz w:val="28"/>
          <w:szCs w:val="28"/>
          <w:highlight w:val="none"/>
        </w:rPr>
        <w:t>用电</w:t>
      </w:r>
      <w:r>
        <w:rPr>
          <w:rFonts w:hint="eastAsia" w:ascii="宋体" w:hAnsi="宋体" w:cs="宋体"/>
          <w:color w:val="auto"/>
          <w:sz w:val="28"/>
          <w:szCs w:val="28"/>
          <w:highlight w:val="none"/>
          <w:lang w:val="en-US" w:eastAsia="zh-CN"/>
        </w:rPr>
        <w:t>结算单价报价不得超过0.53</w:t>
      </w:r>
      <w:r>
        <w:rPr>
          <w:rFonts w:hint="eastAsia" w:ascii="宋体" w:hAnsi="宋体" w:cs="宋体"/>
          <w:color w:val="auto"/>
          <w:sz w:val="28"/>
          <w:szCs w:val="28"/>
          <w:highlight w:val="none"/>
        </w:rPr>
        <w:t>元/度</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充电桩</w:t>
      </w:r>
      <w:r>
        <w:rPr>
          <w:rFonts w:hint="eastAsia" w:ascii="宋体" w:hAnsi="宋体" w:cs="宋体"/>
          <w:color w:val="auto"/>
          <w:sz w:val="28"/>
          <w:szCs w:val="28"/>
          <w:highlight w:val="none"/>
          <w:lang w:val="en-US" w:eastAsia="zh-CN"/>
        </w:rPr>
        <w:t>车辆用电结算单价不得超过</w:t>
      </w:r>
      <w:r>
        <w:rPr>
          <w:rFonts w:hint="eastAsia" w:ascii="宋体" w:hAnsi="宋体" w:cs="宋体"/>
          <w:color w:val="auto"/>
          <w:sz w:val="28"/>
          <w:szCs w:val="28"/>
          <w:highlight w:val="none"/>
        </w:rPr>
        <w:t>0.83元/度</w:t>
      </w:r>
      <w:r>
        <w:rPr>
          <w:rFonts w:hint="eastAsia" w:ascii="宋体" w:hAnsi="宋体" w:cs="宋体"/>
          <w:color w:val="auto"/>
          <w:sz w:val="28"/>
          <w:szCs w:val="28"/>
          <w:highlight w:val="none"/>
          <w:lang w:eastAsia="zh-CN"/>
        </w:rPr>
        <w:t>。</w:t>
      </w:r>
    </w:p>
    <w:p w14:paraId="5822C7C9">
      <w:pPr>
        <w:adjustRightInd w:val="0"/>
        <w:snapToGrid w:val="0"/>
        <w:spacing w:line="460" w:lineRule="exact"/>
        <w:ind w:firstLine="57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②成交供应商的最终成交单价，按最终报价总价与首次报价总价的比率同比例下浮计算确定。</w:t>
      </w:r>
    </w:p>
    <w:p w14:paraId="0A0646C5">
      <w:pPr>
        <w:adjustRightInd w:val="0"/>
        <w:snapToGrid w:val="0"/>
        <w:spacing w:line="460" w:lineRule="exact"/>
        <w:ind w:firstLine="570"/>
        <w:rPr>
          <w:rFonts w:hint="eastAsia" w:ascii="宋体" w:hAnsi="宋体" w:cs="宋体"/>
          <w:color w:val="auto"/>
          <w:sz w:val="28"/>
          <w:szCs w:val="28"/>
          <w:highlight w:val="none"/>
        </w:rPr>
      </w:pPr>
      <w:r>
        <w:rPr>
          <w:rFonts w:hint="eastAsia" w:ascii="宋体" w:hAnsi="宋体" w:cs="宋体"/>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DD5B74E">
      <w:pPr>
        <w:adjustRightInd w:val="0"/>
        <w:snapToGrid w:val="0"/>
        <w:spacing w:line="460" w:lineRule="exact"/>
        <w:ind w:firstLine="570"/>
        <w:outlineLvl w:val="2"/>
        <w:rPr>
          <w:rFonts w:hint="eastAsia" w:ascii="宋体" w:hAnsi="宋体" w:cs="宋体"/>
          <w:bCs/>
          <w:color w:val="auto"/>
          <w:sz w:val="28"/>
          <w:szCs w:val="28"/>
          <w:highlight w:val="none"/>
        </w:rPr>
      </w:pPr>
      <w:r>
        <w:rPr>
          <w:rFonts w:hint="eastAsia" w:ascii="宋体" w:hAnsi="宋体" w:cs="宋体"/>
          <w:b/>
          <w:color w:val="auto"/>
          <w:sz w:val="28"/>
          <w:szCs w:val="28"/>
          <w:highlight w:val="none"/>
        </w:rPr>
        <w:t>（五）成交供应商（评审结果）的确定</w:t>
      </w:r>
    </w:p>
    <w:p w14:paraId="7AE5E69A">
      <w:pPr>
        <w:adjustRightInd w:val="0"/>
        <w:snapToGrid w:val="0"/>
        <w:spacing w:line="460" w:lineRule="exact"/>
        <w:ind w:firstLine="570"/>
        <w:rPr>
          <w:rFonts w:hint="eastAsia" w:ascii="宋体" w:hAnsi="宋体" w:cs="宋体"/>
          <w:color w:val="auto"/>
          <w:sz w:val="28"/>
          <w:szCs w:val="28"/>
          <w:highlight w:val="none"/>
        </w:rPr>
      </w:pPr>
      <w:r>
        <w:rPr>
          <w:rFonts w:hint="eastAsia" w:ascii="宋体" w:hAnsi="宋体" w:cs="宋体"/>
          <w:color w:val="auto"/>
          <w:sz w:val="28"/>
          <w:szCs w:val="28"/>
          <w:highlight w:val="none"/>
        </w:rPr>
        <w:t>磋商小组汇总各评委评分后，按照得分从高到低的顺序推荐三名成交候选人，并编写评审报告。</w:t>
      </w:r>
    </w:p>
    <w:p w14:paraId="60CC95C8">
      <w:pPr>
        <w:adjustRightInd w:val="0"/>
        <w:snapToGrid w:val="0"/>
        <w:spacing w:line="460" w:lineRule="exact"/>
        <w:ind w:firstLine="570"/>
        <w:rPr>
          <w:rFonts w:hint="eastAsia" w:ascii="宋体" w:hAnsi="宋体" w:cs="宋体"/>
          <w:color w:val="auto"/>
          <w:sz w:val="28"/>
          <w:szCs w:val="28"/>
          <w:highlight w:val="none"/>
        </w:rPr>
      </w:pPr>
      <w:r>
        <w:rPr>
          <w:rFonts w:hint="eastAsia" w:ascii="宋体" w:hAnsi="宋体" w:cs="宋体"/>
          <w:color w:val="auto"/>
          <w:sz w:val="28"/>
          <w:szCs w:val="28"/>
          <w:highlight w:val="none"/>
        </w:rPr>
        <w:t>采购人委托磋商小组直接确定排名第一的成交候选人为成交供应商。</w:t>
      </w:r>
    </w:p>
    <w:p w14:paraId="239B12F8">
      <w:pPr>
        <w:adjustRightInd w:val="0"/>
        <w:snapToGrid w:val="0"/>
        <w:spacing w:line="460" w:lineRule="exact"/>
        <w:ind w:firstLine="562" w:firstLineChars="200"/>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（六）公告成交结果</w:t>
      </w:r>
    </w:p>
    <w:p w14:paraId="0F336A7F">
      <w:pPr>
        <w:adjustRightInd w:val="0"/>
        <w:snapToGrid w:val="0"/>
        <w:spacing w:line="460" w:lineRule="exact"/>
        <w:ind w:firstLine="570"/>
        <w:rPr>
          <w:rFonts w:hint="eastAsia" w:ascii="宋体" w:hAnsi="宋体" w:cs="宋体"/>
          <w:color w:val="auto"/>
          <w:sz w:val="28"/>
          <w:szCs w:val="28"/>
          <w:highlight w:val="none"/>
        </w:rPr>
      </w:pPr>
      <w:r>
        <w:rPr>
          <w:rFonts w:hint="eastAsia" w:ascii="宋体" w:hAnsi="宋体" w:cs="宋体"/>
          <w:color w:val="auto"/>
          <w:sz w:val="28"/>
          <w:szCs w:val="28"/>
          <w:highlight w:val="none"/>
        </w:rPr>
        <w:t>自确定成交供应商之日起2个工作日内，在南通市公安局网站公告成交结果，公告期限为1个工作日。</w:t>
      </w:r>
    </w:p>
    <w:p w14:paraId="428938AB">
      <w:pPr>
        <w:adjustRightInd w:val="0"/>
        <w:snapToGrid w:val="0"/>
        <w:spacing w:line="460" w:lineRule="exact"/>
        <w:ind w:firstLine="562" w:firstLineChars="200"/>
        <w:outlineLvl w:val="2"/>
        <w:rPr>
          <w:rFonts w:hint="eastAsia" w:ascii="宋体" w:hAnsi="宋体" w:cs="宋体"/>
          <w:b/>
          <w:bCs/>
          <w:color w:val="auto"/>
          <w:sz w:val="28"/>
          <w:szCs w:val="28"/>
          <w:highlight w:val="none"/>
        </w:rPr>
      </w:pPr>
      <w:r>
        <w:rPr>
          <w:rFonts w:hint="eastAsia" w:ascii="宋体" w:hAnsi="宋体" w:cs="宋体"/>
          <w:b/>
          <w:color w:val="auto"/>
          <w:sz w:val="28"/>
          <w:szCs w:val="28"/>
          <w:highlight w:val="none"/>
        </w:rPr>
        <w:t>（七）</w:t>
      </w:r>
      <w:r>
        <w:rPr>
          <w:rFonts w:hint="eastAsia" w:ascii="宋体" w:hAnsi="宋体" w:cs="宋体"/>
          <w:b/>
          <w:bCs/>
          <w:color w:val="auto"/>
          <w:sz w:val="28"/>
          <w:szCs w:val="28"/>
          <w:highlight w:val="none"/>
        </w:rPr>
        <w:t>发放成交通知书</w:t>
      </w:r>
    </w:p>
    <w:p w14:paraId="254FCA3F">
      <w:pPr>
        <w:adjustRightInd w:val="0"/>
        <w:snapToGrid w:val="0"/>
        <w:spacing w:line="460" w:lineRule="exact"/>
        <w:ind w:firstLine="560" w:firstLineChars="200"/>
        <w:rPr>
          <w:rFonts w:hint="eastAsia" w:ascii="宋体" w:hAnsi="宋体" w:cs="宋体"/>
          <w:bCs/>
          <w:color w:val="auto"/>
          <w:sz w:val="28"/>
          <w:szCs w:val="28"/>
          <w:highlight w:val="none"/>
        </w:rPr>
      </w:pPr>
      <w:r>
        <w:rPr>
          <w:rFonts w:hint="eastAsia" w:ascii="宋体" w:hAnsi="宋体" w:cs="宋体"/>
          <w:color w:val="auto"/>
          <w:sz w:val="28"/>
          <w:szCs w:val="28"/>
          <w:highlight w:val="none"/>
        </w:rPr>
        <w:t>公告成交结果的同时，采购代理机构</w:t>
      </w:r>
      <w:r>
        <w:rPr>
          <w:rFonts w:hint="eastAsia" w:ascii="宋体" w:hAnsi="宋体" w:cs="宋体"/>
          <w:bCs/>
          <w:color w:val="auto"/>
          <w:sz w:val="28"/>
          <w:szCs w:val="28"/>
          <w:highlight w:val="none"/>
        </w:rPr>
        <w:t>向成交供应商发放成交通知书。</w:t>
      </w:r>
    </w:p>
    <w:p w14:paraId="010E895D">
      <w:pPr>
        <w:adjustRightInd w:val="0"/>
        <w:snapToGrid w:val="0"/>
        <w:spacing w:line="460" w:lineRule="exact"/>
        <w:ind w:firstLine="570"/>
        <w:rPr>
          <w:rFonts w:hint="eastAsia" w:ascii="宋体" w:hAnsi="宋体" w:cs="宋体"/>
          <w:color w:val="auto"/>
          <w:sz w:val="28"/>
          <w:szCs w:val="28"/>
          <w:highlight w:val="none"/>
        </w:rPr>
      </w:pPr>
      <w:r>
        <w:rPr>
          <w:rFonts w:hint="eastAsia" w:ascii="宋体" w:hAnsi="宋体" w:cs="宋体"/>
          <w:color w:val="auto"/>
          <w:sz w:val="28"/>
          <w:szCs w:val="28"/>
          <w:highlight w:val="none"/>
        </w:rPr>
        <w:t>成交通知书发出后，采购人不得违法改变成交结果，成交供应商无正当理由不得放弃成交。</w:t>
      </w:r>
    </w:p>
    <w:p w14:paraId="25B86A49">
      <w:pPr>
        <w:snapToGrid w:val="0"/>
        <w:spacing w:line="460" w:lineRule="exact"/>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（八）其他</w:t>
      </w:r>
    </w:p>
    <w:p w14:paraId="2ED24086">
      <w:pPr>
        <w:adjustRightInd w:val="0"/>
        <w:snapToGrid w:val="0"/>
        <w:spacing w:line="460" w:lineRule="exact"/>
        <w:ind w:firstLine="570"/>
        <w:rPr>
          <w:rFonts w:hint="eastAsia" w:ascii="宋体" w:hAnsi="宋体" w:cs="宋体"/>
          <w:color w:val="auto"/>
          <w:sz w:val="28"/>
          <w:szCs w:val="28"/>
          <w:highlight w:val="none"/>
        </w:rPr>
      </w:pPr>
      <w:r>
        <w:rPr>
          <w:rFonts w:hint="eastAsia" w:ascii="宋体" w:hAnsi="宋体" w:cs="宋体"/>
          <w:color w:val="auto"/>
          <w:sz w:val="28"/>
          <w:szCs w:val="28"/>
          <w:highlight w:val="none"/>
        </w:rPr>
        <w:t>当成交候选人无正当理由放弃成交，被查实存在影响成交结果的违法行为等情形，采购人有权按照相关法律法规的规定对其采取惩戒措施，包含但不限于列入采购失信人黑名单等措施。</w:t>
      </w:r>
    </w:p>
    <w:p w14:paraId="53021707">
      <w:pPr>
        <w:adjustRightInd w:val="0"/>
        <w:snapToGrid w:val="0"/>
        <w:spacing w:line="460" w:lineRule="exact"/>
        <w:ind w:firstLine="570"/>
        <w:rPr>
          <w:rFonts w:ascii="宋体" w:hAnsi="宋体" w:cs="宋体"/>
          <w:color w:val="auto"/>
          <w:sz w:val="28"/>
          <w:szCs w:val="28"/>
          <w:highlight w:val="none"/>
        </w:rPr>
      </w:pPr>
      <w:r>
        <w:rPr>
          <w:rFonts w:hint="eastAsia" w:ascii="宋体" w:hAnsi="宋体" w:cs="宋体"/>
          <w:color w:val="auto"/>
          <w:sz w:val="28"/>
          <w:szCs w:val="28"/>
          <w:highlight w:val="none"/>
        </w:rPr>
        <w:t>当成交候选人放弃成交、因不可抗力不能履行合同，或者被查实存在影响成交结果的违法行为等情形，不符合成交条件的，招标人重新招标。</w:t>
      </w:r>
    </w:p>
    <w:p w14:paraId="2B26D372">
      <w:pPr>
        <w:pStyle w:val="2"/>
        <w:rPr>
          <w:rFonts w:hint="eastAsia"/>
          <w:color w:val="auto"/>
          <w:highlight w:val="none"/>
        </w:rPr>
      </w:pPr>
      <w:r>
        <w:rPr>
          <w:rFonts w:hint="eastAsia"/>
          <w:color w:val="auto"/>
          <w:highlight w:val="none"/>
        </w:rPr>
        <w:t xml:space="preserve">    </w:t>
      </w:r>
      <w:r>
        <w:rPr>
          <w:rFonts w:hint="eastAsia"/>
          <w:color w:val="auto"/>
          <w:highlight w:val="none"/>
        </w:rPr>
        <w:t>签订合同后15个日历日内进场施工，60日内完成现场施工并调试运行。</w:t>
      </w:r>
    </w:p>
    <w:p w14:paraId="123A4E89">
      <w:pPr>
        <w:adjustRightInd w:val="0"/>
        <w:snapToGrid w:val="0"/>
        <w:spacing w:line="360" w:lineRule="auto"/>
        <w:jc w:val="center"/>
        <w:outlineLvl w:val="0"/>
        <w:rPr>
          <w:rFonts w:hint="eastAsia" w:ascii="宋体" w:hAnsi="宋体" w:cs="宋体"/>
          <w:b/>
          <w:color w:val="auto"/>
          <w:sz w:val="28"/>
          <w:szCs w:val="28"/>
          <w:highlight w:val="none"/>
        </w:rPr>
      </w:pPr>
      <w:r>
        <w:rPr>
          <w:rFonts w:hint="eastAsia" w:ascii="宋体" w:hAnsi="宋体" w:cs="宋体"/>
          <w:b/>
          <w:color w:val="auto"/>
          <w:sz w:val="36"/>
          <w:szCs w:val="36"/>
          <w:highlight w:val="none"/>
        </w:rPr>
        <w:br w:type="page"/>
      </w:r>
      <w:r>
        <w:rPr>
          <w:rFonts w:hint="eastAsia" w:ascii="宋体" w:hAnsi="宋体" w:cs="宋体"/>
          <w:bCs/>
          <w:color w:val="auto"/>
          <w:sz w:val="36"/>
          <w:szCs w:val="36"/>
          <w:highlight w:val="none"/>
        </w:rPr>
        <w:t>第五部分 响应文件</w:t>
      </w:r>
      <w:bookmarkStart w:id="88" w:name="_GoBack"/>
      <w:bookmarkEnd w:id="88"/>
      <w:r>
        <w:rPr>
          <w:rFonts w:hint="eastAsia" w:ascii="宋体" w:hAnsi="宋体" w:cs="宋体"/>
          <w:bCs/>
          <w:color w:val="auto"/>
          <w:sz w:val="36"/>
          <w:szCs w:val="36"/>
          <w:highlight w:val="none"/>
        </w:rPr>
        <w:t>组成</w:t>
      </w:r>
    </w:p>
    <w:p w14:paraId="61E3979D">
      <w:pPr>
        <w:adjustRightInd w:val="0"/>
        <w:snapToGrid w:val="0"/>
        <w:spacing w:line="460" w:lineRule="exact"/>
        <w:ind w:firstLine="562" w:firstLineChars="20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响应文件由资格审查文件、商务技术文件、价格文件、电子响应文件四部分组成。</w:t>
      </w:r>
    </w:p>
    <w:p w14:paraId="733C4490">
      <w:pPr>
        <w:adjustRightInd w:val="0"/>
        <w:snapToGrid w:val="0"/>
        <w:spacing w:line="460" w:lineRule="exact"/>
        <w:ind w:firstLine="562" w:firstLineChars="200"/>
        <w:outlineLvl w:val="1"/>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rPr>
        <w:t>一、</w:t>
      </w:r>
      <w:r>
        <w:rPr>
          <w:rFonts w:hint="eastAsia" w:ascii="宋体" w:hAnsi="宋体" w:cs="宋体"/>
          <w:b/>
          <w:bCs/>
          <w:color w:val="auto"/>
          <w:kern w:val="0"/>
          <w:sz w:val="28"/>
          <w:szCs w:val="28"/>
          <w:highlight w:val="none"/>
          <w:lang w:val="zh-CN"/>
        </w:rPr>
        <w:t>资格审查文件</w:t>
      </w:r>
    </w:p>
    <w:p w14:paraId="6A1F430B">
      <w:pPr>
        <w:adjustRightInd w:val="0"/>
        <w:snapToGrid w:val="0"/>
        <w:spacing w:line="460" w:lineRule="exact"/>
        <w:ind w:firstLine="560" w:firstLineChars="200"/>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1.</w:t>
      </w:r>
      <w:r>
        <w:rPr>
          <w:rFonts w:hint="eastAsia" w:ascii="宋体" w:hAnsi="宋体" w:cs="宋体"/>
          <w:color w:val="auto"/>
          <w:kern w:val="0"/>
          <w:sz w:val="28"/>
          <w:szCs w:val="28"/>
          <w:highlight w:val="none"/>
        </w:rPr>
        <w:t>供应商符合本项目供应商资格要求的承诺函</w:t>
      </w:r>
      <w:r>
        <w:rPr>
          <w:rFonts w:hint="eastAsia" w:ascii="宋体" w:hAnsi="宋体" w:cs="宋体"/>
          <w:color w:val="auto"/>
          <w:kern w:val="0"/>
          <w:sz w:val="28"/>
          <w:szCs w:val="28"/>
          <w:highlight w:val="none"/>
          <w:lang w:val="zh-CN"/>
        </w:rPr>
        <w:t>（格式见附件1）；</w:t>
      </w:r>
    </w:p>
    <w:p w14:paraId="4C5BEB37">
      <w:pPr>
        <w:adjustRightInd w:val="0"/>
        <w:snapToGrid w:val="0"/>
        <w:spacing w:line="460" w:lineRule="exact"/>
        <w:ind w:firstLine="560" w:firstLineChars="200"/>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2.</w:t>
      </w:r>
      <w:r>
        <w:rPr>
          <w:rFonts w:hint="eastAsia" w:ascii="宋体" w:hAnsi="宋体" w:cs="宋体"/>
          <w:color w:val="auto"/>
          <w:kern w:val="0"/>
          <w:sz w:val="28"/>
          <w:szCs w:val="28"/>
          <w:highlight w:val="none"/>
        </w:rPr>
        <w:t>法定代表人需提供：</w:t>
      </w:r>
      <w:r>
        <w:rPr>
          <w:rFonts w:hint="eastAsia" w:ascii="宋体" w:hAnsi="宋体" w:cs="宋体"/>
          <w:color w:val="auto"/>
          <w:kern w:val="0"/>
          <w:sz w:val="28"/>
          <w:szCs w:val="28"/>
          <w:highlight w:val="none"/>
          <w:lang w:val="zh-CN"/>
        </w:rPr>
        <w:t>法定代表人身份证明书（格式见附件2）；</w:t>
      </w:r>
    </w:p>
    <w:p w14:paraId="7D5B7E3C">
      <w:pPr>
        <w:adjustRightInd w:val="0"/>
        <w:snapToGrid w:val="0"/>
        <w:spacing w:line="460" w:lineRule="exact"/>
        <w:ind w:firstLine="560" w:firstLineChars="200"/>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3.</w:t>
      </w:r>
      <w:r>
        <w:rPr>
          <w:rFonts w:hint="eastAsia" w:ascii="宋体" w:hAnsi="宋体" w:cs="宋体"/>
          <w:color w:val="auto"/>
          <w:kern w:val="0"/>
          <w:sz w:val="28"/>
          <w:szCs w:val="28"/>
          <w:highlight w:val="none"/>
        </w:rPr>
        <w:t>授权委托人需提供（如需）：</w:t>
      </w:r>
      <w:r>
        <w:rPr>
          <w:rFonts w:hint="eastAsia" w:ascii="宋体" w:hAnsi="宋体" w:cs="宋体"/>
          <w:color w:val="auto"/>
          <w:kern w:val="0"/>
          <w:sz w:val="28"/>
          <w:szCs w:val="28"/>
          <w:highlight w:val="none"/>
          <w:lang w:val="zh-CN"/>
        </w:rPr>
        <w:t>法定代表人身份证明书（格式见附件2）、法定代表人授权委托书原件、磋商代表本人身份证复印件（格式见附件3）；</w:t>
      </w:r>
    </w:p>
    <w:p w14:paraId="3A06BB29">
      <w:pPr>
        <w:adjustRightInd w:val="0"/>
        <w:snapToGrid w:val="0"/>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4.有效的营业执照副本复印件；</w:t>
      </w:r>
    </w:p>
    <w:p w14:paraId="2F46D502">
      <w:pPr>
        <w:adjustRightInd w:val="0"/>
        <w:snapToGrid w:val="0"/>
        <w:spacing w:line="460" w:lineRule="exact"/>
        <w:ind w:firstLine="560" w:firstLineChars="200"/>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rPr>
        <w:t>5.</w:t>
      </w:r>
      <w:r>
        <w:rPr>
          <w:rFonts w:hint="eastAsia" w:ascii="宋体" w:hAnsi="宋体" w:cs="宋体"/>
          <w:color w:val="auto"/>
          <w:sz w:val="28"/>
          <w:szCs w:val="28"/>
          <w:highlight w:val="none"/>
        </w:rPr>
        <w:t>投标人须具有有效的《中华人民共和国承装(修、试)电力设施许可证》;具备承装，承修，承试五级及以上资质;具备电力工程施工总承包三级及以上资质(须提供证书复印件加盖供应商公章)。</w:t>
      </w:r>
    </w:p>
    <w:p w14:paraId="4B6681A5">
      <w:pPr>
        <w:adjustRightInd w:val="0"/>
        <w:snapToGrid w:val="0"/>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6.提供有效期内的企业安全生产许可证</w:t>
      </w:r>
      <w:r>
        <w:rPr>
          <w:rFonts w:hint="eastAsia" w:ascii="宋体" w:hAnsi="宋体" w:cs="宋体"/>
          <w:color w:val="auto"/>
          <w:kern w:val="0"/>
          <w:sz w:val="28"/>
          <w:szCs w:val="28"/>
          <w:highlight w:val="none"/>
          <w:lang w:val="zh-CN"/>
        </w:rPr>
        <w:t>复印件加盖公章</w:t>
      </w:r>
      <w:r>
        <w:rPr>
          <w:rFonts w:hint="eastAsia" w:ascii="宋体" w:hAnsi="宋体" w:cs="宋体"/>
          <w:color w:val="auto"/>
          <w:kern w:val="0"/>
          <w:sz w:val="28"/>
          <w:szCs w:val="28"/>
          <w:highlight w:val="none"/>
        </w:rPr>
        <w:t>；</w:t>
      </w:r>
    </w:p>
    <w:p w14:paraId="36888191">
      <w:pPr>
        <w:adjustRightInd w:val="0"/>
        <w:snapToGrid w:val="0"/>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7.提供建设项目经理须具备机电工程专业二级及以上注册建造师资格且具有安全生产考核合格证（B证）</w:t>
      </w:r>
      <w:r>
        <w:rPr>
          <w:rFonts w:hint="eastAsia" w:ascii="宋体" w:hAnsi="宋体" w:cs="宋体"/>
          <w:color w:val="auto"/>
          <w:kern w:val="0"/>
          <w:sz w:val="28"/>
          <w:szCs w:val="28"/>
          <w:highlight w:val="none"/>
          <w:lang w:val="zh-CN"/>
        </w:rPr>
        <w:t>复印件加盖公章。</w:t>
      </w:r>
    </w:p>
    <w:p w14:paraId="3EE85AAF">
      <w:pPr>
        <w:adjustRightInd w:val="0"/>
        <w:snapToGrid w:val="0"/>
        <w:spacing w:line="460" w:lineRule="exact"/>
        <w:ind w:firstLine="560" w:firstLineChars="200"/>
        <w:outlineLvl w:val="1"/>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.供应商近一年内，有过公共机构的安装施工经验，安装</w:t>
      </w:r>
      <w:r>
        <w:rPr>
          <w:rFonts w:hint="eastAsia" w:ascii="宋体" w:hAnsi="宋体" w:cs="宋体"/>
          <w:color w:val="auto"/>
          <w:sz w:val="28"/>
          <w:szCs w:val="28"/>
          <w:highlight w:val="none"/>
          <w:lang w:val="en-US" w:eastAsia="zh-CN"/>
        </w:rPr>
        <w:t>总</w:t>
      </w:r>
      <w:r>
        <w:rPr>
          <w:rFonts w:hint="eastAsia" w:ascii="宋体" w:hAnsi="宋体" w:cs="宋体"/>
          <w:color w:val="auto"/>
          <w:sz w:val="28"/>
          <w:szCs w:val="28"/>
          <w:highlight w:val="none"/>
        </w:rPr>
        <w:t>容量不少于1000kWp。</w:t>
      </w:r>
      <w:r>
        <w:rPr>
          <w:rFonts w:hint="eastAsia" w:ascii="宋体" w:hAnsi="宋体" w:cs="宋体"/>
          <w:color w:val="auto"/>
          <w:sz w:val="28"/>
          <w:szCs w:val="28"/>
          <w:highlight w:val="none"/>
          <w:lang w:val="en-US" w:eastAsia="zh-CN"/>
        </w:rPr>
        <w:t>提供证明材料。</w:t>
      </w:r>
    </w:p>
    <w:p w14:paraId="2DDF5D5C">
      <w:pPr>
        <w:adjustRightInd w:val="0"/>
        <w:snapToGrid w:val="0"/>
        <w:spacing w:line="460" w:lineRule="exact"/>
        <w:ind w:firstLine="562" w:firstLineChars="200"/>
        <w:outlineLvl w:val="1"/>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rPr>
        <w:t>二、</w:t>
      </w:r>
      <w:r>
        <w:rPr>
          <w:rFonts w:hint="eastAsia" w:ascii="宋体" w:hAnsi="宋体" w:cs="宋体"/>
          <w:b/>
          <w:bCs/>
          <w:color w:val="auto"/>
          <w:kern w:val="0"/>
          <w:sz w:val="28"/>
          <w:szCs w:val="28"/>
          <w:highlight w:val="none"/>
          <w:lang w:val="zh-CN"/>
        </w:rPr>
        <w:t>商务技术文件</w:t>
      </w:r>
    </w:p>
    <w:p w14:paraId="6D0D6969">
      <w:pPr>
        <w:adjustRightInd w:val="0"/>
        <w:snapToGrid w:val="0"/>
        <w:spacing w:line="460" w:lineRule="exact"/>
        <w:ind w:firstLine="560" w:firstLineChars="200"/>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rPr>
        <w:t>1.</w:t>
      </w:r>
      <w:r>
        <w:rPr>
          <w:rFonts w:hint="eastAsia" w:ascii="宋体" w:hAnsi="宋体" w:cs="宋体"/>
          <w:color w:val="auto"/>
          <w:kern w:val="0"/>
          <w:sz w:val="28"/>
          <w:szCs w:val="28"/>
          <w:highlight w:val="none"/>
          <w:lang w:val="zh-CN"/>
        </w:rPr>
        <w:t>为方便评委评审，请供应商按评审办法中所涉及的事项顺序进行编制，可以补充相关材料；</w:t>
      </w:r>
    </w:p>
    <w:p w14:paraId="3691DCED">
      <w:pPr>
        <w:adjustRightInd w:val="0"/>
        <w:snapToGrid w:val="0"/>
        <w:spacing w:line="460" w:lineRule="exact"/>
        <w:ind w:firstLine="560" w:firstLineChars="200"/>
        <w:rPr>
          <w:rFonts w:hint="eastAsia" w:ascii="宋体" w:hAnsi="宋体" w:cs="宋体"/>
          <w:bCs/>
          <w:color w:val="auto"/>
          <w:kern w:val="0"/>
          <w:sz w:val="28"/>
          <w:szCs w:val="28"/>
          <w:highlight w:val="none"/>
          <w:lang w:val="zh-CN"/>
        </w:rPr>
      </w:pPr>
      <w:r>
        <w:rPr>
          <w:rFonts w:hint="eastAsia" w:ascii="宋体" w:hAnsi="宋体" w:cs="宋体"/>
          <w:color w:val="auto"/>
          <w:kern w:val="0"/>
          <w:sz w:val="28"/>
          <w:szCs w:val="28"/>
          <w:highlight w:val="none"/>
        </w:rPr>
        <w:t>2</w:t>
      </w:r>
      <w:r>
        <w:rPr>
          <w:rFonts w:hint="eastAsia" w:ascii="宋体" w:hAnsi="宋体" w:cs="宋体"/>
          <w:color w:val="auto"/>
          <w:kern w:val="0"/>
          <w:sz w:val="28"/>
          <w:szCs w:val="28"/>
          <w:highlight w:val="none"/>
          <w:lang w:val="zh-CN"/>
        </w:rPr>
        <w:t>.评审办法中未涉及的事项，供应商认为需要提交的其他资料。</w:t>
      </w:r>
    </w:p>
    <w:p w14:paraId="14D54CA3">
      <w:pPr>
        <w:adjustRightInd w:val="0"/>
        <w:snapToGrid w:val="0"/>
        <w:spacing w:line="460" w:lineRule="exact"/>
        <w:ind w:firstLine="562" w:firstLineChars="200"/>
        <w:outlineLvl w:val="1"/>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rPr>
        <w:t>三、</w:t>
      </w:r>
      <w:r>
        <w:rPr>
          <w:rFonts w:hint="eastAsia" w:ascii="宋体" w:hAnsi="宋体" w:cs="宋体"/>
          <w:b/>
          <w:bCs/>
          <w:color w:val="auto"/>
          <w:kern w:val="0"/>
          <w:sz w:val="28"/>
          <w:szCs w:val="28"/>
          <w:highlight w:val="none"/>
          <w:lang w:val="zh-CN"/>
        </w:rPr>
        <w:t>价格文件</w:t>
      </w:r>
    </w:p>
    <w:p w14:paraId="55E9C934">
      <w:pPr>
        <w:adjustRightInd w:val="0"/>
        <w:snapToGrid w:val="0"/>
        <w:spacing w:line="460" w:lineRule="exact"/>
        <w:ind w:firstLine="560" w:firstLineChars="200"/>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1报价一览表（格式见附件</w:t>
      </w:r>
      <w:r>
        <w:rPr>
          <w:rFonts w:hint="eastAsia" w:ascii="宋体" w:hAnsi="宋体" w:cs="宋体"/>
          <w:color w:val="auto"/>
          <w:kern w:val="0"/>
          <w:sz w:val="28"/>
          <w:szCs w:val="28"/>
          <w:highlight w:val="none"/>
        </w:rPr>
        <w:t>4</w:t>
      </w:r>
      <w:r>
        <w:rPr>
          <w:rFonts w:hint="eastAsia" w:ascii="宋体" w:hAnsi="宋体" w:cs="宋体"/>
          <w:color w:val="auto"/>
          <w:kern w:val="0"/>
          <w:sz w:val="28"/>
          <w:szCs w:val="28"/>
          <w:highlight w:val="none"/>
          <w:lang w:val="zh-CN"/>
        </w:rPr>
        <w:t>）；</w:t>
      </w:r>
    </w:p>
    <w:p w14:paraId="04D8AE61">
      <w:pPr>
        <w:adjustRightInd w:val="0"/>
        <w:snapToGrid w:val="0"/>
        <w:spacing w:line="46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2.报价明细表</w:t>
      </w:r>
      <w:r>
        <w:rPr>
          <w:rFonts w:hint="eastAsia" w:ascii="宋体" w:hAnsi="宋体" w:cs="宋体"/>
          <w:color w:val="auto"/>
          <w:kern w:val="0"/>
          <w:sz w:val="28"/>
          <w:szCs w:val="28"/>
          <w:highlight w:val="none"/>
          <w:lang w:val="zh-CN"/>
        </w:rPr>
        <w:t>（格式见附件</w:t>
      </w:r>
      <w:r>
        <w:rPr>
          <w:rFonts w:hint="eastAsia" w:ascii="宋体" w:hAnsi="宋体" w:cs="宋体"/>
          <w:color w:val="auto"/>
          <w:kern w:val="0"/>
          <w:sz w:val="28"/>
          <w:szCs w:val="28"/>
          <w:highlight w:val="none"/>
        </w:rPr>
        <w:t>5</w:t>
      </w:r>
      <w:r>
        <w:rPr>
          <w:rFonts w:hint="eastAsia" w:ascii="宋体" w:hAnsi="宋体" w:cs="宋体"/>
          <w:color w:val="auto"/>
          <w:kern w:val="0"/>
          <w:sz w:val="28"/>
          <w:szCs w:val="28"/>
          <w:highlight w:val="none"/>
          <w:lang w:val="zh-CN"/>
        </w:rPr>
        <w:t>）；</w:t>
      </w:r>
    </w:p>
    <w:p w14:paraId="07A67497">
      <w:pPr>
        <w:adjustRightInd w:val="0"/>
        <w:snapToGrid w:val="0"/>
        <w:spacing w:line="460" w:lineRule="exact"/>
        <w:ind w:firstLine="560" w:firstLineChars="200"/>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rPr>
        <w:t>3.</w:t>
      </w:r>
      <w:r>
        <w:rPr>
          <w:rFonts w:hint="eastAsia" w:ascii="宋体" w:hAnsi="宋体" w:cs="宋体"/>
          <w:color w:val="auto"/>
          <w:kern w:val="0"/>
          <w:sz w:val="28"/>
          <w:szCs w:val="28"/>
          <w:highlight w:val="none"/>
          <w:lang w:val="zh-CN"/>
        </w:rPr>
        <w:t>供应商信用承诺书（格式见附件</w:t>
      </w:r>
      <w:r>
        <w:rPr>
          <w:rFonts w:hint="eastAsia" w:ascii="宋体" w:hAnsi="宋体" w:cs="宋体"/>
          <w:color w:val="auto"/>
          <w:kern w:val="0"/>
          <w:sz w:val="28"/>
          <w:szCs w:val="28"/>
          <w:highlight w:val="none"/>
        </w:rPr>
        <w:t>6</w:t>
      </w:r>
      <w:r>
        <w:rPr>
          <w:rFonts w:hint="eastAsia" w:ascii="宋体" w:hAnsi="宋体" w:cs="宋体"/>
          <w:color w:val="auto"/>
          <w:kern w:val="0"/>
          <w:sz w:val="28"/>
          <w:szCs w:val="28"/>
          <w:highlight w:val="none"/>
          <w:lang w:val="zh-CN"/>
        </w:rPr>
        <w:t>）。</w:t>
      </w:r>
    </w:p>
    <w:p w14:paraId="17D384EC">
      <w:pPr>
        <w:adjustRightInd w:val="0"/>
        <w:snapToGrid w:val="0"/>
        <w:spacing w:line="460" w:lineRule="exact"/>
        <w:ind w:firstLine="562" w:firstLineChars="200"/>
        <w:outlineLvl w:val="1"/>
        <w:rPr>
          <w:rFonts w:hint="eastAsia" w:ascii="宋体" w:hAnsi="宋体" w:cs="宋体"/>
          <w:color w:val="auto"/>
          <w:kern w:val="0"/>
          <w:sz w:val="28"/>
          <w:szCs w:val="28"/>
          <w:highlight w:val="none"/>
        </w:rPr>
      </w:pPr>
      <w:r>
        <w:rPr>
          <w:rFonts w:hint="eastAsia" w:ascii="宋体" w:hAnsi="宋体" w:cs="宋体"/>
          <w:b/>
          <w:bCs/>
          <w:color w:val="auto"/>
          <w:kern w:val="0"/>
          <w:sz w:val="28"/>
          <w:szCs w:val="28"/>
          <w:highlight w:val="none"/>
        </w:rPr>
        <w:t>四、电子响应文件（一份）</w:t>
      </w:r>
    </w:p>
    <w:p w14:paraId="289F10D3">
      <w:pPr>
        <w:adjustRightInd w:val="0"/>
        <w:snapToGrid w:val="0"/>
        <w:spacing w:line="460" w:lineRule="exact"/>
        <w:ind w:firstLine="560" w:firstLineChars="200"/>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rPr>
        <w:t>电子响应文件的内容为“资格审查文件、商务技术文件、价格文件”的打印盖章后的响应文件的扫描件。</w:t>
      </w:r>
    </w:p>
    <w:p w14:paraId="7955463E">
      <w:pPr>
        <w:snapToGrid w:val="0"/>
        <w:spacing w:line="360" w:lineRule="auto"/>
        <w:ind w:firstLine="540" w:firstLineChars="192"/>
        <w:contextualSpacing/>
        <w:rPr>
          <w:rFonts w:hint="eastAsia" w:ascii="宋体" w:hAnsi="宋体" w:cs="宋体"/>
          <w:b/>
          <w:color w:val="auto"/>
          <w:kern w:val="0"/>
          <w:sz w:val="28"/>
          <w:szCs w:val="28"/>
          <w:highlight w:val="none"/>
        </w:rPr>
      </w:pPr>
    </w:p>
    <w:p w14:paraId="57749F53">
      <w:pPr>
        <w:snapToGrid w:val="0"/>
        <w:spacing w:line="360" w:lineRule="auto"/>
        <w:contextualSpacing/>
        <w:rPr>
          <w:rFonts w:hint="eastAsia" w:ascii="宋体" w:hAnsi="宋体" w:cs="宋体"/>
          <w:b/>
          <w:color w:val="auto"/>
          <w:sz w:val="30"/>
          <w:szCs w:val="30"/>
          <w:highlight w:val="none"/>
        </w:rPr>
      </w:pPr>
      <w:r>
        <w:rPr>
          <w:rFonts w:hint="eastAsia" w:ascii="宋体" w:hAnsi="宋体" w:cs="宋体"/>
          <w:color w:val="auto"/>
          <w:kern w:val="0"/>
          <w:sz w:val="32"/>
          <w:szCs w:val="32"/>
          <w:highlight w:val="none"/>
          <w:lang w:val="zh-CN"/>
        </w:rPr>
        <w:t>附件1</w:t>
      </w:r>
    </w:p>
    <w:p w14:paraId="30111516">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供应商符合本项目供应商资格要求的承诺函</w:t>
      </w:r>
    </w:p>
    <w:p w14:paraId="1A62AFFB">
      <w:pPr>
        <w:spacing w:line="360" w:lineRule="auto"/>
        <w:rPr>
          <w:rFonts w:hint="eastAsia" w:ascii="宋体" w:hAnsi="宋体" w:cs="宋体"/>
          <w:b/>
          <w:bCs/>
          <w:color w:val="auto"/>
          <w:sz w:val="44"/>
          <w:szCs w:val="44"/>
          <w:highlight w:val="none"/>
        </w:rPr>
      </w:pPr>
      <w:r>
        <w:rPr>
          <w:rFonts w:hint="eastAsia" w:ascii="宋体" w:hAnsi="宋体" w:cs="宋体"/>
          <w:b/>
          <w:bCs/>
          <w:color w:val="auto"/>
          <w:sz w:val="24"/>
          <w:szCs w:val="21"/>
          <w:highlight w:val="none"/>
        </w:rPr>
        <w:t xml:space="preserve">                       </w:t>
      </w:r>
      <w:r>
        <w:rPr>
          <w:rFonts w:hint="eastAsia" w:ascii="宋体" w:hAnsi="宋体" w:cs="宋体"/>
          <w:b/>
          <w:bCs/>
          <w:color w:val="auto"/>
          <w:sz w:val="44"/>
          <w:szCs w:val="44"/>
          <w:highlight w:val="none"/>
        </w:rPr>
        <w:t xml:space="preserve">   </w:t>
      </w:r>
    </w:p>
    <w:p w14:paraId="5705F27E">
      <w:pPr>
        <w:spacing w:line="360" w:lineRule="auto"/>
        <w:ind w:firstLine="480" w:firstLineChars="200"/>
        <w:rPr>
          <w:rFonts w:hint="eastAsia" w:ascii="宋体" w:hAnsi="宋体" w:cs="宋体"/>
          <w:b/>
          <w:bCs/>
          <w:color w:val="auto"/>
          <w:sz w:val="24"/>
          <w:highlight w:val="none"/>
        </w:rPr>
      </w:pPr>
      <w:r>
        <w:rPr>
          <w:rFonts w:hint="eastAsia" w:ascii="宋体" w:hAnsi="宋体" w:cs="宋体"/>
          <w:bCs/>
          <w:color w:val="auto"/>
          <w:sz w:val="24"/>
          <w:highlight w:val="none"/>
        </w:rPr>
        <w:t>我单位参加</w:t>
      </w:r>
      <w:r>
        <w:rPr>
          <w:rFonts w:hint="eastAsia" w:ascii="宋体" w:hAnsi="宋体" w:cs="宋体"/>
          <w:bCs/>
          <w:color w:val="auto"/>
          <w:sz w:val="24"/>
          <w:szCs w:val="21"/>
          <w:highlight w:val="none"/>
          <w:u w:val="single"/>
        </w:rPr>
        <w:t>________________ _</w:t>
      </w:r>
      <w:r>
        <w:rPr>
          <w:rFonts w:hint="eastAsia" w:ascii="宋体" w:hAnsi="宋体" w:cs="宋体"/>
          <w:bCs/>
          <w:color w:val="auto"/>
          <w:sz w:val="24"/>
          <w:szCs w:val="21"/>
          <w:highlight w:val="none"/>
        </w:rPr>
        <w:t>（项目名称），</w:t>
      </w:r>
      <w:r>
        <w:rPr>
          <w:rFonts w:hint="eastAsia" w:ascii="宋体" w:hAnsi="宋体" w:cs="宋体"/>
          <w:bCs/>
          <w:color w:val="auto"/>
          <w:sz w:val="24"/>
          <w:szCs w:val="21"/>
          <w:highlight w:val="none"/>
          <w:u w:val="single"/>
        </w:rPr>
        <w:t>_______ __________</w:t>
      </w:r>
      <w:r>
        <w:rPr>
          <w:rFonts w:hint="eastAsia" w:ascii="宋体" w:hAnsi="宋体" w:cs="宋体"/>
          <w:bCs/>
          <w:color w:val="auto"/>
          <w:sz w:val="24"/>
          <w:szCs w:val="21"/>
          <w:highlight w:val="none"/>
        </w:rPr>
        <w:t>（项目编号）投标活动。针对本项目供应商资格要求做出如下承诺：</w:t>
      </w:r>
    </w:p>
    <w:p w14:paraId="1A34C276">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szCs w:val="21"/>
          <w:highlight w:val="none"/>
        </w:rPr>
        <w:t>1.我单位具有独立承担民事责任的能力；</w:t>
      </w:r>
    </w:p>
    <w:p w14:paraId="7514F7E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2.我单位具有良好的商业信誉和健全的财务会计制度；</w:t>
      </w:r>
    </w:p>
    <w:p w14:paraId="4077BE0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3.我单位具有履行合同所必需的设备和专业技术能力；</w:t>
      </w:r>
    </w:p>
    <w:p w14:paraId="4CC2BDE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4.我单位有依法缴纳税收和社会保障资金的良好记录；</w:t>
      </w:r>
    </w:p>
    <w:p w14:paraId="65FB53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75C606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6.我单位满足法律、行政法规规定的其他条件。</w:t>
      </w:r>
    </w:p>
    <w:p w14:paraId="48E56073">
      <w:pPr>
        <w:spacing w:line="360" w:lineRule="auto"/>
        <w:ind w:firstLine="480" w:firstLineChars="200"/>
        <w:rPr>
          <w:rFonts w:hint="eastAsia" w:ascii="宋体" w:hAnsi="宋体" w:cs="宋体"/>
          <w:color w:val="auto"/>
          <w:sz w:val="24"/>
          <w:highlight w:val="none"/>
        </w:rPr>
      </w:pPr>
    </w:p>
    <w:p w14:paraId="22B1F46B">
      <w:pPr>
        <w:spacing w:line="360" w:lineRule="auto"/>
        <w:ind w:firstLine="480" w:firstLineChars="200"/>
        <w:rPr>
          <w:rFonts w:hint="eastAsia" w:ascii="宋体" w:hAnsi="宋体" w:cs="宋体"/>
          <w:color w:val="auto"/>
          <w:sz w:val="24"/>
          <w:highlight w:val="none"/>
        </w:rPr>
      </w:pPr>
    </w:p>
    <w:p w14:paraId="1FFA8224">
      <w:pPr>
        <w:spacing w:line="360" w:lineRule="auto"/>
        <w:ind w:firstLine="480" w:firstLineChars="200"/>
        <w:rPr>
          <w:rFonts w:hint="eastAsia" w:ascii="宋体" w:hAnsi="宋体" w:cs="宋体"/>
          <w:bCs/>
          <w:color w:val="auto"/>
          <w:sz w:val="24"/>
          <w:szCs w:val="21"/>
          <w:highlight w:val="none"/>
        </w:rPr>
      </w:pPr>
    </w:p>
    <w:p w14:paraId="685F6DAD">
      <w:pPr>
        <w:spacing w:line="360" w:lineRule="auto"/>
        <w:ind w:firstLine="480" w:firstLineChars="200"/>
        <w:rPr>
          <w:rFonts w:hint="eastAsia" w:ascii="宋体" w:hAnsi="宋体" w:cs="宋体"/>
          <w:bCs/>
          <w:color w:val="auto"/>
          <w:sz w:val="24"/>
          <w:szCs w:val="21"/>
          <w:highlight w:val="none"/>
        </w:rPr>
      </w:pPr>
    </w:p>
    <w:p w14:paraId="2FFF7471">
      <w:pPr>
        <w:spacing w:line="360" w:lineRule="auto"/>
        <w:ind w:firstLine="480" w:firstLineChars="200"/>
        <w:rPr>
          <w:rFonts w:hint="eastAsia" w:ascii="宋体" w:hAnsi="宋体" w:cs="宋体"/>
          <w:bCs/>
          <w:color w:val="auto"/>
          <w:sz w:val="24"/>
          <w:szCs w:val="21"/>
          <w:highlight w:val="none"/>
        </w:rPr>
      </w:pPr>
    </w:p>
    <w:p w14:paraId="7622F0C8">
      <w:pPr>
        <w:spacing w:line="360" w:lineRule="auto"/>
        <w:ind w:firstLine="480" w:firstLineChars="200"/>
        <w:jc w:val="center"/>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承诺人名称（公章）：</w:t>
      </w:r>
    </w:p>
    <w:p w14:paraId="357C31C7">
      <w:pPr>
        <w:spacing w:line="360" w:lineRule="auto"/>
        <w:ind w:firstLine="480" w:firstLineChars="200"/>
        <w:jc w:val="right"/>
        <w:rPr>
          <w:rFonts w:hint="eastAsia" w:ascii="宋体" w:hAnsi="宋体" w:cs="宋体"/>
          <w:bCs/>
          <w:color w:val="auto"/>
          <w:sz w:val="24"/>
          <w:szCs w:val="21"/>
          <w:highlight w:val="none"/>
        </w:rPr>
      </w:pPr>
    </w:p>
    <w:p w14:paraId="788E625A">
      <w:pPr>
        <w:spacing w:line="360" w:lineRule="auto"/>
        <w:ind w:firstLine="480" w:firstLineChars="200"/>
        <w:jc w:val="right"/>
        <w:rPr>
          <w:rFonts w:hint="eastAsia" w:ascii="宋体" w:hAnsi="宋体" w:cs="宋体"/>
          <w:bCs/>
          <w:color w:val="auto"/>
          <w:sz w:val="24"/>
          <w:szCs w:val="21"/>
          <w:highlight w:val="none"/>
        </w:rPr>
      </w:pPr>
    </w:p>
    <w:p w14:paraId="09600658">
      <w:pPr>
        <w:spacing w:line="360" w:lineRule="auto"/>
        <w:ind w:firstLine="480" w:firstLineChars="200"/>
        <w:jc w:val="right"/>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w:t>
      </w:r>
    </w:p>
    <w:p w14:paraId="43E003F5">
      <w:pPr>
        <w:spacing w:line="360" w:lineRule="auto"/>
        <w:ind w:firstLine="480" w:firstLineChars="200"/>
        <w:jc w:val="right"/>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日期：</w:t>
      </w:r>
      <w:r>
        <w:rPr>
          <w:rFonts w:hint="eastAsia" w:ascii="宋体" w:hAnsi="宋体" w:cs="宋体"/>
          <w:bCs/>
          <w:color w:val="auto"/>
          <w:sz w:val="24"/>
          <w:szCs w:val="21"/>
          <w:highlight w:val="none"/>
          <w:u w:val="single"/>
        </w:rPr>
        <w:t>______</w:t>
      </w:r>
      <w:r>
        <w:rPr>
          <w:rFonts w:hint="eastAsia" w:ascii="宋体" w:hAnsi="宋体" w:cs="宋体"/>
          <w:bCs/>
          <w:color w:val="auto"/>
          <w:sz w:val="24"/>
          <w:szCs w:val="21"/>
          <w:highlight w:val="none"/>
        </w:rPr>
        <w:t>年</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月</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日</w:t>
      </w:r>
    </w:p>
    <w:p w14:paraId="0404AB5E">
      <w:pPr>
        <w:snapToGrid w:val="0"/>
        <w:spacing w:line="360" w:lineRule="auto"/>
        <w:ind w:firstLine="540" w:firstLineChars="192"/>
        <w:contextualSpacing/>
        <w:rPr>
          <w:rFonts w:hint="eastAsia" w:ascii="宋体" w:hAnsi="宋体" w:cs="宋体"/>
          <w:b/>
          <w:color w:val="auto"/>
          <w:kern w:val="0"/>
          <w:sz w:val="28"/>
          <w:szCs w:val="28"/>
          <w:highlight w:val="none"/>
        </w:rPr>
      </w:pPr>
    </w:p>
    <w:p w14:paraId="422EF510">
      <w:pPr>
        <w:snapToGrid w:val="0"/>
        <w:spacing w:line="360" w:lineRule="auto"/>
        <w:ind w:firstLine="540" w:firstLineChars="192"/>
        <w:contextualSpacing/>
        <w:rPr>
          <w:rFonts w:hint="eastAsia" w:ascii="宋体" w:hAnsi="宋体" w:cs="宋体"/>
          <w:b/>
          <w:color w:val="auto"/>
          <w:kern w:val="0"/>
          <w:sz w:val="28"/>
          <w:szCs w:val="28"/>
          <w:highlight w:val="none"/>
        </w:rPr>
      </w:pPr>
    </w:p>
    <w:p w14:paraId="1E7C3E55">
      <w:pPr>
        <w:snapToGrid w:val="0"/>
        <w:spacing w:line="360" w:lineRule="auto"/>
        <w:contextualSpacing/>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br w:type="page"/>
      </w:r>
      <w:r>
        <w:rPr>
          <w:rFonts w:hint="eastAsia" w:ascii="宋体" w:hAnsi="宋体" w:cs="宋体"/>
          <w:color w:val="auto"/>
          <w:kern w:val="0"/>
          <w:sz w:val="32"/>
          <w:szCs w:val="32"/>
          <w:highlight w:val="none"/>
          <w:lang w:val="zh-CN"/>
        </w:rPr>
        <w:t>附件2</w:t>
      </w:r>
    </w:p>
    <w:p w14:paraId="1F6FFC5A">
      <w:pPr>
        <w:spacing w:line="360" w:lineRule="auto"/>
        <w:jc w:val="center"/>
        <w:rPr>
          <w:rFonts w:hint="eastAsia" w:ascii="宋体" w:hAnsi="宋体" w:cs="宋体"/>
          <w:b/>
          <w:bCs/>
          <w:color w:val="auto"/>
          <w:sz w:val="32"/>
          <w:szCs w:val="32"/>
          <w:highlight w:val="none"/>
        </w:rPr>
      </w:pPr>
    </w:p>
    <w:p w14:paraId="2630C863">
      <w:pPr>
        <w:spacing w:line="360" w:lineRule="auto"/>
        <w:jc w:val="center"/>
        <w:rPr>
          <w:rFonts w:hint="eastAsia" w:ascii="宋体" w:hAnsi="宋体" w:cs="宋体"/>
          <w:b/>
          <w:bCs/>
          <w:color w:val="auto"/>
          <w:sz w:val="32"/>
          <w:szCs w:val="32"/>
          <w:highlight w:val="none"/>
        </w:rPr>
      </w:pPr>
    </w:p>
    <w:p w14:paraId="38844094">
      <w:pPr>
        <w:spacing w:line="360" w:lineRule="auto"/>
        <w:jc w:val="center"/>
        <w:rPr>
          <w:rFonts w:hint="eastAsia" w:ascii="宋体" w:hAnsi="宋体" w:cs="宋体"/>
          <w:b/>
          <w:bCs/>
          <w:color w:val="auto"/>
          <w:sz w:val="32"/>
          <w:szCs w:val="32"/>
          <w:highlight w:val="none"/>
        </w:rPr>
      </w:pPr>
    </w:p>
    <w:p w14:paraId="44AE3399">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法定代表人身份证明</w:t>
      </w:r>
    </w:p>
    <w:p w14:paraId="69FE5982">
      <w:pPr>
        <w:spacing w:line="360" w:lineRule="auto"/>
        <w:rPr>
          <w:rFonts w:hint="eastAsia" w:ascii="宋体" w:hAnsi="宋体" w:cs="宋体"/>
          <w:color w:val="auto"/>
          <w:sz w:val="24"/>
          <w:highlight w:val="none"/>
        </w:rPr>
      </w:pPr>
    </w:p>
    <w:p w14:paraId="5DBCC3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先生/女士： 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2DAF137E">
      <w:pPr>
        <w:spacing w:line="360" w:lineRule="auto"/>
        <w:ind w:firstLine="480"/>
        <w:rPr>
          <w:rFonts w:hint="eastAsia" w:ascii="宋体" w:hAnsi="宋体" w:cs="宋体"/>
          <w:color w:val="auto"/>
          <w:sz w:val="24"/>
          <w:highlight w:val="none"/>
          <w:u w:val="singl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08B81B8">
      <w:pPr>
        <w:spacing w:line="360" w:lineRule="auto"/>
        <w:ind w:firstLine="480"/>
        <w:rPr>
          <w:rFonts w:hint="eastAsia" w:ascii="宋体" w:hAnsi="宋体" w:cs="宋体"/>
          <w:color w:val="auto"/>
          <w:sz w:val="24"/>
          <w:highlight w:val="none"/>
        </w:rPr>
      </w:pPr>
    </w:p>
    <w:p w14:paraId="72FC4B7A">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注：提供法定代表人的身份证复印件</w:t>
      </w:r>
    </w:p>
    <w:p w14:paraId="53E88D24">
      <w:pPr>
        <w:spacing w:line="360" w:lineRule="auto"/>
        <w:ind w:firstLine="480" w:firstLineChars="200"/>
        <w:rPr>
          <w:rFonts w:hint="eastAsia" w:ascii="宋体" w:hAnsi="宋体" w:cs="宋体"/>
          <w:color w:val="auto"/>
          <w:sz w:val="24"/>
          <w:highlight w:val="none"/>
        </w:rPr>
      </w:pPr>
    </w:p>
    <w:p w14:paraId="1B7B87CE">
      <w:pPr>
        <w:spacing w:line="360" w:lineRule="auto"/>
        <w:rPr>
          <w:rFonts w:hint="eastAsia" w:ascii="宋体" w:hAnsi="宋体" w:cs="宋体"/>
          <w:color w:val="auto"/>
          <w:highlight w:val="none"/>
        </w:rPr>
      </w:pPr>
    </w:p>
    <w:p w14:paraId="6D15A8A0">
      <w:pPr>
        <w:snapToGrid w:val="0"/>
        <w:spacing w:line="360" w:lineRule="auto"/>
        <w:ind w:firstLine="540" w:firstLineChars="192"/>
        <w:contextualSpacing/>
        <w:rPr>
          <w:rFonts w:hint="eastAsia" w:ascii="宋体" w:hAnsi="宋体" w:cs="宋体"/>
          <w:b/>
          <w:color w:val="auto"/>
          <w:kern w:val="0"/>
          <w:sz w:val="28"/>
          <w:szCs w:val="28"/>
          <w:highlight w:val="none"/>
        </w:rPr>
      </w:pPr>
    </w:p>
    <w:p w14:paraId="72F2E434">
      <w:pPr>
        <w:snapToGrid w:val="0"/>
        <w:spacing w:line="360" w:lineRule="auto"/>
        <w:ind w:firstLine="540" w:firstLineChars="192"/>
        <w:contextualSpacing/>
        <w:rPr>
          <w:rFonts w:hint="eastAsia" w:ascii="宋体" w:hAnsi="宋体" w:cs="宋体"/>
          <w:b/>
          <w:color w:val="auto"/>
          <w:kern w:val="0"/>
          <w:sz w:val="28"/>
          <w:szCs w:val="28"/>
          <w:highlight w:val="none"/>
          <w:lang w:val="zh-CN"/>
        </w:rPr>
      </w:pPr>
    </w:p>
    <w:p w14:paraId="6B299640">
      <w:pPr>
        <w:snapToGrid w:val="0"/>
        <w:spacing w:line="360" w:lineRule="auto"/>
        <w:ind w:firstLine="540" w:firstLineChars="192"/>
        <w:contextualSpacing/>
        <w:rPr>
          <w:rFonts w:hint="eastAsia" w:ascii="宋体" w:hAnsi="宋体" w:cs="宋体"/>
          <w:b/>
          <w:color w:val="auto"/>
          <w:kern w:val="0"/>
          <w:sz w:val="28"/>
          <w:szCs w:val="28"/>
          <w:highlight w:val="none"/>
          <w:lang w:val="zh-CN"/>
        </w:rPr>
      </w:pPr>
    </w:p>
    <w:p w14:paraId="3575FCBA">
      <w:pPr>
        <w:snapToGrid w:val="0"/>
        <w:spacing w:line="360" w:lineRule="auto"/>
        <w:ind w:firstLine="540" w:firstLineChars="192"/>
        <w:contextualSpacing/>
        <w:rPr>
          <w:rFonts w:hint="eastAsia" w:ascii="宋体" w:hAnsi="宋体" w:cs="宋体"/>
          <w:b/>
          <w:color w:val="auto"/>
          <w:kern w:val="0"/>
          <w:sz w:val="28"/>
          <w:szCs w:val="28"/>
          <w:highlight w:val="none"/>
          <w:lang w:val="zh-CN"/>
        </w:rPr>
      </w:pPr>
    </w:p>
    <w:p w14:paraId="0A6D3F92">
      <w:pPr>
        <w:snapToGrid w:val="0"/>
        <w:spacing w:line="360" w:lineRule="auto"/>
        <w:ind w:firstLine="540" w:firstLineChars="192"/>
        <w:contextualSpacing/>
        <w:rPr>
          <w:rFonts w:hint="eastAsia" w:ascii="宋体" w:hAnsi="宋体" w:cs="宋体"/>
          <w:b/>
          <w:color w:val="auto"/>
          <w:kern w:val="0"/>
          <w:sz w:val="28"/>
          <w:szCs w:val="28"/>
          <w:highlight w:val="none"/>
          <w:lang w:val="zh-CN"/>
        </w:rPr>
      </w:pPr>
    </w:p>
    <w:p w14:paraId="1C2C68E8">
      <w:pPr>
        <w:snapToGrid w:val="0"/>
        <w:spacing w:line="360" w:lineRule="auto"/>
        <w:ind w:firstLine="540" w:firstLineChars="192"/>
        <w:contextualSpacing/>
        <w:rPr>
          <w:rFonts w:hint="eastAsia" w:ascii="宋体" w:hAnsi="宋体" w:cs="宋体"/>
          <w:b/>
          <w:color w:val="auto"/>
          <w:kern w:val="0"/>
          <w:sz w:val="28"/>
          <w:szCs w:val="28"/>
          <w:highlight w:val="none"/>
          <w:lang w:val="zh-CN"/>
        </w:rPr>
      </w:pPr>
    </w:p>
    <w:p w14:paraId="6EC14DD7">
      <w:pPr>
        <w:snapToGrid w:val="0"/>
        <w:spacing w:line="360" w:lineRule="auto"/>
        <w:ind w:firstLine="540" w:firstLineChars="192"/>
        <w:contextualSpacing/>
        <w:rPr>
          <w:rFonts w:hint="eastAsia" w:ascii="宋体" w:hAnsi="宋体" w:cs="宋体"/>
          <w:b/>
          <w:color w:val="auto"/>
          <w:kern w:val="0"/>
          <w:sz w:val="28"/>
          <w:szCs w:val="28"/>
          <w:highlight w:val="none"/>
          <w:lang w:val="zh-CN"/>
        </w:rPr>
      </w:pPr>
    </w:p>
    <w:p w14:paraId="08D42ED7">
      <w:pPr>
        <w:snapToGrid w:val="0"/>
        <w:spacing w:line="360" w:lineRule="auto"/>
        <w:ind w:firstLine="540" w:firstLineChars="192"/>
        <w:contextualSpacing/>
        <w:rPr>
          <w:rFonts w:hint="eastAsia" w:ascii="宋体" w:hAnsi="宋体" w:cs="宋体"/>
          <w:b/>
          <w:color w:val="auto"/>
          <w:kern w:val="0"/>
          <w:sz w:val="28"/>
          <w:szCs w:val="28"/>
          <w:highlight w:val="none"/>
          <w:lang w:val="zh-CN"/>
        </w:rPr>
      </w:pPr>
    </w:p>
    <w:p w14:paraId="4F1599CA">
      <w:pPr>
        <w:snapToGrid w:val="0"/>
        <w:spacing w:line="360" w:lineRule="auto"/>
        <w:ind w:firstLine="540" w:firstLineChars="192"/>
        <w:contextualSpacing/>
        <w:rPr>
          <w:rFonts w:hint="eastAsia" w:ascii="宋体" w:hAnsi="宋体" w:cs="宋体"/>
          <w:b/>
          <w:color w:val="auto"/>
          <w:kern w:val="0"/>
          <w:sz w:val="28"/>
          <w:szCs w:val="28"/>
          <w:highlight w:val="none"/>
          <w:lang w:val="zh-CN"/>
        </w:rPr>
      </w:pPr>
    </w:p>
    <w:p w14:paraId="0AB9B041">
      <w:pPr>
        <w:snapToGrid w:val="0"/>
        <w:spacing w:line="360" w:lineRule="auto"/>
        <w:ind w:firstLine="540" w:firstLineChars="192"/>
        <w:contextualSpacing/>
        <w:rPr>
          <w:rFonts w:hint="eastAsia" w:ascii="宋体" w:hAnsi="宋体" w:cs="宋体"/>
          <w:b/>
          <w:color w:val="auto"/>
          <w:kern w:val="0"/>
          <w:sz w:val="28"/>
          <w:szCs w:val="28"/>
          <w:highlight w:val="none"/>
          <w:lang w:val="zh-CN"/>
        </w:rPr>
      </w:pPr>
    </w:p>
    <w:p w14:paraId="10AB673D">
      <w:pPr>
        <w:snapToGrid w:val="0"/>
        <w:spacing w:line="360" w:lineRule="auto"/>
        <w:contextualSpacing/>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br w:type="page"/>
      </w:r>
      <w:r>
        <w:rPr>
          <w:rFonts w:hint="eastAsia" w:ascii="宋体" w:hAnsi="宋体" w:cs="宋体"/>
          <w:color w:val="auto"/>
          <w:kern w:val="0"/>
          <w:sz w:val="32"/>
          <w:szCs w:val="32"/>
          <w:highlight w:val="none"/>
          <w:lang w:val="zh-CN"/>
        </w:rPr>
        <w:t>附件3</w:t>
      </w:r>
    </w:p>
    <w:p w14:paraId="1AA4366D">
      <w:pPr>
        <w:spacing w:line="360" w:lineRule="auto"/>
        <w:jc w:val="center"/>
        <w:rPr>
          <w:rFonts w:hint="eastAsia" w:ascii="宋体" w:hAnsi="宋体" w:cs="宋体"/>
          <w:color w:val="auto"/>
          <w:sz w:val="32"/>
          <w:szCs w:val="32"/>
          <w:highlight w:val="none"/>
        </w:rPr>
      </w:pPr>
    </w:p>
    <w:p w14:paraId="28C8ADF8">
      <w:pPr>
        <w:spacing w:line="360" w:lineRule="auto"/>
        <w:ind w:firstLine="560" w:firstLineChars="2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法定代表人授权委托书</w:t>
      </w:r>
    </w:p>
    <w:p w14:paraId="35C6C9AD">
      <w:pPr>
        <w:spacing w:line="360" w:lineRule="auto"/>
        <w:ind w:firstLine="560" w:firstLineChars="200"/>
        <w:rPr>
          <w:rFonts w:hint="eastAsia" w:ascii="宋体" w:hAnsi="宋体" w:cs="宋体"/>
          <w:color w:val="auto"/>
          <w:sz w:val="28"/>
          <w:szCs w:val="28"/>
          <w:highlight w:val="none"/>
        </w:rPr>
      </w:pPr>
    </w:p>
    <w:p w14:paraId="2633CFBC">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本人------（姓名）系————（授权单位名称）的法定代表人，现委托-------（姓名）（身份证号——————）为我方代理人，以我方名义全权处理与本次采购项目（编号：----------）有关的一切事务，其法律后果由我方承担。</w:t>
      </w:r>
    </w:p>
    <w:p w14:paraId="2CB529A1">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本授权书于---年---月---日起生效。代理人无转委托权。</w:t>
      </w:r>
    </w:p>
    <w:p w14:paraId="3D0AC028">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代理人(被授权人签字):------</w:t>
      </w:r>
    </w:p>
    <w:p w14:paraId="607AA0FC">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授权单位名称（盖章）：-----</w:t>
      </w:r>
    </w:p>
    <w:p w14:paraId="5B7ED74F">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授权单位法定代表人（签字或盖章）：-----</w:t>
      </w:r>
    </w:p>
    <w:p w14:paraId="2C16E3E4">
      <w:pPr>
        <w:spacing w:line="360" w:lineRule="auto"/>
        <w:ind w:firstLine="560" w:firstLineChars="200"/>
        <w:jc w:val="right"/>
        <w:rPr>
          <w:rFonts w:hint="eastAsia" w:ascii="宋体" w:hAnsi="宋体" w:cs="宋体"/>
          <w:color w:val="auto"/>
          <w:sz w:val="28"/>
          <w:szCs w:val="28"/>
          <w:highlight w:val="none"/>
        </w:rPr>
      </w:pPr>
    </w:p>
    <w:p w14:paraId="053174C7">
      <w:pPr>
        <w:spacing w:line="360" w:lineRule="auto"/>
        <w:ind w:firstLine="560" w:firstLineChars="200"/>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XXXX年XX月XX日</w:t>
      </w:r>
    </w:p>
    <w:p w14:paraId="5559ACB1">
      <w:pPr>
        <w:snapToGrid w:val="0"/>
        <w:spacing w:line="360" w:lineRule="auto"/>
        <w:ind w:firstLine="562" w:firstLineChars="200"/>
        <w:contextualSpacing/>
        <w:rPr>
          <w:rFonts w:hint="eastAsia" w:ascii="宋体" w:hAnsi="宋体" w:cs="宋体"/>
          <w:b/>
          <w:color w:val="auto"/>
          <w:kern w:val="0"/>
          <w:sz w:val="28"/>
          <w:szCs w:val="28"/>
          <w:highlight w:val="none"/>
        </w:rPr>
      </w:pPr>
    </w:p>
    <w:p w14:paraId="6C42D731">
      <w:pPr>
        <w:snapToGrid w:val="0"/>
        <w:spacing w:line="360" w:lineRule="auto"/>
        <w:ind w:firstLine="562" w:firstLineChars="200"/>
        <w:contextualSpacing/>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注：提供投标代表本人身份证复印件</w:t>
      </w:r>
    </w:p>
    <w:p w14:paraId="5B466B49">
      <w:pPr>
        <w:snapToGrid w:val="0"/>
        <w:spacing w:line="360" w:lineRule="auto"/>
        <w:ind w:firstLine="562" w:firstLineChars="200"/>
        <w:contextualSpacing/>
        <w:rPr>
          <w:rFonts w:hint="eastAsia" w:ascii="宋体" w:hAnsi="宋体" w:cs="宋体"/>
          <w:b/>
          <w:color w:val="auto"/>
          <w:kern w:val="0"/>
          <w:sz w:val="28"/>
          <w:szCs w:val="28"/>
          <w:highlight w:val="none"/>
        </w:rPr>
      </w:pPr>
    </w:p>
    <w:p w14:paraId="378EAC5B">
      <w:pPr>
        <w:snapToGrid w:val="0"/>
        <w:spacing w:line="360" w:lineRule="auto"/>
        <w:ind w:firstLine="540" w:firstLineChars="192"/>
        <w:contextualSpacing/>
        <w:rPr>
          <w:rFonts w:hint="eastAsia" w:ascii="宋体" w:hAnsi="宋体" w:cs="宋体"/>
          <w:b/>
          <w:color w:val="auto"/>
          <w:kern w:val="0"/>
          <w:sz w:val="28"/>
          <w:szCs w:val="28"/>
          <w:highlight w:val="none"/>
        </w:rPr>
      </w:pPr>
    </w:p>
    <w:p w14:paraId="7776FAEB">
      <w:pPr>
        <w:snapToGrid w:val="0"/>
        <w:spacing w:line="360" w:lineRule="auto"/>
        <w:ind w:firstLine="540" w:firstLineChars="192"/>
        <w:contextualSpacing/>
        <w:rPr>
          <w:rFonts w:hint="eastAsia" w:ascii="宋体" w:hAnsi="宋体" w:cs="宋体"/>
          <w:b/>
          <w:color w:val="auto"/>
          <w:kern w:val="0"/>
          <w:sz w:val="28"/>
          <w:szCs w:val="28"/>
          <w:highlight w:val="none"/>
        </w:rPr>
      </w:pPr>
    </w:p>
    <w:p w14:paraId="2A84FDBD">
      <w:pPr>
        <w:snapToGrid w:val="0"/>
        <w:spacing w:line="360" w:lineRule="auto"/>
        <w:ind w:firstLine="540" w:firstLineChars="192"/>
        <w:contextualSpacing/>
        <w:rPr>
          <w:rFonts w:hint="eastAsia" w:ascii="宋体" w:hAnsi="宋体" w:cs="宋体"/>
          <w:b/>
          <w:color w:val="auto"/>
          <w:kern w:val="0"/>
          <w:sz w:val="28"/>
          <w:szCs w:val="28"/>
          <w:highlight w:val="none"/>
        </w:rPr>
      </w:pPr>
    </w:p>
    <w:p w14:paraId="4B06F295">
      <w:pPr>
        <w:pStyle w:val="65"/>
        <w:ind w:firstLine="562"/>
        <w:rPr>
          <w:rFonts w:hint="eastAsia" w:ascii="宋体" w:hAnsi="宋体" w:cs="宋体"/>
          <w:b/>
          <w:color w:val="auto"/>
          <w:kern w:val="0"/>
          <w:sz w:val="28"/>
          <w:szCs w:val="28"/>
          <w:highlight w:val="none"/>
        </w:rPr>
      </w:pPr>
    </w:p>
    <w:p w14:paraId="64951D70">
      <w:pPr>
        <w:pStyle w:val="65"/>
        <w:ind w:firstLine="562"/>
        <w:rPr>
          <w:rFonts w:hint="eastAsia" w:ascii="宋体" w:hAnsi="宋体" w:cs="宋体"/>
          <w:b/>
          <w:color w:val="auto"/>
          <w:kern w:val="0"/>
          <w:sz w:val="28"/>
          <w:szCs w:val="28"/>
          <w:highlight w:val="none"/>
        </w:rPr>
      </w:pPr>
    </w:p>
    <w:p w14:paraId="47972D53">
      <w:pPr>
        <w:snapToGrid w:val="0"/>
        <w:spacing w:line="360" w:lineRule="auto"/>
        <w:ind w:firstLine="540" w:firstLineChars="192"/>
        <w:contextualSpacing/>
        <w:rPr>
          <w:rFonts w:hint="eastAsia" w:ascii="宋体" w:hAnsi="宋体" w:cs="宋体"/>
          <w:b/>
          <w:color w:val="auto"/>
          <w:kern w:val="0"/>
          <w:sz w:val="28"/>
          <w:szCs w:val="28"/>
          <w:highlight w:val="none"/>
        </w:rPr>
      </w:pPr>
    </w:p>
    <w:p w14:paraId="0DB2A89D">
      <w:pPr>
        <w:snapToGrid w:val="0"/>
        <w:spacing w:line="360" w:lineRule="auto"/>
        <w:ind w:firstLine="540" w:firstLineChars="192"/>
        <w:contextualSpacing/>
        <w:rPr>
          <w:rFonts w:hint="eastAsia" w:ascii="宋体" w:hAnsi="宋体" w:cs="宋体"/>
          <w:b/>
          <w:color w:val="auto"/>
          <w:kern w:val="0"/>
          <w:sz w:val="28"/>
          <w:szCs w:val="28"/>
          <w:highlight w:val="none"/>
        </w:rPr>
      </w:pPr>
    </w:p>
    <w:p w14:paraId="19FB5240">
      <w:pPr>
        <w:snapToGrid w:val="0"/>
        <w:spacing w:line="360" w:lineRule="auto"/>
        <w:ind w:firstLine="540" w:firstLineChars="192"/>
        <w:contextualSpacing/>
        <w:rPr>
          <w:rFonts w:hint="eastAsia" w:ascii="宋体" w:hAnsi="宋体" w:cs="宋体"/>
          <w:b/>
          <w:color w:val="auto"/>
          <w:kern w:val="0"/>
          <w:sz w:val="28"/>
          <w:szCs w:val="28"/>
          <w:highlight w:val="none"/>
        </w:rPr>
      </w:pPr>
    </w:p>
    <w:p w14:paraId="598F121A">
      <w:pPr>
        <w:snapToGrid w:val="0"/>
        <w:spacing w:line="300" w:lineRule="auto"/>
        <w:ind w:firstLine="640" w:firstLineChars="200"/>
        <w:contextualSpacing/>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br w:type="page"/>
      </w:r>
      <w:r>
        <w:rPr>
          <w:rFonts w:hint="eastAsia" w:ascii="宋体" w:hAnsi="宋体" w:cs="宋体"/>
          <w:color w:val="auto"/>
          <w:kern w:val="0"/>
          <w:sz w:val="32"/>
          <w:szCs w:val="32"/>
          <w:highlight w:val="none"/>
        </w:rPr>
        <w:t>附件4</w:t>
      </w:r>
    </w:p>
    <w:p w14:paraId="60B659C4">
      <w:pPr>
        <w:widowControl/>
        <w:spacing w:before="100" w:beforeAutospacing="1" w:after="100" w:afterAutospacing="1" w:line="360" w:lineRule="auto"/>
        <w:jc w:val="center"/>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rPr>
        <w:t>报价一览表</w:t>
      </w:r>
    </w:p>
    <w:p w14:paraId="4E9EAABD">
      <w:pPr>
        <w:spacing w:line="360" w:lineRule="auto"/>
        <w:rPr>
          <w:rFonts w:hint="eastAsia" w:ascii="宋体" w:hAnsi="宋体" w:cs="宋体"/>
          <w:color w:val="auto"/>
          <w:kern w:val="0"/>
          <w:sz w:val="28"/>
          <w:szCs w:val="28"/>
          <w:highlight w:val="none"/>
          <w:u w:val="single"/>
        </w:rPr>
      </w:pPr>
      <w:r>
        <w:rPr>
          <w:rFonts w:hint="eastAsia" w:ascii="宋体" w:hAnsi="宋体" w:cs="宋体"/>
          <w:color w:val="auto"/>
          <w:kern w:val="0"/>
          <w:sz w:val="28"/>
          <w:szCs w:val="28"/>
          <w:highlight w:val="none"/>
        </w:rPr>
        <w:t>供应商全称（加盖公章）：</w:t>
      </w:r>
    </w:p>
    <w:p w14:paraId="3808FC23">
      <w:pPr>
        <w:spacing w:line="360" w:lineRule="auto"/>
        <w:rPr>
          <w:rFonts w:hint="eastAsia" w:ascii="宋体" w:hAnsi="宋体" w:cs="宋体"/>
          <w:color w:val="auto"/>
          <w:kern w:val="0"/>
          <w:sz w:val="28"/>
          <w:szCs w:val="28"/>
          <w:highlight w:val="none"/>
          <w:u w:val="single"/>
        </w:rPr>
      </w:pPr>
      <w:r>
        <w:rPr>
          <w:rFonts w:hint="eastAsia" w:ascii="宋体" w:hAnsi="宋体" w:cs="宋体"/>
          <w:color w:val="auto"/>
          <w:kern w:val="0"/>
          <w:sz w:val="28"/>
          <w:szCs w:val="28"/>
          <w:highlight w:val="none"/>
        </w:rPr>
        <w:t>项目名称：</w:t>
      </w:r>
    </w:p>
    <w:p w14:paraId="4BBD9EA2">
      <w:pPr>
        <w:spacing w:line="360" w:lineRule="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项目编号：</w:t>
      </w:r>
    </w:p>
    <w:tbl>
      <w:tblPr>
        <w:tblStyle w:val="31"/>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8"/>
        <w:gridCol w:w="4349"/>
      </w:tblGrid>
      <w:tr w14:paraId="3DED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pct"/>
          </w:tcPr>
          <w:p w14:paraId="447B9779">
            <w:pPr>
              <w:spacing w:line="360" w:lineRule="auto"/>
              <w:jc w:val="center"/>
              <w:rPr>
                <w:rFonts w:hint="eastAsia" w:ascii="宋体" w:hAnsi="宋体" w:cs="宋体"/>
                <w:color w:val="auto"/>
                <w:szCs w:val="22"/>
                <w:highlight w:val="none"/>
              </w:rPr>
            </w:pPr>
            <w:r>
              <w:rPr>
                <w:rFonts w:hint="eastAsia" w:ascii="宋体" w:hAnsi="宋体" w:cs="宋体"/>
                <w:color w:val="auto"/>
                <w:kern w:val="0"/>
                <w:sz w:val="28"/>
                <w:szCs w:val="28"/>
                <w:highlight w:val="none"/>
              </w:rPr>
              <w:t>磋商货物、服务名称</w:t>
            </w:r>
          </w:p>
        </w:tc>
        <w:tc>
          <w:tcPr>
            <w:tcW w:w="2577" w:type="pct"/>
          </w:tcPr>
          <w:p w14:paraId="546EE901">
            <w:pPr>
              <w:spacing w:line="360" w:lineRule="auto"/>
              <w:jc w:val="center"/>
              <w:rPr>
                <w:rFonts w:hint="eastAsia" w:ascii="宋体" w:hAnsi="宋体" w:cs="宋体"/>
                <w:color w:val="auto"/>
                <w:szCs w:val="22"/>
                <w:highlight w:val="none"/>
              </w:rPr>
            </w:pPr>
            <w:r>
              <w:rPr>
                <w:rFonts w:hint="eastAsia" w:ascii="宋体" w:hAnsi="宋体" w:cs="宋体"/>
                <w:color w:val="auto"/>
                <w:kern w:val="0"/>
                <w:sz w:val="28"/>
                <w:szCs w:val="28"/>
                <w:highlight w:val="none"/>
              </w:rPr>
              <w:t>磋商总报价</w:t>
            </w:r>
          </w:p>
        </w:tc>
      </w:tr>
      <w:tr w14:paraId="7170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422" w:type="pct"/>
          </w:tcPr>
          <w:p w14:paraId="607A527A">
            <w:pPr>
              <w:spacing w:line="360" w:lineRule="auto"/>
              <w:jc w:val="left"/>
              <w:rPr>
                <w:rFonts w:hint="eastAsia" w:ascii="宋体" w:hAnsi="宋体" w:cs="宋体"/>
                <w:color w:val="auto"/>
                <w:szCs w:val="22"/>
                <w:highlight w:val="none"/>
              </w:rPr>
            </w:pPr>
          </w:p>
        </w:tc>
        <w:tc>
          <w:tcPr>
            <w:tcW w:w="2577" w:type="pct"/>
            <w:vAlign w:val="center"/>
          </w:tcPr>
          <w:p w14:paraId="4FBAEEDB">
            <w:pPr>
              <w:spacing w:line="360" w:lineRule="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大写：度电单价/人民币</w:t>
            </w:r>
          </w:p>
          <w:p w14:paraId="516A2DE9">
            <w:pPr>
              <w:spacing w:line="360" w:lineRule="auto"/>
              <w:rPr>
                <w:rFonts w:hint="eastAsia" w:ascii="宋体" w:hAnsi="宋体" w:cs="宋体"/>
                <w:color w:val="auto"/>
                <w:szCs w:val="22"/>
                <w:highlight w:val="none"/>
                <w:u w:val="single"/>
              </w:rPr>
            </w:pPr>
            <w:r>
              <w:rPr>
                <w:rFonts w:hint="eastAsia" w:ascii="宋体" w:hAnsi="宋体" w:cs="宋体"/>
                <w:color w:val="auto"/>
                <w:kern w:val="0"/>
                <w:sz w:val="28"/>
                <w:szCs w:val="28"/>
                <w:highlight w:val="none"/>
              </w:rPr>
              <w:t>小写：    元/度（人民币）</w:t>
            </w:r>
          </w:p>
        </w:tc>
      </w:tr>
    </w:tbl>
    <w:p w14:paraId="75DA27B3">
      <w:pPr>
        <w:spacing w:line="360" w:lineRule="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日期：</w:t>
      </w:r>
    </w:p>
    <w:p w14:paraId="4D31E474">
      <w:pPr>
        <w:spacing w:line="360" w:lineRule="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填写说明：</w:t>
      </w:r>
    </w:p>
    <w:p w14:paraId="0E161BAC">
      <w:pPr>
        <w:spacing w:line="360" w:lineRule="auto"/>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1.报价总表必须加盖供应商公章（复印件无效）。</w:t>
      </w:r>
    </w:p>
    <w:p w14:paraId="01304DAF">
      <w:pPr>
        <w:spacing w:line="360" w:lineRule="auto"/>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2.本表投标报价（以人民币计价）应包含项目履行到项目执行结束的过程中所发生的一切费用及招标文件要求的所有费用。</w:t>
      </w:r>
    </w:p>
    <w:p w14:paraId="3520EEE4">
      <w:pPr>
        <w:pStyle w:val="93"/>
        <w:rPr>
          <w:rFonts w:hint="eastAsia" w:cs="宋体"/>
          <w:color w:val="auto"/>
          <w:kern w:val="0"/>
          <w:sz w:val="28"/>
          <w:szCs w:val="28"/>
          <w:highlight w:val="none"/>
        </w:rPr>
      </w:pPr>
    </w:p>
    <w:p w14:paraId="4B798323">
      <w:pPr>
        <w:pStyle w:val="93"/>
        <w:rPr>
          <w:rFonts w:hint="eastAsia" w:cs="宋体"/>
          <w:color w:val="auto"/>
          <w:kern w:val="0"/>
          <w:sz w:val="28"/>
          <w:szCs w:val="28"/>
          <w:highlight w:val="none"/>
        </w:rPr>
      </w:pPr>
    </w:p>
    <w:p w14:paraId="0FA8A0AF">
      <w:pPr>
        <w:pStyle w:val="93"/>
        <w:rPr>
          <w:rFonts w:hint="eastAsia" w:cs="宋体"/>
          <w:color w:val="auto"/>
          <w:kern w:val="0"/>
          <w:sz w:val="28"/>
          <w:szCs w:val="28"/>
          <w:highlight w:val="none"/>
        </w:rPr>
      </w:pPr>
    </w:p>
    <w:p w14:paraId="532915F7">
      <w:pPr>
        <w:pStyle w:val="93"/>
        <w:rPr>
          <w:rFonts w:hint="eastAsia" w:cs="宋体"/>
          <w:color w:val="auto"/>
          <w:kern w:val="0"/>
          <w:sz w:val="28"/>
          <w:szCs w:val="28"/>
          <w:highlight w:val="none"/>
        </w:rPr>
      </w:pPr>
    </w:p>
    <w:p w14:paraId="6A3C8E01">
      <w:pPr>
        <w:pStyle w:val="93"/>
        <w:rPr>
          <w:rFonts w:hint="eastAsia" w:cs="宋体"/>
          <w:color w:val="auto"/>
          <w:kern w:val="0"/>
          <w:sz w:val="28"/>
          <w:szCs w:val="28"/>
          <w:highlight w:val="none"/>
        </w:rPr>
      </w:pPr>
    </w:p>
    <w:p w14:paraId="30209E12">
      <w:pPr>
        <w:pStyle w:val="93"/>
        <w:rPr>
          <w:rFonts w:hint="eastAsia" w:cs="宋体"/>
          <w:color w:val="auto"/>
          <w:kern w:val="0"/>
          <w:sz w:val="28"/>
          <w:szCs w:val="28"/>
          <w:highlight w:val="none"/>
        </w:rPr>
      </w:pPr>
    </w:p>
    <w:p w14:paraId="6E5CECFB">
      <w:pPr>
        <w:snapToGrid w:val="0"/>
        <w:spacing w:line="360" w:lineRule="auto"/>
        <w:ind w:firstLine="540" w:firstLineChars="192"/>
        <w:contextualSpacing/>
        <w:rPr>
          <w:rFonts w:hint="eastAsia" w:ascii="宋体" w:hAnsi="宋体" w:cs="宋体"/>
          <w:b/>
          <w:color w:val="auto"/>
          <w:kern w:val="0"/>
          <w:sz w:val="28"/>
          <w:szCs w:val="28"/>
          <w:highlight w:val="none"/>
        </w:rPr>
      </w:pPr>
    </w:p>
    <w:p w14:paraId="7DFC4E38">
      <w:pPr>
        <w:snapToGrid w:val="0"/>
        <w:spacing w:line="360" w:lineRule="auto"/>
        <w:ind w:firstLine="540" w:firstLineChars="192"/>
        <w:contextualSpacing/>
        <w:rPr>
          <w:rFonts w:hint="eastAsia" w:ascii="宋体" w:hAnsi="宋体" w:cs="宋体"/>
          <w:b/>
          <w:color w:val="auto"/>
          <w:kern w:val="0"/>
          <w:sz w:val="28"/>
          <w:szCs w:val="28"/>
          <w:highlight w:val="none"/>
        </w:rPr>
      </w:pPr>
    </w:p>
    <w:p w14:paraId="5351B00E">
      <w:pPr>
        <w:snapToGrid w:val="0"/>
        <w:spacing w:line="360" w:lineRule="auto"/>
        <w:ind w:firstLine="540" w:firstLineChars="192"/>
        <w:contextualSpacing/>
        <w:rPr>
          <w:rFonts w:hint="eastAsia" w:ascii="宋体" w:hAnsi="宋体" w:cs="宋体"/>
          <w:b/>
          <w:color w:val="auto"/>
          <w:kern w:val="0"/>
          <w:sz w:val="28"/>
          <w:szCs w:val="28"/>
          <w:highlight w:val="none"/>
        </w:rPr>
      </w:pPr>
    </w:p>
    <w:p w14:paraId="7FDBF0B5">
      <w:pPr>
        <w:pStyle w:val="2"/>
        <w:rPr>
          <w:rFonts w:hint="eastAsia" w:ascii="宋体" w:hAnsi="宋体" w:cs="宋体"/>
          <w:b/>
          <w:color w:val="auto"/>
          <w:kern w:val="0"/>
          <w:szCs w:val="28"/>
          <w:highlight w:val="none"/>
        </w:rPr>
      </w:pPr>
    </w:p>
    <w:p w14:paraId="33AE57FA">
      <w:pPr>
        <w:rPr>
          <w:rFonts w:hint="eastAsia" w:ascii="宋体" w:hAnsi="宋体" w:cs="宋体"/>
          <w:b/>
          <w:color w:val="auto"/>
          <w:kern w:val="0"/>
          <w:sz w:val="28"/>
          <w:szCs w:val="28"/>
          <w:highlight w:val="none"/>
        </w:rPr>
      </w:pPr>
    </w:p>
    <w:p w14:paraId="4271CDFD">
      <w:pPr>
        <w:pStyle w:val="2"/>
        <w:rPr>
          <w:rFonts w:hint="eastAsia" w:ascii="宋体" w:hAnsi="宋体" w:cs="宋体"/>
          <w:b/>
          <w:color w:val="auto"/>
          <w:kern w:val="0"/>
          <w:szCs w:val="28"/>
          <w:highlight w:val="none"/>
        </w:rPr>
      </w:pPr>
    </w:p>
    <w:p w14:paraId="22F83748">
      <w:pPr>
        <w:snapToGrid w:val="0"/>
        <w:spacing w:line="360" w:lineRule="auto"/>
        <w:contextualSpacing/>
        <w:rPr>
          <w:rFonts w:hint="eastAsia" w:ascii="宋体" w:hAnsi="宋体" w:cs="宋体"/>
          <w:b/>
          <w:color w:val="auto"/>
          <w:kern w:val="0"/>
          <w:sz w:val="28"/>
          <w:szCs w:val="28"/>
          <w:highlight w:val="none"/>
        </w:rPr>
      </w:pPr>
    </w:p>
    <w:p w14:paraId="276D8CDD">
      <w:pPr>
        <w:snapToGrid w:val="0"/>
        <w:spacing w:line="300" w:lineRule="auto"/>
        <w:ind w:firstLine="640" w:firstLineChars="200"/>
        <w:contextualSpacing/>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附件5</w:t>
      </w:r>
    </w:p>
    <w:p w14:paraId="30C1CD9B">
      <w:pPr>
        <w:widowControl/>
        <w:spacing w:before="100" w:beforeAutospacing="1" w:after="100" w:afterAutospacing="1" w:line="360" w:lineRule="auto"/>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报价明细表</w:t>
      </w:r>
    </w:p>
    <w:tbl>
      <w:tblPr>
        <w:tblStyle w:val="31"/>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3863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14:paraId="15F98C8D">
            <w:pPr>
              <w:snapToGrid w:val="0"/>
              <w:spacing w:line="360" w:lineRule="auto"/>
              <w:jc w:val="center"/>
              <w:rPr>
                <w:rFonts w:hint="eastAsia" w:ascii="宋体" w:hAnsi="宋体"/>
                <w:b/>
                <w:color w:val="auto"/>
                <w:sz w:val="24"/>
                <w:szCs w:val="18"/>
                <w:highlight w:val="none"/>
              </w:rPr>
            </w:pPr>
            <w:r>
              <w:rPr>
                <w:rFonts w:hint="eastAsia" w:ascii="宋体" w:hAnsi="宋体"/>
                <w:b/>
                <w:color w:val="auto"/>
                <w:sz w:val="24"/>
                <w:szCs w:val="18"/>
                <w:highlight w:val="none"/>
              </w:rPr>
              <w:t>序号</w:t>
            </w:r>
          </w:p>
        </w:tc>
        <w:tc>
          <w:tcPr>
            <w:tcW w:w="1321" w:type="dxa"/>
            <w:vAlign w:val="center"/>
          </w:tcPr>
          <w:p w14:paraId="2191BD83">
            <w:pPr>
              <w:snapToGrid w:val="0"/>
              <w:spacing w:line="360" w:lineRule="auto"/>
              <w:jc w:val="center"/>
              <w:rPr>
                <w:rFonts w:hint="eastAsia" w:ascii="宋体" w:hAnsi="宋体"/>
                <w:b/>
                <w:color w:val="auto"/>
                <w:sz w:val="24"/>
                <w:szCs w:val="18"/>
                <w:highlight w:val="none"/>
              </w:rPr>
            </w:pPr>
            <w:r>
              <w:rPr>
                <w:rFonts w:hint="eastAsia" w:ascii="宋体" w:hAnsi="宋体"/>
                <w:b/>
                <w:color w:val="auto"/>
                <w:sz w:val="24"/>
                <w:szCs w:val="18"/>
                <w:highlight w:val="none"/>
              </w:rPr>
              <w:t>名称</w:t>
            </w:r>
          </w:p>
        </w:tc>
        <w:tc>
          <w:tcPr>
            <w:tcW w:w="1417" w:type="dxa"/>
            <w:vAlign w:val="center"/>
          </w:tcPr>
          <w:p w14:paraId="6F201E95">
            <w:pPr>
              <w:snapToGrid w:val="0"/>
              <w:spacing w:line="360" w:lineRule="auto"/>
              <w:jc w:val="center"/>
              <w:rPr>
                <w:rFonts w:hint="eastAsia" w:ascii="宋体" w:hAnsi="宋体"/>
                <w:b/>
                <w:color w:val="auto"/>
                <w:sz w:val="24"/>
                <w:szCs w:val="18"/>
                <w:highlight w:val="none"/>
              </w:rPr>
            </w:pPr>
            <w:r>
              <w:rPr>
                <w:rFonts w:hint="eastAsia" w:ascii="宋体" w:hAnsi="宋体"/>
                <w:b/>
                <w:color w:val="auto"/>
                <w:sz w:val="24"/>
                <w:szCs w:val="18"/>
                <w:highlight w:val="none"/>
              </w:rPr>
              <w:t>服务范围</w:t>
            </w:r>
          </w:p>
        </w:tc>
        <w:tc>
          <w:tcPr>
            <w:tcW w:w="1418" w:type="dxa"/>
            <w:vAlign w:val="center"/>
          </w:tcPr>
          <w:p w14:paraId="3E422BB8">
            <w:pPr>
              <w:snapToGrid w:val="0"/>
              <w:spacing w:line="360" w:lineRule="auto"/>
              <w:jc w:val="center"/>
              <w:rPr>
                <w:rFonts w:hint="eastAsia" w:ascii="宋体" w:hAnsi="宋体"/>
                <w:b/>
                <w:color w:val="auto"/>
                <w:sz w:val="24"/>
                <w:szCs w:val="18"/>
                <w:highlight w:val="none"/>
              </w:rPr>
            </w:pPr>
            <w:r>
              <w:rPr>
                <w:rFonts w:hint="eastAsia" w:ascii="宋体" w:hAnsi="宋体"/>
                <w:b/>
                <w:color w:val="auto"/>
                <w:sz w:val="24"/>
                <w:szCs w:val="18"/>
                <w:highlight w:val="none"/>
              </w:rPr>
              <w:t>服务要求</w:t>
            </w:r>
          </w:p>
        </w:tc>
        <w:tc>
          <w:tcPr>
            <w:tcW w:w="1275" w:type="dxa"/>
            <w:vAlign w:val="center"/>
          </w:tcPr>
          <w:p w14:paraId="0B9419C6">
            <w:pPr>
              <w:snapToGrid w:val="0"/>
              <w:spacing w:line="360" w:lineRule="auto"/>
              <w:jc w:val="center"/>
              <w:rPr>
                <w:rFonts w:hint="eastAsia" w:ascii="宋体" w:hAnsi="宋体"/>
                <w:b/>
                <w:color w:val="auto"/>
                <w:sz w:val="24"/>
                <w:szCs w:val="18"/>
                <w:highlight w:val="none"/>
              </w:rPr>
            </w:pPr>
            <w:r>
              <w:rPr>
                <w:rFonts w:hint="eastAsia" w:ascii="宋体" w:hAnsi="宋体"/>
                <w:b/>
                <w:color w:val="auto"/>
                <w:sz w:val="24"/>
                <w:szCs w:val="18"/>
                <w:highlight w:val="none"/>
              </w:rPr>
              <w:t>服务时间</w:t>
            </w:r>
          </w:p>
        </w:tc>
        <w:tc>
          <w:tcPr>
            <w:tcW w:w="1276" w:type="dxa"/>
            <w:vAlign w:val="center"/>
          </w:tcPr>
          <w:p w14:paraId="4BAD71EF">
            <w:pPr>
              <w:snapToGrid w:val="0"/>
              <w:spacing w:line="360" w:lineRule="auto"/>
              <w:jc w:val="center"/>
              <w:rPr>
                <w:rFonts w:hint="eastAsia" w:ascii="宋体" w:hAnsi="宋体"/>
                <w:b/>
                <w:color w:val="auto"/>
                <w:sz w:val="24"/>
                <w:szCs w:val="18"/>
                <w:highlight w:val="none"/>
              </w:rPr>
            </w:pPr>
            <w:r>
              <w:rPr>
                <w:rFonts w:hint="eastAsia" w:ascii="宋体" w:hAnsi="宋体"/>
                <w:b/>
                <w:color w:val="auto"/>
                <w:sz w:val="24"/>
                <w:szCs w:val="18"/>
                <w:highlight w:val="none"/>
              </w:rPr>
              <w:t>服务标准</w:t>
            </w:r>
          </w:p>
        </w:tc>
        <w:tc>
          <w:tcPr>
            <w:tcW w:w="851" w:type="dxa"/>
            <w:vAlign w:val="center"/>
          </w:tcPr>
          <w:p w14:paraId="57F8AFB8">
            <w:pPr>
              <w:snapToGrid w:val="0"/>
              <w:spacing w:line="360" w:lineRule="auto"/>
              <w:jc w:val="center"/>
              <w:rPr>
                <w:rFonts w:hint="eastAsia" w:ascii="宋体" w:hAnsi="宋体"/>
                <w:b/>
                <w:color w:val="auto"/>
                <w:sz w:val="24"/>
                <w:szCs w:val="18"/>
                <w:highlight w:val="none"/>
              </w:rPr>
            </w:pPr>
            <w:r>
              <w:rPr>
                <w:rFonts w:hint="eastAsia" w:ascii="宋体" w:hAnsi="宋体"/>
                <w:b/>
                <w:color w:val="auto"/>
                <w:sz w:val="24"/>
                <w:szCs w:val="18"/>
                <w:highlight w:val="none"/>
              </w:rPr>
              <w:t>金额</w:t>
            </w:r>
          </w:p>
        </w:tc>
        <w:tc>
          <w:tcPr>
            <w:tcW w:w="1151" w:type="dxa"/>
            <w:vAlign w:val="center"/>
          </w:tcPr>
          <w:p w14:paraId="7A7A1423">
            <w:pPr>
              <w:snapToGrid w:val="0"/>
              <w:spacing w:line="360" w:lineRule="auto"/>
              <w:ind w:firstLine="120" w:firstLineChars="50"/>
              <w:jc w:val="center"/>
              <w:rPr>
                <w:rFonts w:hint="eastAsia" w:ascii="宋体" w:hAnsi="宋体"/>
                <w:b/>
                <w:color w:val="auto"/>
                <w:sz w:val="24"/>
                <w:szCs w:val="18"/>
                <w:highlight w:val="none"/>
              </w:rPr>
            </w:pPr>
            <w:r>
              <w:rPr>
                <w:rFonts w:hint="eastAsia" w:ascii="宋体" w:hAnsi="宋体"/>
                <w:b/>
                <w:color w:val="auto"/>
                <w:sz w:val="24"/>
                <w:szCs w:val="18"/>
                <w:highlight w:val="none"/>
              </w:rPr>
              <w:t>备注</w:t>
            </w:r>
          </w:p>
        </w:tc>
      </w:tr>
      <w:tr w14:paraId="7DCD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590A6C80">
            <w:pPr>
              <w:snapToGrid w:val="0"/>
              <w:spacing w:line="360" w:lineRule="auto"/>
              <w:jc w:val="center"/>
              <w:rPr>
                <w:rFonts w:hint="eastAsia" w:ascii="仿宋_GB2312" w:hAnsi="宋体" w:eastAsia="仿宋_GB2312"/>
                <w:color w:val="auto"/>
                <w:szCs w:val="16"/>
                <w:highlight w:val="none"/>
              </w:rPr>
            </w:pPr>
            <w:r>
              <w:rPr>
                <w:rFonts w:hint="eastAsia" w:ascii="仿宋_GB2312" w:hAnsi="宋体" w:eastAsia="仿宋_GB2312"/>
                <w:color w:val="auto"/>
                <w:szCs w:val="16"/>
                <w:highlight w:val="none"/>
              </w:rPr>
              <w:t>1</w:t>
            </w:r>
          </w:p>
        </w:tc>
        <w:tc>
          <w:tcPr>
            <w:tcW w:w="1321" w:type="dxa"/>
            <w:vAlign w:val="center"/>
          </w:tcPr>
          <w:p w14:paraId="7FF1593E">
            <w:pPr>
              <w:snapToGrid w:val="0"/>
              <w:spacing w:line="360" w:lineRule="auto"/>
              <w:jc w:val="center"/>
              <w:rPr>
                <w:rFonts w:hint="eastAsia" w:ascii="仿宋_GB2312" w:hAnsi="宋体" w:eastAsia="仿宋_GB2312"/>
                <w:color w:val="auto"/>
                <w:szCs w:val="16"/>
                <w:highlight w:val="none"/>
              </w:rPr>
            </w:pPr>
          </w:p>
        </w:tc>
        <w:tc>
          <w:tcPr>
            <w:tcW w:w="1417" w:type="dxa"/>
            <w:vAlign w:val="center"/>
          </w:tcPr>
          <w:p w14:paraId="68F98B31">
            <w:pPr>
              <w:snapToGrid w:val="0"/>
              <w:spacing w:line="360" w:lineRule="auto"/>
              <w:jc w:val="center"/>
              <w:rPr>
                <w:rFonts w:hint="eastAsia" w:ascii="仿宋_GB2312" w:hAnsi="宋体" w:eastAsia="仿宋_GB2312"/>
                <w:color w:val="auto"/>
                <w:szCs w:val="16"/>
                <w:highlight w:val="none"/>
              </w:rPr>
            </w:pPr>
          </w:p>
        </w:tc>
        <w:tc>
          <w:tcPr>
            <w:tcW w:w="1418" w:type="dxa"/>
            <w:vAlign w:val="center"/>
          </w:tcPr>
          <w:p w14:paraId="485DD7C1">
            <w:pPr>
              <w:snapToGrid w:val="0"/>
              <w:spacing w:line="360" w:lineRule="auto"/>
              <w:jc w:val="center"/>
              <w:rPr>
                <w:rFonts w:hint="eastAsia" w:ascii="仿宋_GB2312" w:hAnsi="宋体" w:eastAsia="仿宋_GB2312"/>
                <w:color w:val="auto"/>
                <w:szCs w:val="16"/>
                <w:highlight w:val="none"/>
              </w:rPr>
            </w:pPr>
          </w:p>
        </w:tc>
        <w:tc>
          <w:tcPr>
            <w:tcW w:w="1275" w:type="dxa"/>
            <w:vAlign w:val="center"/>
          </w:tcPr>
          <w:p w14:paraId="532AD1BE">
            <w:pPr>
              <w:snapToGrid w:val="0"/>
              <w:spacing w:line="360" w:lineRule="auto"/>
              <w:jc w:val="center"/>
              <w:rPr>
                <w:rFonts w:hint="eastAsia" w:ascii="仿宋_GB2312" w:hAnsi="宋体" w:eastAsia="仿宋_GB2312"/>
                <w:color w:val="auto"/>
                <w:szCs w:val="16"/>
                <w:highlight w:val="none"/>
              </w:rPr>
            </w:pPr>
          </w:p>
        </w:tc>
        <w:tc>
          <w:tcPr>
            <w:tcW w:w="1276" w:type="dxa"/>
            <w:vAlign w:val="center"/>
          </w:tcPr>
          <w:p w14:paraId="2CBD3C91">
            <w:pPr>
              <w:snapToGrid w:val="0"/>
              <w:spacing w:line="360" w:lineRule="auto"/>
              <w:jc w:val="center"/>
              <w:rPr>
                <w:rFonts w:hint="eastAsia" w:ascii="仿宋_GB2312" w:hAnsi="宋体" w:eastAsia="仿宋_GB2312"/>
                <w:color w:val="auto"/>
                <w:szCs w:val="16"/>
                <w:highlight w:val="none"/>
              </w:rPr>
            </w:pPr>
          </w:p>
        </w:tc>
        <w:tc>
          <w:tcPr>
            <w:tcW w:w="851" w:type="dxa"/>
            <w:vAlign w:val="center"/>
          </w:tcPr>
          <w:p w14:paraId="72C958A5">
            <w:pPr>
              <w:snapToGrid w:val="0"/>
              <w:spacing w:line="360" w:lineRule="auto"/>
              <w:jc w:val="center"/>
              <w:rPr>
                <w:rFonts w:hint="eastAsia" w:ascii="仿宋_GB2312" w:hAnsi="宋体" w:eastAsia="仿宋_GB2312"/>
                <w:color w:val="auto"/>
                <w:szCs w:val="16"/>
                <w:highlight w:val="none"/>
              </w:rPr>
            </w:pPr>
          </w:p>
        </w:tc>
        <w:tc>
          <w:tcPr>
            <w:tcW w:w="1151" w:type="dxa"/>
            <w:vAlign w:val="center"/>
          </w:tcPr>
          <w:p w14:paraId="315AA735">
            <w:pPr>
              <w:snapToGrid w:val="0"/>
              <w:spacing w:line="360" w:lineRule="auto"/>
              <w:jc w:val="center"/>
              <w:rPr>
                <w:rFonts w:hint="eastAsia" w:ascii="仿宋_GB2312" w:hAnsi="宋体" w:eastAsia="仿宋_GB2312"/>
                <w:color w:val="auto"/>
                <w:szCs w:val="16"/>
                <w:highlight w:val="none"/>
              </w:rPr>
            </w:pPr>
          </w:p>
        </w:tc>
      </w:tr>
      <w:tr w14:paraId="3A1B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4A0538C2">
            <w:pPr>
              <w:snapToGrid w:val="0"/>
              <w:spacing w:line="360" w:lineRule="auto"/>
              <w:jc w:val="center"/>
              <w:rPr>
                <w:rFonts w:hint="eastAsia" w:ascii="仿宋_GB2312" w:hAnsi="宋体" w:eastAsia="仿宋_GB2312"/>
                <w:color w:val="auto"/>
                <w:szCs w:val="16"/>
                <w:highlight w:val="none"/>
              </w:rPr>
            </w:pPr>
            <w:r>
              <w:rPr>
                <w:rFonts w:hint="eastAsia" w:ascii="仿宋_GB2312" w:hAnsi="宋体" w:eastAsia="仿宋_GB2312"/>
                <w:color w:val="auto"/>
                <w:szCs w:val="16"/>
                <w:highlight w:val="none"/>
              </w:rPr>
              <w:t>2</w:t>
            </w:r>
          </w:p>
        </w:tc>
        <w:tc>
          <w:tcPr>
            <w:tcW w:w="1321" w:type="dxa"/>
            <w:vAlign w:val="center"/>
          </w:tcPr>
          <w:p w14:paraId="455F4A9C">
            <w:pPr>
              <w:snapToGrid w:val="0"/>
              <w:spacing w:line="360" w:lineRule="auto"/>
              <w:jc w:val="center"/>
              <w:rPr>
                <w:rFonts w:hint="eastAsia" w:ascii="仿宋_GB2312" w:hAnsi="宋体" w:eastAsia="仿宋_GB2312"/>
                <w:color w:val="auto"/>
                <w:szCs w:val="16"/>
                <w:highlight w:val="none"/>
              </w:rPr>
            </w:pPr>
          </w:p>
        </w:tc>
        <w:tc>
          <w:tcPr>
            <w:tcW w:w="1417" w:type="dxa"/>
            <w:vAlign w:val="center"/>
          </w:tcPr>
          <w:p w14:paraId="73BE1E3B">
            <w:pPr>
              <w:snapToGrid w:val="0"/>
              <w:spacing w:line="360" w:lineRule="auto"/>
              <w:jc w:val="center"/>
              <w:rPr>
                <w:rFonts w:hint="eastAsia" w:ascii="仿宋_GB2312" w:hAnsi="宋体" w:eastAsia="仿宋_GB2312"/>
                <w:color w:val="auto"/>
                <w:szCs w:val="16"/>
                <w:highlight w:val="none"/>
              </w:rPr>
            </w:pPr>
          </w:p>
        </w:tc>
        <w:tc>
          <w:tcPr>
            <w:tcW w:w="1418" w:type="dxa"/>
            <w:vAlign w:val="center"/>
          </w:tcPr>
          <w:p w14:paraId="5F9ABC49">
            <w:pPr>
              <w:snapToGrid w:val="0"/>
              <w:spacing w:line="360" w:lineRule="auto"/>
              <w:jc w:val="center"/>
              <w:rPr>
                <w:rFonts w:hint="eastAsia" w:ascii="仿宋_GB2312" w:hAnsi="宋体" w:eastAsia="仿宋_GB2312"/>
                <w:color w:val="auto"/>
                <w:szCs w:val="16"/>
                <w:highlight w:val="none"/>
              </w:rPr>
            </w:pPr>
          </w:p>
        </w:tc>
        <w:tc>
          <w:tcPr>
            <w:tcW w:w="1275" w:type="dxa"/>
            <w:vAlign w:val="center"/>
          </w:tcPr>
          <w:p w14:paraId="4E362A4A">
            <w:pPr>
              <w:snapToGrid w:val="0"/>
              <w:spacing w:line="360" w:lineRule="auto"/>
              <w:jc w:val="center"/>
              <w:rPr>
                <w:rFonts w:hint="eastAsia" w:ascii="仿宋_GB2312" w:hAnsi="宋体" w:eastAsia="仿宋_GB2312"/>
                <w:color w:val="auto"/>
                <w:szCs w:val="16"/>
                <w:highlight w:val="none"/>
              </w:rPr>
            </w:pPr>
          </w:p>
        </w:tc>
        <w:tc>
          <w:tcPr>
            <w:tcW w:w="1276" w:type="dxa"/>
            <w:vAlign w:val="center"/>
          </w:tcPr>
          <w:p w14:paraId="0F0136B2">
            <w:pPr>
              <w:snapToGrid w:val="0"/>
              <w:spacing w:line="360" w:lineRule="auto"/>
              <w:jc w:val="center"/>
              <w:rPr>
                <w:rFonts w:hint="eastAsia" w:ascii="仿宋_GB2312" w:hAnsi="宋体" w:eastAsia="仿宋_GB2312"/>
                <w:color w:val="auto"/>
                <w:szCs w:val="16"/>
                <w:highlight w:val="none"/>
              </w:rPr>
            </w:pPr>
          </w:p>
        </w:tc>
        <w:tc>
          <w:tcPr>
            <w:tcW w:w="851" w:type="dxa"/>
            <w:vAlign w:val="center"/>
          </w:tcPr>
          <w:p w14:paraId="3C9C0E06">
            <w:pPr>
              <w:snapToGrid w:val="0"/>
              <w:spacing w:line="360" w:lineRule="auto"/>
              <w:jc w:val="center"/>
              <w:rPr>
                <w:rFonts w:hint="eastAsia" w:ascii="仿宋_GB2312" w:hAnsi="宋体" w:eastAsia="仿宋_GB2312"/>
                <w:color w:val="auto"/>
                <w:szCs w:val="16"/>
                <w:highlight w:val="none"/>
              </w:rPr>
            </w:pPr>
          </w:p>
        </w:tc>
        <w:tc>
          <w:tcPr>
            <w:tcW w:w="1151" w:type="dxa"/>
            <w:vAlign w:val="center"/>
          </w:tcPr>
          <w:p w14:paraId="49D2E155">
            <w:pPr>
              <w:snapToGrid w:val="0"/>
              <w:spacing w:line="360" w:lineRule="auto"/>
              <w:jc w:val="center"/>
              <w:rPr>
                <w:rFonts w:hint="eastAsia" w:ascii="仿宋_GB2312" w:hAnsi="宋体" w:eastAsia="仿宋_GB2312"/>
                <w:color w:val="auto"/>
                <w:szCs w:val="16"/>
                <w:highlight w:val="none"/>
              </w:rPr>
            </w:pPr>
          </w:p>
        </w:tc>
      </w:tr>
      <w:tr w14:paraId="78CB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46A3BD4A">
            <w:pPr>
              <w:snapToGrid w:val="0"/>
              <w:spacing w:line="360" w:lineRule="auto"/>
              <w:jc w:val="center"/>
              <w:rPr>
                <w:rFonts w:hint="eastAsia" w:ascii="仿宋_GB2312" w:hAnsi="宋体" w:eastAsia="仿宋_GB2312"/>
                <w:color w:val="auto"/>
                <w:szCs w:val="16"/>
                <w:highlight w:val="none"/>
              </w:rPr>
            </w:pPr>
            <w:r>
              <w:rPr>
                <w:rFonts w:hint="eastAsia" w:ascii="仿宋_GB2312" w:hAnsi="宋体" w:eastAsia="仿宋_GB2312"/>
                <w:color w:val="auto"/>
                <w:szCs w:val="16"/>
                <w:highlight w:val="none"/>
              </w:rPr>
              <w:t>3</w:t>
            </w:r>
          </w:p>
        </w:tc>
        <w:tc>
          <w:tcPr>
            <w:tcW w:w="1321" w:type="dxa"/>
            <w:vAlign w:val="center"/>
          </w:tcPr>
          <w:p w14:paraId="12A1A052">
            <w:pPr>
              <w:snapToGrid w:val="0"/>
              <w:spacing w:line="360" w:lineRule="auto"/>
              <w:jc w:val="center"/>
              <w:rPr>
                <w:rFonts w:hint="eastAsia" w:ascii="仿宋_GB2312" w:hAnsi="宋体" w:eastAsia="仿宋_GB2312"/>
                <w:color w:val="auto"/>
                <w:szCs w:val="16"/>
                <w:highlight w:val="none"/>
              </w:rPr>
            </w:pPr>
          </w:p>
        </w:tc>
        <w:tc>
          <w:tcPr>
            <w:tcW w:w="1417" w:type="dxa"/>
            <w:vAlign w:val="center"/>
          </w:tcPr>
          <w:p w14:paraId="5D90147F">
            <w:pPr>
              <w:snapToGrid w:val="0"/>
              <w:spacing w:line="360" w:lineRule="auto"/>
              <w:jc w:val="center"/>
              <w:rPr>
                <w:rFonts w:hint="eastAsia" w:ascii="仿宋_GB2312" w:hAnsi="宋体" w:eastAsia="仿宋_GB2312"/>
                <w:color w:val="auto"/>
                <w:szCs w:val="16"/>
                <w:highlight w:val="none"/>
              </w:rPr>
            </w:pPr>
          </w:p>
        </w:tc>
        <w:tc>
          <w:tcPr>
            <w:tcW w:w="1418" w:type="dxa"/>
            <w:vAlign w:val="center"/>
          </w:tcPr>
          <w:p w14:paraId="7B6F3A81">
            <w:pPr>
              <w:snapToGrid w:val="0"/>
              <w:spacing w:line="360" w:lineRule="auto"/>
              <w:jc w:val="center"/>
              <w:rPr>
                <w:rFonts w:hint="eastAsia" w:ascii="仿宋_GB2312" w:hAnsi="宋体" w:eastAsia="仿宋_GB2312"/>
                <w:color w:val="auto"/>
                <w:szCs w:val="16"/>
                <w:highlight w:val="none"/>
              </w:rPr>
            </w:pPr>
          </w:p>
        </w:tc>
        <w:tc>
          <w:tcPr>
            <w:tcW w:w="1275" w:type="dxa"/>
            <w:vAlign w:val="center"/>
          </w:tcPr>
          <w:p w14:paraId="7524560E">
            <w:pPr>
              <w:snapToGrid w:val="0"/>
              <w:spacing w:line="360" w:lineRule="auto"/>
              <w:jc w:val="center"/>
              <w:rPr>
                <w:rFonts w:hint="eastAsia" w:ascii="仿宋_GB2312" w:hAnsi="宋体" w:eastAsia="仿宋_GB2312"/>
                <w:color w:val="auto"/>
                <w:szCs w:val="16"/>
                <w:highlight w:val="none"/>
              </w:rPr>
            </w:pPr>
          </w:p>
        </w:tc>
        <w:tc>
          <w:tcPr>
            <w:tcW w:w="1276" w:type="dxa"/>
            <w:vAlign w:val="center"/>
          </w:tcPr>
          <w:p w14:paraId="0E064635">
            <w:pPr>
              <w:snapToGrid w:val="0"/>
              <w:spacing w:line="360" w:lineRule="auto"/>
              <w:jc w:val="center"/>
              <w:rPr>
                <w:rFonts w:hint="eastAsia" w:ascii="仿宋_GB2312" w:hAnsi="宋体" w:eastAsia="仿宋_GB2312"/>
                <w:color w:val="auto"/>
                <w:szCs w:val="16"/>
                <w:highlight w:val="none"/>
              </w:rPr>
            </w:pPr>
          </w:p>
        </w:tc>
        <w:tc>
          <w:tcPr>
            <w:tcW w:w="851" w:type="dxa"/>
            <w:vAlign w:val="center"/>
          </w:tcPr>
          <w:p w14:paraId="21C0211E">
            <w:pPr>
              <w:snapToGrid w:val="0"/>
              <w:spacing w:line="360" w:lineRule="auto"/>
              <w:jc w:val="center"/>
              <w:rPr>
                <w:rFonts w:hint="eastAsia" w:ascii="仿宋_GB2312" w:hAnsi="宋体" w:eastAsia="仿宋_GB2312"/>
                <w:color w:val="auto"/>
                <w:szCs w:val="16"/>
                <w:highlight w:val="none"/>
              </w:rPr>
            </w:pPr>
          </w:p>
        </w:tc>
        <w:tc>
          <w:tcPr>
            <w:tcW w:w="1151" w:type="dxa"/>
            <w:vAlign w:val="center"/>
          </w:tcPr>
          <w:p w14:paraId="62C348C6">
            <w:pPr>
              <w:snapToGrid w:val="0"/>
              <w:spacing w:line="360" w:lineRule="auto"/>
              <w:jc w:val="center"/>
              <w:rPr>
                <w:rFonts w:hint="eastAsia" w:ascii="仿宋_GB2312" w:hAnsi="宋体" w:eastAsia="仿宋_GB2312"/>
                <w:color w:val="auto"/>
                <w:szCs w:val="16"/>
                <w:highlight w:val="none"/>
              </w:rPr>
            </w:pPr>
          </w:p>
        </w:tc>
      </w:tr>
      <w:tr w14:paraId="5061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3AECD82F">
            <w:pPr>
              <w:snapToGrid w:val="0"/>
              <w:spacing w:line="360" w:lineRule="auto"/>
              <w:jc w:val="center"/>
              <w:rPr>
                <w:rFonts w:hint="eastAsia" w:ascii="仿宋_GB2312" w:hAnsi="宋体" w:eastAsia="仿宋_GB2312"/>
                <w:color w:val="auto"/>
                <w:szCs w:val="16"/>
                <w:highlight w:val="none"/>
              </w:rPr>
            </w:pPr>
            <w:r>
              <w:rPr>
                <w:rFonts w:hint="eastAsia" w:ascii="仿宋_GB2312" w:hAnsi="宋体" w:eastAsia="仿宋_GB2312"/>
                <w:color w:val="auto"/>
                <w:szCs w:val="16"/>
                <w:highlight w:val="none"/>
              </w:rPr>
              <w:t>4</w:t>
            </w:r>
          </w:p>
        </w:tc>
        <w:tc>
          <w:tcPr>
            <w:tcW w:w="1321" w:type="dxa"/>
            <w:vAlign w:val="center"/>
          </w:tcPr>
          <w:p w14:paraId="2B2E5D37">
            <w:pPr>
              <w:snapToGrid w:val="0"/>
              <w:spacing w:line="360" w:lineRule="auto"/>
              <w:jc w:val="center"/>
              <w:rPr>
                <w:rFonts w:hint="eastAsia" w:ascii="仿宋_GB2312" w:hAnsi="宋体" w:eastAsia="仿宋_GB2312"/>
                <w:color w:val="auto"/>
                <w:szCs w:val="16"/>
                <w:highlight w:val="none"/>
              </w:rPr>
            </w:pPr>
          </w:p>
        </w:tc>
        <w:tc>
          <w:tcPr>
            <w:tcW w:w="1417" w:type="dxa"/>
            <w:vAlign w:val="center"/>
          </w:tcPr>
          <w:p w14:paraId="2CBACE2A">
            <w:pPr>
              <w:snapToGrid w:val="0"/>
              <w:spacing w:line="360" w:lineRule="auto"/>
              <w:jc w:val="center"/>
              <w:rPr>
                <w:rFonts w:hint="eastAsia" w:ascii="仿宋_GB2312" w:hAnsi="宋体" w:eastAsia="仿宋_GB2312"/>
                <w:color w:val="auto"/>
                <w:szCs w:val="16"/>
                <w:highlight w:val="none"/>
              </w:rPr>
            </w:pPr>
          </w:p>
        </w:tc>
        <w:tc>
          <w:tcPr>
            <w:tcW w:w="1418" w:type="dxa"/>
            <w:vAlign w:val="center"/>
          </w:tcPr>
          <w:p w14:paraId="1583EA2A">
            <w:pPr>
              <w:snapToGrid w:val="0"/>
              <w:spacing w:line="360" w:lineRule="auto"/>
              <w:jc w:val="center"/>
              <w:rPr>
                <w:rFonts w:hint="eastAsia" w:ascii="仿宋_GB2312" w:hAnsi="宋体" w:eastAsia="仿宋_GB2312"/>
                <w:color w:val="auto"/>
                <w:szCs w:val="16"/>
                <w:highlight w:val="none"/>
              </w:rPr>
            </w:pPr>
          </w:p>
        </w:tc>
        <w:tc>
          <w:tcPr>
            <w:tcW w:w="1275" w:type="dxa"/>
            <w:vAlign w:val="center"/>
          </w:tcPr>
          <w:p w14:paraId="00BB1CFC">
            <w:pPr>
              <w:snapToGrid w:val="0"/>
              <w:spacing w:line="360" w:lineRule="auto"/>
              <w:jc w:val="center"/>
              <w:rPr>
                <w:rFonts w:hint="eastAsia" w:ascii="仿宋_GB2312" w:hAnsi="宋体" w:eastAsia="仿宋_GB2312"/>
                <w:color w:val="auto"/>
                <w:szCs w:val="16"/>
                <w:highlight w:val="none"/>
              </w:rPr>
            </w:pPr>
          </w:p>
        </w:tc>
        <w:tc>
          <w:tcPr>
            <w:tcW w:w="1276" w:type="dxa"/>
            <w:vAlign w:val="center"/>
          </w:tcPr>
          <w:p w14:paraId="2553AD37">
            <w:pPr>
              <w:snapToGrid w:val="0"/>
              <w:spacing w:line="360" w:lineRule="auto"/>
              <w:jc w:val="center"/>
              <w:rPr>
                <w:rFonts w:hint="eastAsia" w:ascii="仿宋_GB2312" w:hAnsi="宋体" w:eastAsia="仿宋_GB2312"/>
                <w:color w:val="auto"/>
                <w:szCs w:val="16"/>
                <w:highlight w:val="none"/>
              </w:rPr>
            </w:pPr>
          </w:p>
        </w:tc>
        <w:tc>
          <w:tcPr>
            <w:tcW w:w="851" w:type="dxa"/>
            <w:vAlign w:val="center"/>
          </w:tcPr>
          <w:p w14:paraId="1628DD44">
            <w:pPr>
              <w:snapToGrid w:val="0"/>
              <w:spacing w:line="360" w:lineRule="auto"/>
              <w:jc w:val="center"/>
              <w:rPr>
                <w:rFonts w:hint="eastAsia" w:ascii="仿宋_GB2312" w:hAnsi="宋体" w:eastAsia="仿宋_GB2312"/>
                <w:color w:val="auto"/>
                <w:szCs w:val="16"/>
                <w:highlight w:val="none"/>
              </w:rPr>
            </w:pPr>
          </w:p>
        </w:tc>
        <w:tc>
          <w:tcPr>
            <w:tcW w:w="1151" w:type="dxa"/>
            <w:vAlign w:val="center"/>
          </w:tcPr>
          <w:p w14:paraId="38BD4738">
            <w:pPr>
              <w:snapToGrid w:val="0"/>
              <w:spacing w:line="360" w:lineRule="auto"/>
              <w:jc w:val="center"/>
              <w:rPr>
                <w:rFonts w:hint="eastAsia" w:ascii="仿宋_GB2312" w:hAnsi="宋体" w:eastAsia="仿宋_GB2312"/>
                <w:color w:val="auto"/>
                <w:szCs w:val="16"/>
                <w:highlight w:val="none"/>
              </w:rPr>
            </w:pPr>
          </w:p>
        </w:tc>
      </w:tr>
      <w:tr w14:paraId="1372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589EB8F5">
            <w:pPr>
              <w:snapToGrid w:val="0"/>
              <w:spacing w:line="360" w:lineRule="auto"/>
              <w:jc w:val="center"/>
              <w:rPr>
                <w:rFonts w:hint="eastAsia" w:ascii="仿宋_GB2312" w:hAnsi="宋体" w:eastAsia="仿宋_GB2312"/>
                <w:color w:val="auto"/>
                <w:szCs w:val="16"/>
                <w:highlight w:val="none"/>
              </w:rPr>
            </w:pPr>
          </w:p>
        </w:tc>
        <w:tc>
          <w:tcPr>
            <w:tcW w:w="1321" w:type="dxa"/>
            <w:vAlign w:val="center"/>
          </w:tcPr>
          <w:p w14:paraId="5C2A7C06">
            <w:pPr>
              <w:snapToGrid w:val="0"/>
              <w:spacing w:line="360" w:lineRule="auto"/>
              <w:jc w:val="center"/>
              <w:rPr>
                <w:rFonts w:hint="eastAsia" w:ascii="仿宋_GB2312" w:hAnsi="宋体" w:eastAsia="仿宋_GB2312"/>
                <w:color w:val="auto"/>
                <w:szCs w:val="16"/>
                <w:highlight w:val="none"/>
              </w:rPr>
            </w:pPr>
          </w:p>
        </w:tc>
        <w:tc>
          <w:tcPr>
            <w:tcW w:w="1417" w:type="dxa"/>
            <w:vAlign w:val="center"/>
          </w:tcPr>
          <w:p w14:paraId="64E4D708">
            <w:pPr>
              <w:snapToGrid w:val="0"/>
              <w:spacing w:line="360" w:lineRule="auto"/>
              <w:jc w:val="center"/>
              <w:rPr>
                <w:rFonts w:hint="eastAsia" w:ascii="仿宋_GB2312" w:hAnsi="宋体" w:eastAsia="仿宋_GB2312"/>
                <w:color w:val="auto"/>
                <w:szCs w:val="16"/>
                <w:highlight w:val="none"/>
              </w:rPr>
            </w:pPr>
          </w:p>
        </w:tc>
        <w:tc>
          <w:tcPr>
            <w:tcW w:w="1418" w:type="dxa"/>
            <w:vAlign w:val="center"/>
          </w:tcPr>
          <w:p w14:paraId="3A1A3A7A">
            <w:pPr>
              <w:snapToGrid w:val="0"/>
              <w:spacing w:line="360" w:lineRule="auto"/>
              <w:jc w:val="center"/>
              <w:rPr>
                <w:rFonts w:hint="eastAsia" w:ascii="仿宋_GB2312" w:hAnsi="宋体" w:eastAsia="仿宋_GB2312"/>
                <w:color w:val="auto"/>
                <w:szCs w:val="16"/>
                <w:highlight w:val="none"/>
              </w:rPr>
            </w:pPr>
          </w:p>
        </w:tc>
        <w:tc>
          <w:tcPr>
            <w:tcW w:w="1275" w:type="dxa"/>
            <w:vAlign w:val="center"/>
          </w:tcPr>
          <w:p w14:paraId="1B423BBB">
            <w:pPr>
              <w:snapToGrid w:val="0"/>
              <w:spacing w:line="360" w:lineRule="auto"/>
              <w:jc w:val="center"/>
              <w:rPr>
                <w:rFonts w:hint="eastAsia" w:ascii="仿宋_GB2312" w:hAnsi="宋体" w:eastAsia="仿宋_GB2312"/>
                <w:color w:val="auto"/>
                <w:szCs w:val="16"/>
                <w:highlight w:val="none"/>
              </w:rPr>
            </w:pPr>
          </w:p>
        </w:tc>
        <w:tc>
          <w:tcPr>
            <w:tcW w:w="1276" w:type="dxa"/>
            <w:vAlign w:val="center"/>
          </w:tcPr>
          <w:p w14:paraId="56FA2D81">
            <w:pPr>
              <w:snapToGrid w:val="0"/>
              <w:spacing w:line="360" w:lineRule="auto"/>
              <w:jc w:val="center"/>
              <w:rPr>
                <w:rFonts w:hint="eastAsia" w:ascii="仿宋_GB2312" w:hAnsi="宋体" w:eastAsia="仿宋_GB2312"/>
                <w:color w:val="auto"/>
                <w:szCs w:val="16"/>
                <w:highlight w:val="none"/>
              </w:rPr>
            </w:pPr>
          </w:p>
        </w:tc>
        <w:tc>
          <w:tcPr>
            <w:tcW w:w="851" w:type="dxa"/>
            <w:vAlign w:val="center"/>
          </w:tcPr>
          <w:p w14:paraId="56B08D05">
            <w:pPr>
              <w:snapToGrid w:val="0"/>
              <w:spacing w:line="360" w:lineRule="auto"/>
              <w:jc w:val="center"/>
              <w:rPr>
                <w:rFonts w:hint="eastAsia" w:ascii="仿宋_GB2312" w:hAnsi="宋体" w:eastAsia="仿宋_GB2312"/>
                <w:color w:val="auto"/>
                <w:szCs w:val="16"/>
                <w:highlight w:val="none"/>
              </w:rPr>
            </w:pPr>
          </w:p>
        </w:tc>
        <w:tc>
          <w:tcPr>
            <w:tcW w:w="1151" w:type="dxa"/>
            <w:vAlign w:val="center"/>
          </w:tcPr>
          <w:p w14:paraId="4E1EECE1">
            <w:pPr>
              <w:snapToGrid w:val="0"/>
              <w:spacing w:line="360" w:lineRule="auto"/>
              <w:jc w:val="center"/>
              <w:rPr>
                <w:rFonts w:hint="eastAsia" w:ascii="仿宋_GB2312" w:hAnsi="宋体" w:eastAsia="仿宋_GB2312"/>
                <w:color w:val="auto"/>
                <w:szCs w:val="16"/>
                <w:highlight w:val="none"/>
              </w:rPr>
            </w:pPr>
          </w:p>
        </w:tc>
      </w:tr>
      <w:tr w14:paraId="4726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252AC084">
            <w:pPr>
              <w:snapToGrid w:val="0"/>
              <w:spacing w:line="360" w:lineRule="auto"/>
              <w:jc w:val="center"/>
              <w:rPr>
                <w:rFonts w:hint="eastAsia" w:ascii="仿宋_GB2312" w:hAnsi="宋体" w:eastAsia="仿宋_GB2312"/>
                <w:color w:val="auto"/>
                <w:szCs w:val="16"/>
                <w:highlight w:val="none"/>
              </w:rPr>
            </w:pPr>
            <w:r>
              <w:rPr>
                <w:rFonts w:hint="eastAsia" w:ascii="仿宋_GB2312" w:hAnsi="宋体" w:eastAsia="仿宋_GB2312"/>
                <w:color w:val="auto"/>
                <w:szCs w:val="16"/>
                <w:highlight w:val="none"/>
              </w:rPr>
              <w:t>合计</w:t>
            </w:r>
          </w:p>
        </w:tc>
        <w:tc>
          <w:tcPr>
            <w:tcW w:w="8709" w:type="dxa"/>
            <w:gridSpan w:val="7"/>
            <w:vAlign w:val="center"/>
          </w:tcPr>
          <w:p w14:paraId="74283FD9">
            <w:pPr>
              <w:snapToGrid w:val="0"/>
              <w:spacing w:line="360" w:lineRule="auto"/>
              <w:jc w:val="center"/>
              <w:rPr>
                <w:rFonts w:hint="eastAsia" w:ascii="仿宋_GB2312" w:hAnsi="宋体" w:eastAsia="仿宋_GB2312"/>
                <w:color w:val="auto"/>
                <w:szCs w:val="16"/>
                <w:highlight w:val="none"/>
              </w:rPr>
            </w:pPr>
          </w:p>
        </w:tc>
      </w:tr>
    </w:tbl>
    <w:p w14:paraId="2497D3DE">
      <w:pPr>
        <w:pStyle w:val="2"/>
        <w:rPr>
          <w:color w:val="auto"/>
          <w:highlight w:val="none"/>
        </w:rPr>
      </w:pPr>
    </w:p>
    <w:p w14:paraId="6FA7B094">
      <w:pPr>
        <w:spacing w:line="360" w:lineRule="auto"/>
        <w:rPr>
          <w:rFonts w:hint="eastAsia" w:ascii="宋体" w:hAnsi="宋体" w:cs="宋体"/>
          <w:color w:val="auto"/>
          <w:kern w:val="0"/>
          <w:sz w:val="28"/>
          <w:szCs w:val="28"/>
          <w:highlight w:val="none"/>
          <w:u w:val="single"/>
        </w:rPr>
      </w:pPr>
      <w:r>
        <w:rPr>
          <w:rFonts w:hint="eastAsia" w:ascii="宋体" w:hAnsi="宋体" w:cs="宋体"/>
          <w:color w:val="auto"/>
          <w:kern w:val="0"/>
          <w:sz w:val="28"/>
          <w:szCs w:val="28"/>
          <w:highlight w:val="none"/>
        </w:rPr>
        <w:t>供应商全称（加盖公章）：</w:t>
      </w:r>
    </w:p>
    <w:p w14:paraId="1B512CC4">
      <w:pPr>
        <w:snapToGrid w:val="0"/>
        <w:spacing w:line="360" w:lineRule="auto"/>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日期：</w:t>
      </w:r>
    </w:p>
    <w:p w14:paraId="6C8E19E3">
      <w:pPr>
        <w:snapToGrid w:val="0"/>
        <w:spacing w:line="360" w:lineRule="auto"/>
        <w:jc w:val="left"/>
        <w:rPr>
          <w:rFonts w:hint="eastAsia" w:ascii="宋体" w:hAnsi="宋体" w:cs="宋体"/>
          <w:color w:val="auto"/>
          <w:sz w:val="32"/>
          <w:szCs w:val="32"/>
          <w:highlight w:val="none"/>
        </w:rPr>
      </w:pPr>
    </w:p>
    <w:p w14:paraId="0F2E222B">
      <w:pPr>
        <w:snapToGrid w:val="0"/>
        <w:spacing w:line="360" w:lineRule="auto"/>
        <w:jc w:val="left"/>
        <w:rPr>
          <w:rFonts w:hint="eastAsia" w:ascii="宋体" w:hAnsi="宋体" w:cs="宋体"/>
          <w:color w:val="auto"/>
          <w:kern w:val="0"/>
          <w:sz w:val="32"/>
          <w:szCs w:val="32"/>
          <w:highlight w:val="none"/>
        </w:rPr>
      </w:pPr>
      <w:r>
        <w:rPr>
          <w:rFonts w:hint="eastAsia" w:ascii="宋体" w:hAnsi="宋体" w:cs="宋体"/>
          <w:color w:val="auto"/>
          <w:sz w:val="32"/>
          <w:szCs w:val="32"/>
          <w:highlight w:val="none"/>
          <w:lang w:val="en-US" w:eastAsia="zh-CN"/>
        </w:rPr>
        <w:t>注:请结合采购文件项目需求填报。</w:t>
      </w:r>
      <w:r>
        <w:rPr>
          <w:rFonts w:hint="eastAsia" w:ascii="宋体" w:hAnsi="宋体" w:cs="宋体"/>
          <w:color w:val="auto"/>
          <w:sz w:val="32"/>
          <w:szCs w:val="32"/>
          <w:highlight w:val="none"/>
        </w:rPr>
        <w:br w:type="page"/>
      </w:r>
      <w:r>
        <w:rPr>
          <w:rFonts w:hint="eastAsia" w:ascii="宋体" w:hAnsi="宋体" w:cs="宋体"/>
          <w:color w:val="auto"/>
          <w:kern w:val="0"/>
          <w:sz w:val="32"/>
          <w:szCs w:val="32"/>
          <w:highlight w:val="none"/>
        </w:rPr>
        <w:t>附件6</w:t>
      </w:r>
    </w:p>
    <w:p w14:paraId="77E17D98">
      <w:pPr>
        <w:spacing w:before="24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供应商信用承诺书</w:t>
      </w:r>
    </w:p>
    <w:p w14:paraId="209C3658">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为营造公开、公平、公正的公共资源交易环境，树立诚信守法的供应商形象，本人代表本单位作出以下承诺：</w:t>
      </w:r>
    </w:p>
    <w:p w14:paraId="23DD86D7">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048ABAC7">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二、严格依照国家和省、市、县关于政府采购等方面的法律、法规、规章、规范性文件，参加</w:t>
      </w:r>
      <w:r>
        <w:rPr>
          <w:rFonts w:hint="eastAsia" w:ascii="宋体" w:hAnsi="宋体" w:cs="宋体"/>
          <w:color w:val="auto"/>
          <w:kern w:val="0"/>
          <w:sz w:val="24"/>
          <w:highlight w:val="none"/>
        </w:rPr>
        <w:t>采购人组织的</w:t>
      </w:r>
      <w:r>
        <w:rPr>
          <w:rFonts w:hint="eastAsia" w:ascii="宋体" w:hAnsi="宋体" w:cs="宋体"/>
          <w:color w:val="auto"/>
          <w:kern w:val="0"/>
          <w:sz w:val="24"/>
          <w:highlight w:val="none"/>
          <w:lang w:val="zh-CN"/>
        </w:rPr>
        <w:t>招标投标活动；积极履行社会责任，促进廉政建设；</w:t>
      </w:r>
    </w:p>
    <w:p w14:paraId="592C2182">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三、严格遵守即时信息公示规定，及时更新公共资源交易中心主体信息库中信息；</w:t>
      </w:r>
    </w:p>
    <w:p w14:paraId="0D0E616E">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四、自我约束、自我管理，守合同、重信用，不参与围标串标、弄虚作假、骗取成交、干扰评标、违约毁约、恶意投诉等行为，主动维护公共资源交易招标投标的良好秩序；</w:t>
      </w:r>
    </w:p>
    <w:p w14:paraId="7BBC6D55">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06BB54D0">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六、自觉接受政府部门、行业组织、社会公众、新闻舆论等监督；</w:t>
      </w:r>
    </w:p>
    <w:p w14:paraId="5BB157A6">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七、上述承诺已向本单位员工作了宣传教育；</w:t>
      </w:r>
    </w:p>
    <w:p w14:paraId="3D7C5BF6">
      <w:pPr>
        <w:tabs>
          <w:tab w:val="left" w:pos="4860"/>
        </w:tabs>
        <w:spacing w:line="360" w:lineRule="auto"/>
        <w:ind w:right="1560"/>
        <w:jc w:val="left"/>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如有违反上述承诺的不良行为，本单位同意将其予以上网公示。</w:t>
      </w:r>
    </w:p>
    <w:p w14:paraId="66E0D258">
      <w:pPr>
        <w:spacing w:line="360" w:lineRule="auto"/>
        <w:ind w:firstLine="3080" w:firstLineChars="11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59F25BF9">
      <w:pPr>
        <w:spacing w:line="360" w:lineRule="auto"/>
        <w:ind w:firstLine="3080" w:firstLineChars="1100"/>
        <w:rPr>
          <w:rFonts w:hint="eastAsia" w:ascii="宋体" w:hAnsi="宋体" w:cs="宋体"/>
          <w:color w:val="auto"/>
          <w:kern w:val="0"/>
          <w:sz w:val="28"/>
          <w:szCs w:val="28"/>
          <w:highlight w:val="none"/>
          <w:u w:val="single"/>
          <w:lang w:val="zh-CN"/>
        </w:rPr>
      </w:pPr>
      <w:r>
        <w:rPr>
          <w:rFonts w:hint="eastAsia" w:ascii="宋体" w:hAnsi="宋体" w:cs="宋体"/>
          <w:color w:val="auto"/>
          <w:kern w:val="0"/>
          <w:sz w:val="28"/>
          <w:szCs w:val="28"/>
          <w:highlight w:val="none"/>
          <w:lang w:val="zh-CN"/>
        </w:rPr>
        <w:t>投标供应商全称(盖公章)：</w:t>
      </w:r>
    </w:p>
    <w:p w14:paraId="41BF4FC6">
      <w:pPr>
        <w:spacing w:line="360" w:lineRule="auto"/>
        <w:ind w:firstLine="3080" w:firstLineChars="1100"/>
        <w:rPr>
          <w:rFonts w:hint="eastAsia" w:ascii="宋体" w:hAnsi="宋体" w:cs="宋体"/>
          <w:color w:val="auto"/>
          <w:sz w:val="28"/>
          <w:szCs w:val="28"/>
          <w:highlight w:val="none"/>
          <w:u w:val="single"/>
          <w:lang w:val="zh-CN"/>
        </w:rPr>
      </w:pPr>
      <w:r>
        <w:rPr>
          <w:rFonts w:hint="eastAsia" w:ascii="宋体" w:hAnsi="宋体" w:cs="宋体"/>
          <w:color w:val="auto"/>
          <w:kern w:val="0"/>
          <w:sz w:val="28"/>
          <w:szCs w:val="28"/>
          <w:highlight w:val="none"/>
          <w:lang w:val="zh-CN"/>
        </w:rPr>
        <w:t>法定代表人（签字或盖章）：</w:t>
      </w:r>
    </w:p>
    <w:p w14:paraId="6364437B">
      <w:pPr>
        <w:spacing w:line="360" w:lineRule="auto"/>
        <w:ind w:firstLine="3080" w:firstLineChars="1100"/>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时间：  年  月   日</w:t>
      </w:r>
    </w:p>
    <w:p w14:paraId="187DBCBF">
      <w:pPr>
        <w:spacing w:line="360" w:lineRule="auto"/>
        <w:rPr>
          <w:rFonts w:hint="eastAsia" w:ascii="宋体" w:hAnsi="宋体" w:cs="宋体"/>
          <w:color w:val="auto"/>
          <w:highlight w:val="none"/>
        </w:rPr>
      </w:pPr>
    </w:p>
    <w:p w14:paraId="2ABEB6EB">
      <w:pPr>
        <w:spacing w:line="360" w:lineRule="auto"/>
        <w:rPr>
          <w:rFonts w:hint="eastAsia" w:ascii="宋体" w:hAnsi="宋体" w:cs="宋体"/>
          <w:color w:val="auto"/>
          <w:highlight w:val="none"/>
        </w:rPr>
      </w:pPr>
    </w:p>
    <w:p w14:paraId="717C0C71">
      <w:pPr>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color w:val="auto"/>
          <w:sz w:val="32"/>
          <w:szCs w:val="32"/>
          <w:highlight w:val="none"/>
        </w:rPr>
        <w:t>附件7</w:t>
      </w:r>
    </w:p>
    <w:p w14:paraId="3EF6384C">
      <w:pPr>
        <w:spacing w:line="360" w:lineRule="auto"/>
        <w:jc w:val="center"/>
        <w:rPr>
          <w:rFonts w:hint="eastAsia" w:ascii="宋体" w:hAnsi="宋体" w:cs="宋体"/>
          <w:bCs/>
          <w:color w:val="auto"/>
          <w:sz w:val="40"/>
          <w:szCs w:val="40"/>
          <w:highlight w:val="none"/>
        </w:rPr>
      </w:pPr>
      <w:r>
        <w:rPr>
          <w:rFonts w:hint="eastAsia" w:ascii="宋体" w:hAnsi="宋体" w:cs="宋体"/>
          <w:bCs/>
          <w:color w:val="auto"/>
          <w:sz w:val="40"/>
          <w:szCs w:val="40"/>
          <w:highlight w:val="none"/>
        </w:rPr>
        <w:t>质疑函范本</w:t>
      </w:r>
    </w:p>
    <w:p w14:paraId="06DA8F29">
      <w:pPr>
        <w:adjustRightInd w:val="0"/>
        <w:snapToGrid w:val="0"/>
        <w:spacing w:before="240" w:beforeLines="100" w:line="360" w:lineRule="auto"/>
        <w:rPr>
          <w:rFonts w:hint="eastAsia" w:ascii="宋体" w:hAnsi="宋体" w:cs="宋体"/>
          <w:bCs/>
          <w:color w:val="auto"/>
          <w:sz w:val="28"/>
          <w:szCs w:val="28"/>
          <w:highlight w:val="none"/>
        </w:rPr>
      </w:pPr>
      <w:r>
        <w:rPr>
          <w:rFonts w:hint="eastAsia" w:ascii="宋体" w:hAnsi="宋体" w:cs="宋体"/>
          <w:bCs/>
          <w:color w:val="auto"/>
          <w:sz w:val="28"/>
          <w:szCs w:val="28"/>
          <w:highlight w:val="none"/>
        </w:rPr>
        <w:t>一、质疑供应商基本信息</w:t>
      </w:r>
    </w:p>
    <w:p w14:paraId="09B2B951">
      <w:pPr>
        <w:adjustRightInd w:val="0"/>
        <w:snapToGrid w:val="0"/>
        <w:spacing w:line="360" w:lineRule="auto"/>
        <w:rPr>
          <w:rFonts w:hint="eastAsia" w:ascii="宋体" w:hAnsi="宋体" w:cs="宋体"/>
          <w:color w:val="auto"/>
          <w:sz w:val="28"/>
          <w:szCs w:val="28"/>
          <w:highlight w:val="none"/>
          <w:u w:val="dotted"/>
        </w:rPr>
      </w:pPr>
      <w:r>
        <w:rPr>
          <w:rFonts w:hint="eastAsia" w:ascii="宋体" w:hAnsi="宋体" w:cs="宋体"/>
          <w:color w:val="auto"/>
          <w:sz w:val="28"/>
          <w:szCs w:val="28"/>
          <w:highlight w:val="none"/>
        </w:rPr>
        <w:t>质疑供应商：</w:t>
      </w:r>
    </w:p>
    <w:p w14:paraId="287C0C5A">
      <w:pPr>
        <w:adjustRightInd w:val="0"/>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地址：邮编：</w:t>
      </w:r>
    </w:p>
    <w:p w14:paraId="39F2ADD1">
      <w:pPr>
        <w:adjustRightInd w:val="0"/>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联系人：联系电话：</w:t>
      </w:r>
    </w:p>
    <w:p w14:paraId="2E02EB97">
      <w:pPr>
        <w:adjustRightInd w:val="0"/>
        <w:snapToGrid w:val="0"/>
        <w:spacing w:line="360" w:lineRule="auto"/>
        <w:rPr>
          <w:rFonts w:hint="eastAsia" w:ascii="宋体" w:hAnsi="宋体" w:cs="宋体"/>
          <w:color w:val="auto"/>
          <w:sz w:val="28"/>
          <w:szCs w:val="28"/>
          <w:highlight w:val="none"/>
          <w:u w:val="dotted"/>
        </w:rPr>
      </w:pPr>
      <w:r>
        <w:rPr>
          <w:rFonts w:hint="eastAsia" w:ascii="宋体" w:hAnsi="宋体" w:cs="宋体"/>
          <w:color w:val="auto"/>
          <w:sz w:val="28"/>
          <w:szCs w:val="28"/>
          <w:highlight w:val="none"/>
        </w:rPr>
        <w:t>授权代表：</w:t>
      </w:r>
    </w:p>
    <w:p w14:paraId="4114D054">
      <w:pPr>
        <w:adjustRightInd w:val="0"/>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联系电话：</w:t>
      </w:r>
    </w:p>
    <w:p w14:paraId="56890380">
      <w:pPr>
        <w:adjustRightInd w:val="0"/>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地址：邮编：</w:t>
      </w:r>
    </w:p>
    <w:p w14:paraId="61582F4C">
      <w:pPr>
        <w:adjustRightInd w:val="0"/>
        <w:snapToGrid w:val="0"/>
        <w:spacing w:line="360" w:lineRule="auto"/>
        <w:rPr>
          <w:rFonts w:hint="eastAsia" w:ascii="宋体" w:hAnsi="宋体" w:cs="宋体"/>
          <w:bCs/>
          <w:color w:val="auto"/>
          <w:sz w:val="28"/>
          <w:szCs w:val="28"/>
          <w:highlight w:val="none"/>
        </w:rPr>
      </w:pPr>
      <w:r>
        <w:rPr>
          <w:rFonts w:hint="eastAsia" w:ascii="宋体" w:hAnsi="宋体" w:cs="宋体"/>
          <w:bCs/>
          <w:color w:val="auto"/>
          <w:sz w:val="28"/>
          <w:szCs w:val="28"/>
          <w:highlight w:val="none"/>
        </w:rPr>
        <w:t>二、质疑项目基本情况</w:t>
      </w:r>
    </w:p>
    <w:p w14:paraId="0F1B62BC">
      <w:pPr>
        <w:adjustRightInd w:val="0"/>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质疑项目的名称：</w:t>
      </w:r>
    </w:p>
    <w:p w14:paraId="28A77DE5">
      <w:pPr>
        <w:adjustRightInd w:val="0"/>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质疑项目的编号：包号：</w:t>
      </w:r>
    </w:p>
    <w:p w14:paraId="3C958B7D">
      <w:pPr>
        <w:adjustRightInd w:val="0"/>
        <w:snapToGrid w:val="0"/>
        <w:spacing w:line="360" w:lineRule="auto"/>
        <w:rPr>
          <w:rFonts w:hint="eastAsia" w:ascii="宋体" w:hAnsi="宋体" w:cs="宋体"/>
          <w:color w:val="auto"/>
          <w:sz w:val="28"/>
          <w:szCs w:val="28"/>
          <w:highlight w:val="none"/>
          <w:u w:val="dotted"/>
        </w:rPr>
      </w:pPr>
      <w:r>
        <w:rPr>
          <w:rFonts w:hint="eastAsia" w:ascii="宋体" w:hAnsi="宋体" w:cs="宋体"/>
          <w:color w:val="auto"/>
          <w:sz w:val="28"/>
          <w:szCs w:val="28"/>
          <w:highlight w:val="none"/>
        </w:rPr>
        <w:t>采购人名称：</w:t>
      </w:r>
    </w:p>
    <w:p w14:paraId="50151752">
      <w:pPr>
        <w:adjustRightInd w:val="0"/>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采购文件获取日期：</w:t>
      </w:r>
    </w:p>
    <w:p w14:paraId="542C879E">
      <w:pPr>
        <w:adjustRightInd w:val="0"/>
        <w:snapToGrid w:val="0"/>
        <w:spacing w:line="360" w:lineRule="auto"/>
        <w:rPr>
          <w:rFonts w:hint="eastAsia" w:ascii="宋体" w:hAnsi="宋体" w:cs="宋体"/>
          <w:bCs/>
          <w:color w:val="auto"/>
          <w:sz w:val="28"/>
          <w:szCs w:val="28"/>
          <w:highlight w:val="none"/>
        </w:rPr>
      </w:pPr>
      <w:r>
        <w:rPr>
          <w:rFonts w:hint="eastAsia" w:ascii="宋体" w:hAnsi="宋体" w:cs="宋体"/>
          <w:bCs/>
          <w:color w:val="auto"/>
          <w:sz w:val="28"/>
          <w:szCs w:val="28"/>
          <w:highlight w:val="none"/>
        </w:rPr>
        <w:t>三、质疑事项具体内容</w:t>
      </w:r>
    </w:p>
    <w:p w14:paraId="4B5BA8A4">
      <w:pPr>
        <w:adjustRightInd w:val="0"/>
        <w:snapToGrid w:val="0"/>
        <w:spacing w:line="360" w:lineRule="auto"/>
        <w:rPr>
          <w:rFonts w:hint="eastAsia" w:ascii="宋体" w:hAnsi="宋体" w:cs="宋体"/>
          <w:color w:val="auto"/>
          <w:sz w:val="28"/>
          <w:szCs w:val="28"/>
          <w:highlight w:val="none"/>
          <w:u w:val="dotted"/>
        </w:rPr>
      </w:pPr>
      <w:r>
        <w:rPr>
          <w:rFonts w:hint="eastAsia" w:ascii="宋体" w:hAnsi="宋体" w:cs="宋体"/>
          <w:color w:val="auto"/>
          <w:sz w:val="28"/>
          <w:szCs w:val="28"/>
          <w:highlight w:val="none"/>
        </w:rPr>
        <w:t>质疑事项1：</w:t>
      </w:r>
    </w:p>
    <w:p w14:paraId="1661792B">
      <w:pPr>
        <w:adjustRightInd w:val="0"/>
        <w:snapToGrid w:val="0"/>
        <w:spacing w:line="360" w:lineRule="auto"/>
        <w:rPr>
          <w:rFonts w:hint="eastAsia" w:ascii="宋体" w:hAnsi="宋体" w:cs="宋体"/>
          <w:color w:val="auto"/>
          <w:sz w:val="28"/>
          <w:szCs w:val="28"/>
          <w:highlight w:val="none"/>
          <w:u w:val="dotted"/>
        </w:rPr>
      </w:pPr>
      <w:r>
        <w:rPr>
          <w:rFonts w:hint="eastAsia" w:ascii="宋体" w:hAnsi="宋体" w:cs="宋体"/>
          <w:color w:val="auto"/>
          <w:sz w:val="28"/>
          <w:szCs w:val="28"/>
          <w:highlight w:val="none"/>
        </w:rPr>
        <w:t>事实依据：</w:t>
      </w:r>
    </w:p>
    <w:p w14:paraId="34721514">
      <w:pPr>
        <w:adjustRightInd w:val="0"/>
        <w:snapToGrid w:val="0"/>
        <w:spacing w:line="360" w:lineRule="auto"/>
        <w:rPr>
          <w:rFonts w:hint="eastAsia" w:ascii="宋体" w:hAnsi="宋体" w:cs="宋体"/>
          <w:color w:val="auto"/>
          <w:sz w:val="28"/>
          <w:szCs w:val="28"/>
          <w:highlight w:val="none"/>
        </w:rPr>
      </w:pPr>
    </w:p>
    <w:p w14:paraId="179F6B6C">
      <w:pPr>
        <w:adjustRightInd w:val="0"/>
        <w:snapToGrid w:val="0"/>
        <w:spacing w:line="360" w:lineRule="auto"/>
        <w:rPr>
          <w:rFonts w:hint="eastAsia" w:ascii="宋体" w:hAnsi="宋体" w:cs="宋体"/>
          <w:color w:val="auto"/>
          <w:sz w:val="28"/>
          <w:szCs w:val="28"/>
          <w:highlight w:val="none"/>
          <w:u w:val="dotted"/>
        </w:rPr>
      </w:pPr>
      <w:r>
        <w:rPr>
          <w:rFonts w:hint="eastAsia" w:ascii="宋体" w:hAnsi="宋体" w:cs="宋体"/>
          <w:color w:val="auto"/>
          <w:sz w:val="28"/>
          <w:szCs w:val="28"/>
          <w:highlight w:val="none"/>
        </w:rPr>
        <w:t>法律依据：</w:t>
      </w:r>
    </w:p>
    <w:p w14:paraId="59E8C8D4">
      <w:pPr>
        <w:adjustRightInd w:val="0"/>
        <w:snapToGrid w:val="0"/>
        <w:spacing w:line="360" w:lineRule="auto"/>
        <w:rPr>
          <w:rFonts w:hint="eastAsia" w:ascii="宋体" w:hAnsi="宋体" w:cs="宋体"/>
          <w:color w:val="auto"/>
          <w:sz w:val="28"/>
          <w:szCs w:val="28"/>
          <w:highlight w:val="none"/>
          <w:u w:val="dotted"/>
        </w:rPr>
      </w:pPr>
    </w:p>
    <w:p w14:paraId="526D4881">
      <w:pPr>
        <w:adjustRightInd w:val="0"/>
        <w:snapToGrid w:val="0"/>
        <w:spacing w:line="360" w:lineRule="auto"/>
        <w:rPr>
          <w:rFonts w:hint="eastAsia" w:ascii="宋体" w:hAnsi="宋体" w:cs="宋体"/>
          <w:color w:val="auto"/>
          <w:sz w:val="28"/>
          <w:szCs w:val="28"/>
          <w:highlight w:val="none"/>
          <w:u w:val="dotted"/>
        </w:rPr>
      </w:pPr>
      <w:r>
        <w:rPr>
          <w:rFonts w:hint="eastAsia" w:ascii="宋体" w:hAnsi="宋体" w:cs="宋体"/>
          <w:color w:val="auto"/>
          <w:sz w:val="28"/>
          <w:szCs w:val="28"/>
          <w:highlight w:val="none"/>
        </w:rPr>
        <w:t>质疑事项2</w:t>
      </w:r>
    </w:p>
    <w:p w14:paraId="45834E63">
      <w:pPr>
        <w:adjustRightInd w:val="0"/>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w:t>
      </w:r>
    </w:p>
    <w:p w14:paraId="5962F76B">
      <w:pPr>
        <w:adjustRightInd w:val="0"/>
        <w:snapToGrid w:val="0"/>
        <w:spacing w:line="360" w:lineRule="auto"/>
        <w:rPr>
          <w:rFonts w:hint="eastAsia" w:ascii="宋体" w:hAnsi="宋体" w:cs="宋体"/>
          <w:bCs/>
          <w:color w:val="auto"/>
          <w:sz w:val="28"/>
          <w:szCs w:val="28"/>
          <w:highlight w:val="none"/>
        </w:rPr>
      </w:pPr>
      <w:r>
        <w:rPr>
          <w:rFonts w:hint="eastAsia" w:ascii="宋体" w:hAnsi="宋体" w:cs="宋体"/>
          <w:bCs/>
          <w:color w:val="auto"/>
          <w:sz w:val="28"/>
          <w:szCs w:val="28"/>
          <w:highlight w:val="none"/>
        </w:rPr>
        <w:t>四、与质疑事项相关的质疑请求</w:t>
      </w:r>
    </w:p>
    <w:p w14:paraId="44BA9A57">
      <w:pPr>
        <w:adjustRightInd w:val="0"/>
        <w:snapToGrid w:val="0"/>
        <w:spacing w:line="360" w:lineRule="auto"/>
        <w:rPr>
          <w:rFonts w:hint="eastAsia" w:ascii="宋体" w:hAnsi="宋体" w:cs="宋体"/>
          <w:color w:val="auto"/>
          <w:sz w:val="28"/>
          <w:szCs w:val="28"/>
          <w:highlight w:val="none"/>
          <w:u w:val="dotted"/>
        </w:rPr>
      </w:pPr>
      <w:r>
        <w:rPr>
          <w:rFonts w:hint="eastAsia" w:ascii="宋体" w:hAnsi="宋体" w:cs="宋体"/>
          <w:color w:val="auto"/>
          <w:sz w:val="28"/>
          <w:szCs w:val="28"/>
          <w:highlight w:val="none"/>
        </w:rPr>
        <w:t>请求：</w:t>
      </w:r>
    </w:p>
    <w:p w14:paraId="45BFC69C">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签字(签章)：                   公章：                      </w:t>
      </w:r>
    </w:p>
    <w:p w14:paraId="693321B1">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日期：    </w:t>
      </w:r>
    </w:p>
    <w:p w14:paraId="69A06707">
      <w:pPr>
        <w:adjustRightInd w:val="0"/>
        <w:snapToGrid w:val="0"/>
        <w:spacing w:line="360" w:lineRule="auto"/>
        <w:rPr>
          <w:rFonts w:hint="eastAsia" w:ascii="宋体" w:hAnsi="宋体" w:cs="宋体"/>
          <w:color w:val="auto"/>
          <w:sz w:val="28"/>
          <w:szCs w:val="28"/>
          <w:highlight w:val="none"/>
        </w:rPr>
      </w:pPr>
    </w:p>
    <w:p w14:paraId="499D6EAE">
      <w:pPr>
        <w:spacing w:line="360" w:lineRule="auto"/>
        <w:rPr>
          <w:rFonts w:hint="eastAsia" w:ascii="宋体" w:hAnsi="宋体" w:cs="宋体"/>
          <w:b/>
          <w:color w:val="auto"/>
          <w:sz w:val="28"/>
          <w:szCs w:val="28"/>
          <w:highlight w:val="none"/>
        </w:rPr>
      </w:pPr>
    </w:p>
    <w:p w14:paraId="37ABDBB5">
      <w:pPr>
        <w:spacing w:line="360" w:lineRule="auto"/>
        <w:rPr>
          <w:rFonts w:hint="eastAsia" w:ascii="宋体" w:hAnsi="宋体" w:cs="宋体"/>
          <w:b/>
          <w:color w:val="auto"/>
          <w:sz w:val="28"/>
          <w:szCs w:val="28"/>
          <w:highlight w:val="none"/>
        </w:rPr>
      </w:pPr>
    </w:p>
    <w:p w14:paraId="57188811">
      <w:pPr>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质疑函制作说明：</w:t>
      </w:r>
    </w:p>
    <w:p w14:paraId="6328E1CB">
      <w:pPr>
        <w:widowControl/>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1.供应商提出质疑时，应提交质疑函和必要的证明材料。</w:t>
      </w:r>
    </w:p>
    <w:p w14:paraId="326B1EFC">
      <w:pPr>
        <w:widowControl/>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cs="宋体"/>
          <w:color w:val="auto"/>
          <w:kern w:val="0"/>
          <w:sz w:val="28"/>
          <w:szCs w:val="28"/>
          <w:highlight w:val="none"/>
        </w:rPr>
        <w:t>供应商签署的授权委托书。授权委托书应载明代理人的姓名或者名称、代理事项、具体权限、期限和相关事项。</w:t>
      </w:r>
    </w:p>
    <w:p w14:paraId="52907526">
      <w:pPr>
        <w:widowControl/>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3.质疑供应商若对项目的某一分包进行质疑，质疑函中应列明具体分包号。</w:t>
      </w:r>
    </w:p>
    <w:p w14:paraId="0AEB1736">
      <w:pPr>
        <w:widowControl/>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4.质疑函的质疑事项应具体、明确，并有必要的事实依据和法律依据。</w:t>
      </w:r>
    </w:p>
    <w:p w14:paraId="77E63560">
      <w:pPr>
        <w:widowControl/>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5.质疑函的质疑请求应与质疑事项相关。</w:t>
      </w:r>
    </w:p>
    <w:p w14:paraId="559A9E02">
      <w:pPr>
        <w:widowControl/>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27AC8F91">
      <w:pPr>
        <w:widowControl/>
        <w:spacing w:line="360" w:lineRule="auto"/>
        <w:ind w:firstLine="560" w:firstLineChars="200"/>
        <w:jc w:val="left"/>
        <w:rPr>
          <w:rFonts w:hint="eastAsia" w:ascii="宋体" w:hAnsi="宋体" w:cs="宋体"/>
          <w:color w:val="auto"/>
          <w:sz w:val="28"/>
          <w:szCs w:val="28"/>
          <w:highlight w:val="none"/>
        </w:rPr>
      </w:pPr>
    </w:p>
    <w:sectPr>
      <w:headerReference r:id="rId5" w:type="default"/>
      <w:footerReference r:id="rId6" w:type="default"/>
      <w:pgSz w:w="11907" w:h="16839"/>
      <w:pgMar w:top="1440" w:right="1803" w:bottom="1440" w:left="1803"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3BC89ACA-D5AE-4C71-B66E-70DA226FA480}"/>
  </w:font>
  <w:font w:name="Symbol">
    <w:panose1 w:val="05050102010706020507"/>
    <w:charset w:val="02"/>
    <w:family w:val="roman"/>
    <w:pitch w:val="default"/>
    <w:sig w:usb0="00000000" w:usb1="00000000" w:usb2="00000000" w:usb3="00000000" w:csb0="80000000" w:csb1="00000000"/>
    <w:embedRegular r:id="rId2" w:fontKey="{D6FBC2A4-7710-47B5-8364-660CB4ACEF5F}"/>
  </w:font>
  <w:font w:name="Calibri">
    <w:panose1 w:val="020F0502020204030204"/>
    <w:charset w:val="00"/>
    <w:family w:val="swiss"/>
    <w:pitch w:val="default"/>
    <w:sig w:usb0="E4002EFF" w:usb1="C200247B" w:usb2="00000009" w:usb3="00000000" w:csb0="200001FF" w:csb1="00000000"/>
    <w:embedRegular r:id="rId3" w:fontKey="{895D263E-775B-4B36-83A2-941DF84745C7}"/>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CE97928E-A69E-4191-A65B-5F772A881411}"/>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A7F29">
    <w:pPr>
      <w:spacing w:line="116" w:lineRule="exact"/>
      <w:ind w:firstLine="4183"/>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55BED">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957FE">
                          <w:pPr>
                            <w:pStyle w:val="22"/>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fill on="f" focussize="0,0"/>
              <v:stroke on="f"/>
              <v:imagedata o:title=""/>
              <o:lock v:ext="edit" aspectratio="f"/>
              <v:textbox inset="0mm,0mm,0mm,0mm" style="mso-fit-shape-to-text:t;">
                <w:txbxContent>
                  <w:p w14:paraId="4D0957FE">
                    <w:pPr>
                      <w:pStyle w:val="2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EE92E">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E562E">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41232"/>
    <w:multiLevelType w:val="multilevel"/>
    <w:tmpl w:val="86F41232"/>
    <w:lvl w:ilvl="0" w:tentative="0">
      <w:start w:val="1"/>
      <w:numFmt w:val="decimal"/>
      <w:pStyle w:val="107"/>
      <w:suff w:val="nothing"/>
      <w:lvlText w:val="表%1　"/>
      <w:lvlJc w:val="center"/>
      <w:pPr>
        <w:ind w:left="100" w:firstLine="0"/>
      </w:pPr>
      <w:rPr>
        <w:rFonts w:hint="default" w:ascii="仿宋" w:hAnsi="仿宋" w:eastAsia="仿宋" w:cs="仿宋"/>
        <w:b w:val="0"/>
        <w:i w:val="0"/>
        <w:sz w:val="28"/>
        <w:szCs w:val="28"/>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12"/>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C959152A"/>
    <w:multiLevelType w:val="singleLevel"/>
    <w:tmpl w:val="C959152A"/>
    <w:lvl w:ilvl="0" w:tentative="0">
      <w:start w:val="1"/>
      <w:numFmt w:val="bullet"/>
      <w:pStyle w:val="114"/>
      <w:lvlText w:val=""/>
      <w:lvlJc w:val="left"/>
      <w:pPr>
        <w:tabs>
          <w:tab w:val="left" w:pos="780"/>
        </w:tabs>
        <w:ind w:left="780" w:hanging="360"/>
      </w:pPr>
      <w:rPr>
        <w:rFonts w:ascii="Wingdings" w:hAnsi="Wingdings"/>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85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8387256"/>
    <w:multiLevelType w:val="multilevel"/>
    <w:tmpl w:val="28387256"/>
    <w:lvl w:ilvl="0" w:tentative="0">
      <w:start w:val="1"/>
      <w:numFmt w:val="decimal"/>
      <w:suff w:val="space"/>
      <w:lvlText w:val="第%1章 "/>
      <w:lvlJc w:val="left"/>
      <w:pPr>
        <w:tabs>
          <w:tab w:val="left" w:pos="0"/>
        </w:tabs>
        <w:ind w:left="0" w:firstLine="0"/>
      </w:pPr>
      <w:rPr>
        <w:rFonts w:hint="eastAsia"/>
        <w:b/>
        <w:sz w:val="44"/>
      </w:rPr>
    </w:lvl>
    <w:lvl w:ilvl="1" w:tentative="0">
      <w:start w:val="1"/>
      <w:numFmt w:val="decimal"/>
      <w:pStyle w:val="102"/>
      <w:isLgl/>
      <w:suff w:val="space"/>
      <w:lvlText w:val="%1.%2 "/>
      <w:lvlJc w:val="left"/>
      <w:pPr>
        <w:tabs>
          <w:tab w:val="left" w:pos="0"/>
        </w:tabs>
        <w:ind w:left="567" w:hanging="567"/>
      </w:pPr>
      <w:rPr>
        <w:rFonts w:hint="default" w:ascii="Times New Roman" w:hAnsi="Times New Roman"/>
        <w:b/>
      </w:rPr>
    </w:lvl>
    <w:lvl w:ilvl="2" w:tentative="0">
      <w:start w:val="1"/>
      <w:numFmt w:val="decimal"/>
      <w:isLgl/>
      <w:suff w:val="space"/>
      <w:lvlText w:val="%1.%2.%3 "/>
      <w:lvlJc w:val="left"/>
      <w:pPr>
        <w:tabs>
          <w:tab w:val="left" w:pos="0"/>
        </w:tabs>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i w:val="0"/>
        <w:iCs w:val="0"/>
        <w:caps w:val="0"/>
        <w:smallCaps w:val="0"/>
        <w:strike w:val="0"/>
        <w:dstrike w:val="0"/>
        <w:vanish w:val="0"/>
        <w:spacing w:val="0"/>
        <w:position w:val="0"/>
        <w:u w:val="none"/>
        <w:vertAlign w:val="baseline"/>
      </w:rPr>
    </w:lvl>
    <w:lvl w:ilvl="4" w:tentative="0">
      <w:start w:val="1"/>
      <w:numFmt w:val="decimal"/>
      <w:isLgl/>
      <w:suff w:val="space"/>
      <w:lvlText w:val="%1.%2.%3.%4.%5 "/>
      <w:lvlJc w:val="left"/>
      <w:pPr>
        <w:tabs>
          <w:tab w:val="left" w:pos="0"/>
        </w:tabs>
        <w:ind w:left="567" w:hanging="567"/>
      </w:pPr>
      <w:rPr>
        <w:rFonts w:hint="eastAsia"/>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abstractNum w:abstractNumId="4">
    <w:nsid w:val="56898123"/>
    <w:multiLevelType w:val="singleLevel"/>
    <w:tmpl w:val="56898123"/>
    <w:lvl w:ilvl="0" w:tentative="0">
      <w:start w:val="1"/>
      <w:numFmt w:val="decimal"/>
      <w:pStyle w:val="24"/>
      <w:lvlText w:val="%1."/>
      <w:lvlJc w:val="left"/>
      <w:pPr>
        <w:tabs>
          <w:tab w:val="left" w:pos="2040"/>
        </w:tabs>
        <w:ind w:left="204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Y2JkZmIyOTY3NTdjNmZkNzE4ZTgzYzMxMDhmMDMifQ=="/>
    <w:docVar w:name="KSO_WPS_MARK_KEY" w:val="edd408a1-b375-4b40-a9cb-3acf64b7781a"/>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31E5F"/>
    <w:rsid w:val="00033A03"/>
    <w:rsid w:val="00034FFC"/>
    <w:rsid w:val="0003522D"/>
    <w:rsid w:val="00035F29"/>
    <w:rsid w:val="000363E7"/>
    <w:rsid w:val="00040BC7"/>
    <w:rsid w:val="00043CCD"/>
    <w:rsid w:val="0004687B"/>
    <w:rsid w:val="00046AE8"/>
    <w:rsid w:val="00051BE5"/>
    <w:rsid w:val="00051C4B"/>
    <w:rsid w:val="00052E10"/>
    <w:rsid w:val="000531E3"/>
    <w:rsid w:val="00054B69"/>
    <w:rsid w:val="00055731"/>
    <w:rsid w:val="00057C9F"/>
    <w:rsid w:val="00062D9F"/>
    <w:rsid w:val="0006312A"/>
    <w:rsid w:val="00064E5C"/>
    <w:rsid w:val="0006533C"/>
    <w:rsid w:val="000674BE"/>
    <w:rsid w:val="00067D3A"/>
    <w:rsid w:val="000707B4"/>
    <w:rsid w:val="000733BC"/>
    <w:rsid w:val="000733D5"/>
    <w:rsid w:val="000743C3"/>
    <w:rsid w:val="00074E00"/>
    <w:rsid w:val="00077641"/>
    <w:rsid w:val="000811BB"/>
    <w:rsid w:val="00081A99"/>
    <w:rsid w:val="0008288C"/>
    <w:rsid w:val="000860E4"/>
    <w:rsid w:val="000863D2"/>
    <w:rsid w:val="000930EC"/>
    <w:rsid w:val="000931E9"/>
    <w:rsid w:val="0009351A"/>
    <w:rsid w:val="00093B09"/>
    <w:rsid w:val="00093F93"/>
    <w:rsid w:val="000949F1"/>
    <w:rsid w:val="0009650A"/>
    <w:rsid w:val="00096D7E"/>
    <w:rsid w:val="000A02E1"/>
    <w:rsid w:val="000A13B7"/>
    <w:rsid w:val="000A3BFD"/>
    <w:rsid w:val="000A5B2F"/>
    <w:rsid w:val="000B0744"/>
    <w:rsid w:val="000B09B6"/>
    <w:rsid w:val="000B36A6"/>
    <w:rsid w:val="000B78D1"/>
    <w:rsid w:val="000B7DF5"/>
    <w:rsid w:val="000C09DC"/>
    <w:rsid w:val="000C17F6"/>
    <w:rsid w:val="000C197E"/>
    <w:rsid w:val="000C433D"/>
    <w:rsid w:val="000C5D4C"/>
    <w:rsid w:val="000C6148"/>
    <w:rsid w:val="000C6432"/>
    <w:rsid w:val="000C660A"/>
    <w:rsid w:val="000C70B7"/>
    <w:rsid w:val="000D0543"/>
    <w:rsid w:val="000D21D5"/>
    <w:rsid w:val="000D3ACA"/>
    <w:rsid w:val="000D3C5A"/>
    <w:rsid w:val="000D4824"/>
    <w:rsid w:val="000D68E3"/>
    <w:rsid w:val="000D6B97"/>
    <w:rsid w:val="000E0E34"/>
    <w:rsid w:val="000E0E54"/>
    <w:rsid w:val="000E16F1"/>
    <w:rsid w:val="000E2F2C"/>
    <w:rsid w:val="000E474C"/>
    <w:rsid w:val="000E6565"/>
    <w:rsid w:val="000F23EA"/>
    <w:rsid w:val="000F28DF"/>
    <w:rsid w:val="000F4450"/>
    <w:rsid w:val="000F5ACE"/>
    <w:rsid w:val="000F7D4F"/>
    <w:rsid w:val="00102CB7"/>
    <w:rsid w:val="00102CE8"/>
    <w:rsid w:val="00104AF2"/>
    <w:rsid w:val="0010514D"/>
    <w:rsid w:val="001104D2"/>
    <w:rsid w:val="00115E82"/>
    <w:rsid w:val="00116E44"/>
    <w:rsid w:val="001244CE"/>
    <w:rsid w:val="0012592D"/>
    <w:rsid w:val="0012699C"/>
    <w:rsid w:val="00127475"/>
    <w:rsid w:val="00131A4E"/>
    <w:rsid w:val="001328C3"/>
    <w:rsid w:val="00132D06"/>
    <w:rsid w:val="00135746"/>
    <w:rsid w:val="001359DC"/>
    <w:rsid w:val="00137F66"/>
    <w:rsid w:val="00141B11"/>
    <w:rsid w:val="001439B3"/>
    <w:rsid w:val="001443A6"/>
    <w:rsid w:val="00144853"/>
    <w:rsid w:val="00145153"/>
    <w:rsid w:val="0014603C"/>
    <w:rsid w:val="001463C7"/>
    <w:rsid w:val="001467F4"/>
    <w:rsid w:val="00150D31"/>
    <w:rsid w:val="00151847"/>
    <w:rsid w:val="00154178"/>
    <w:rsid w:val="00155581"/>
    <w:rsid w:val="00156591"/>
    <w:rsid w:val="001570D4"/>
    <w:rsid w:val="0015743C"/>
    <w:rsid w:val="00157B2B"/>
    <w:rsid w:val="00160309"/>
    <w:rsid w:val="0016109E"/>
    <w:rsid w:val="001620CF"/>
    <w:rsid w:val="00162A03"/>
    <w:rsid w:val="001634DD"/>
    <w:rsid w:val="001639C2"/>
    <w:rsid w:val="00163D0B"/>
    <w:rsid w:val="001646CB"/>
    <w:rsid w:val="00170904"/>
    <w:rsid w:val="0017113F"/>
    <w:rsid w:val="001731C5"/>
    <w:rsid w:val="00173C44"/>
    <w:rsid w:val="0017626E"/>
    <w:rsid w:val="00181CDA"/>
    <w:rsid w:val="00181ED3"/>
    <w:rsid w:val="00182CCA"/>
    <w:rsid w:val="001869A8"/>
    <w:rsid w:val="00187797"/>
    <w:rsid w:val="00187BE1"/>
    <w:rsid w:val="001903D4"/>
    <w:rsid w:val="0019251D"/>
    <w:rsid w:val="00192DB5"/>
    <w:rsid w:val="00197945"/>
    <w:rsid w:val="001A0364"/>
    <w:rsid w:val="001A0C8B"/>
    <w:rsid w:val="001A1AC6"/>
    <w:rsid w:val="001A3EDD"/>
    <w:rsid w:val="001A47E3"/>
    <w:rsid w:val="001A54E4"/>
    <w:rsid w:val="001A67C9"/>
    <w:rsid w:val="001B2572"/>
    <w:rsid w:val="001B344D"/>
    <w:rsid w:val="001B663D"/>
    <w:rsid w:val="001B6EC8"/>
    <w:rsid w:val="001C1D5F"/>
    <w:rsid w:val="001C45F5"/>
    <w:rsid w:val="001C4662"/>
    <w:rsid w:val="001C5B8A"/>
    <w:rsid w:val="001C6AFF"/>
    <w:rsid w:val="001D279A"/>
    <w:rsid w:val="001D3500"/>
    <w:rsid w:val="001D4EC2"/>
    <w:rsid w:val="001D66F0"/>
    <w:rsid w:val="001D6723"/>
    <w:rsid w:val="001D6A81"/>
    <w:rsid w:val="001E1433"/>
    <w:rsid w:val="001E53BC"/>
    <w:rsid w:val="001E601F"/>
    <w:rsid w:val="001E70A4"/>
    <w:rsid w:val="001F120D"/>
    <w:rsid w:val="001F3AEC"/>
    <w:rsid w:val="001F4F3E"/>
    <w:rsid w:val="001F7EC5"/>
    <w:rsid w:val="002007BF"/>
    <w:rsid w:val="00201576"/>
    <w:rsid w:val="00204B7C"/>
    <w:rsid w:val="002056AA"/>
    <w:rsid w:val="002056C9"/>
    <w:rsid w:val="002106EA"/>
    <w:rsid w:val="002131C8"/>
    <w:rsid w:val="00214649"/>
    <w:rsid w:val="00214B6D"/>
    <w:rsid w:val="00215DD8"/>
    <w:rsid w:val="0021679D"/>
    <w:rsid w:val="002200FB"/>
    <w:rsid w:val="0022164E"/>
    <w:rsid w:val="00221C90"/>
    <w:rsid w:val="0022335B"/>
    <w:rsid w:val="00223407"/>
    <w:rsid w:val="002244DA"/>
    <w:rsid w:val="00227E29"/>
    <w:rsid w:val="00230636"/>
    <w:rsid w:val="002330E2"/>
    <w:rsid w:val="0023425B"/>
    <w:rsid w:val="00234DAB"/>
    <w:rsid w:val="00235DF7"/>
    <w:rsid w:val="00237E0C"/>
    <w:rsid w:val="00241BB8"/>
    <w:rsid w:val="00244143"/>
    <w:rsid w:val="00244939"/>
    <w:rsid w:val="002468F0"/>
    <w:rsid w:val="00247C93"/>
    <w:rsid w:val="00250900"/>
    <w:rsid w:val="002546EC"/>
    <w:rsid w:val="00254A15"/>
    <w:rsid w:val="00254B39"/>
    <w:rsid w:val="00255AAF"/>
    <w:rsid w:val="002602DD"/>
    <w:rsid w:val="00260626"/>
    <w:rsid w:val="0026242C"/>
    <w:rsid w:val="002647BE"/>
    <w:rsid w:val="00264B9B"/>
    <w:rsid w:val="00270410"/>
    <w:rsid w:val="00274032"/>
    <w:rsid w:val="002748BD"/>
    <w:rsid w:val="0027499D"/>
    <w:rsid w:val="00275C65"/>
    <w:rsid w:val="00280F6C"/>
    <w:rsid w:val="0028324B"/>
    <w:rsid w:val="002840DC"/>
    <w:rsid w:val="002871A5"/>
    <w:rsid w:val="00290923"/>
    <w:rsid w:val="00291471"/>
    <w:rsid w:val="00292164"/>
    <w:rsid w:val="00294605"/>
    <w:rsid w:val="002947ED"/>
    <w:rsid w:val="002975D9"/>
    <w:rsid w:val="002A1054"/>
    <w:rsid w:val="002A287A"/>
    <w:rsid w:val="002A3E8C"/>
    <w:rsid w:val="002A4991"/>
    <w:rsid w:val="002A5D03"/>
    <w:rsid w:val="002A7755"/>
    <w:rsid w:val="002A79A7"/>
    <w:rsid w:val="002A7E8F"/>
    <w:rsid w:val="002A7F5E"/>
    <w:rsid w:val="002B1C13"/>
    <w:rsid w:val="002B1C92"/>
    <w:rsid w:val="002B6371"/>
    <w:rsid w:val="002B64B0"/>
    <w:rsid w:val="002C02A7"/>
    <w:rsid w:val="002C02C7"/>
    <w:rsid w:val="002C04E9"/>
    <w:rsid w:val="002C221F"/>
    <w:rsid w:val="002C29D9"/>
    <w:rsid w:val="002C41EE"/>
    <w:rsid w:val="002C4C6D"/>
    <w:rsid w:val="002C507B"/>
    <w:rsid w:val="002C72A6"/>
    <w:rsid w:val="002C7639"/>
    <w:rsid w:val="002D0144"/>
    <w:rsid w:val="002D04B2"/>
    <w:rsid w:val="002D0C68"/>
    <w:rsid w:val="002D1841"/>
    <w:rsid w:val="002D255D"/>
    <w:rsid w:val="002D6B94"/>
    <w:rsid w:val="002D714C"/>
    <w:rsid w:val="002D745D"/>
    <w:rsid w:val="002E0E57"/>
    <w:rsid w:val="002E1B37"/>
    <w:rsid w:val="002E27F7"/>
    <w:rsid w:val="002E42CD"/>
    <w:rsid w:val="002E56B3"/>
    <w:rsid w:val="002E5F8C"/>
    <w:rsid w:val="002E7263"/>
    <w:rsid w:val="002F0CF8"/>
    <w:rsid w:val="002F2DDD"/>
    <w:rsid w:val="002F4256"/>
    <w:rsid w:val="002F5BD8"/>
    <w:rsid w:val="002F60B7"/>
    <w:rsid w:val="002F6776"/>
    <w:rsid w:val="002F6EC6"/>
    <w:rsid w:val="002F70DF"/>
    <w:rsid w:val="003009D5"/>
    <w:rsid w:val="00300A5F"/>
    <w:rsid w:val="00302E16"/>
    <w:rsid w:val="00310100"/>
    <w:rsid w:val="00310B22"/>
    <w:rsid w:val="00310EFD"/>
    <w:rsid w:val="003121B1"/>
    <w:rsid w:val="003144D6"/>
    <w:rsid w:val="00314C38"/>
    <w:rsid w:val="003164A3"/>
    <w:rsid w:val="00320476"/>
    <w:rsid w:val="00320B07"/>
    <w:rsid w:val="00320C34"/>
    <w:rsid w:val="003212C2"/>
    <w:rsid w:val="00321CBF"/>
    <w:rsid w:val="0032216A"/>
    <w:rsid w:val="003228A9"/>
    <w:rsid w:val="00322B57"/>
    <w:rsid w:val="00330686"/>
    <w:rsid w:val="0033200D"/>
    <w:rsid w:val="00334C59"/>
    <w:rsid w:val="003406AD"/>
    <w:rsid w:val="003436D0"/>
    <w:rsid w:val="00343D2E"/>
    <w:rsid w:val="00345A3C"/>
    <w:rsid w:val="0035199B"/>
    <w:rsid w:val="00355201"/>
    <w:rsid w:val="00355DE5"/>
    <w:rsid w:val="0035734A"/>
    <w:rsid w:val="00357E18"/>
    <w:rsid w:val="003602C3"/>
    <w:rsid w:val="003604DF"/>
    <w:rsid w:val="00361079"/>
    <w:rsid w:val="00364309"/>
    <w:rsid w:val="00367806"/>
    <w:rsid w:val="00367A68"/>
    <w:rsid w:val="0037007E"/>
    <w:rsid w:val="0037119F"/>
    <w:rsid w:val="0037319F"/>
    <w:rsid w:val="00375458"/>
    <w:rsid w:val="00381D8F"/>
    <w:rsid w:val="00383292"/>
    <w:rsid w:val="00385B36"/>
    <w:rsid w:val="0039137F"/>
    <w:rsid w:val="00395FAE"/>
    <w:rsid w:val="00395FE0"/>
    <w:rsid w:val="003979A3"/>
    <w:rsid w:val="003A3808"/>
    <w:rsid w:val="003A42A7"/>
    <w:rsid w:val="003A4DE4"/>
    <w:rsid w:val="003B0863"/>
    <w:rsid w:val="003B1C66"/>
    <w:rsid w:val="003B38ED"/>
    <w:rsid w:val="003B5148"/>
    <w:rsid w:val="003B75AA"/>
    <w:rsid w:val="003C6991"/>
    <w:rsid w:val="003C71ED"/>
    <w:rsid w:val="003D041B"/>
    <w:rsid w:val="003D06E5"/>
    <w:rsid w:val="003D199E"/>
    <w:rsid w:val="003D4401"/>
    <w:rsid w:val="003D63CA"/>
    <w:rsid w:val="003D64B6"/>
    <w:rsid w:val="003E0179"/>
    <w:rsid w:val="003E2B34"/>
    <w:rsid w:val="003E3257"/>
    <w:rsid w:val="003E4361"/>
    <w:rsid w:val="003F1853"/>
    <w:rsid w:val="003F32CE"/>
    <w:rsid w:val="003F3E0C"/>
    <w:rsid w:val="003F4126"/>
    <w:rsid w:val="003F4D19"/>
    <w:rsid w:val="003F549E"/>
    <w:rsid w:val="003F5D1B"/>
    <w:rsid w:val="003F7843"/>
    <w:rsid w:val="00403B9D"/>
    <w:rsid w:val="00407224"/>
    <w:rsid w:val="00407903"/>
    <w:rsid w:val="00407BFC"/>
    <w:rsid w:val="004101B0"/>
    <w:rsid w:val="004103F6"/>
    <w:rsid w:val="00410D0B"/>
    <w:rsid w:val="0041128F"/>
    <w:rsid w:val="00412036"/>
    <w:rsid w:val="0041532A"/>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921"/>
    <w:rsid w:val="00454E44"/>
    <w:rsid w:val="004555A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2FD"/>
    <w:rsid w:val="004A1844"/>
    <w:rsid w:val="004A3046"/>
    <w:rsid w:val="004A4B9D"/>
    <w:rsid w:val="004A6679"/>
    <w:rsid w:val="004A704F"/>
    <w:rsid w:val="004A72A4"/>
    <w:rsid w:val="004A7824"/>
    <w:rsid w:val="004A7C96"/>
    <w:rsid w:val="004B0010"/>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483C"/>
    <w:rsid w:val="004D5292"/>
    <w:rsid w:val="004E06BF"/>
    <w:rsid w:val="004E152F"/>
    <w:rsid w:val="004E2A00"/>
    <w:rsid w:val="004E2F63"/>
    <w:rsid w:val="004E3BF5"/>
    <w:rsid w:val="004F099F"/>
    <w:rsid w:val="004F3CB4"/>
    <w:rsid w:val="00503474"/>
    <w:rsid w:val="00503BA7"/>
    <w:rsid w:val="0050700C"/>
    <w:rsid w:val="005119D2"/>
    <w:rsid w:val="00513B39"/>
    <w:rsid w:val="00513FF3"/>
    <w:rsid w:val="0051484C"/>
    <w:rsid w:val="00514E8A"/>
    <w:rsid w:val="00515B97"/>
    <w:rsid w:val="00515D24"/>
    <w:rsid w:val="00516020"/>
    <w:rsid w:val="0052071E"/>
    <w:rsid w:val="00521230"/>
    <w:rsid w:val="00526739"/>
    <w:rsid w:val="00527470"/>
    <w:rsid w:val="00527778"/>
    <w:rsid w:val="00530A3C"/>
    <w:rsid w:val="00532491"/>
    <w:rsid w:val="00533458"/>
    <w:rsid w:val="0053376D"/>
    <w:rsid w:val="00533A7A"/>
    <w:rsid w:val="00534F0F"/>
    <w:rsid w:val="00536ADE"/>
    <w:rsid w:val="00537FB8"/>
    <w:rsid w:val="00540B38"/>
    <w:rsid w:val="00541A40"/>
    <w:rsid w:val="005420D2"/>
    <w:rsid w:val="00542B48"/>
    <w:rsid w:val="00542C35"/>
    <w:rsid w:val="0054329E"/>
    <w:rsid w:val="00543E4D"/>
    <w:rsid w:val="00545012"/>
    <w:rsid w:val="00545A0B"/>
    <w:rsid w:val="005468AD"/>
    <w:rsid w:val="00551258"/>
    <w:rsid w:val="0055169D"/>
    <w:rsid w:val="00553179"/>
    <w:rsid w:val="00554692"/>
    <w:rsid w:val="00554B19"/>
    <w:rsid w:val="00555573"/>
    <w:rsid w:val="00556006"/>
    <w:rsid w:val="005569D2"/>
    <w:rsid w:val="00561A91"/>
    <w:rsid w:val="005627F2"/>
    <w:rsid w:val="00562FB5"/>
    <w:rsid w:val="005632D0"/>
    <w:rsid w:val="00564B31"/>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3A35"/>
    <w:rsid w:val="0059608C"/>
    <w:rsid w:val="0059678A"/>
    <w:rsid w:val="005A1415"/>
    <w:rsid w:val="005A380E"/>
    <w:rsid w:val="005A506D"/>
    <w:rsid w:val="005A5EAE"/>
    <w:rsid w:val="005A7731"/>
    <w:rsid w:val="005B02F9"/>
    <w:rsid w:val="005B0BAF"/>
    <w:rsid w:val="005B0E49"/>
    <w:rsid w:val="005B1F16"/>
    <w:rsid w:val="005B1F8C"/>
    <w:rsid w:val="005B21BD"/>
    <w:rsid w:val="005B48F7"/>
    <w:rsid w:val="005B5D7D"/>
    <w:rsid w:val="005B688B"/>
    <w:rsid w:val="005B71B9"/>
    <w:rsid w:val="005B71DC"/>
    <w:rsid w:val="005B76D0"/>
    <w:rsid w:val="005C06AF"/>
    <w:rsid w:val="005C0BF8"/>
    <w:rsid w:val="005C20F7"/>
    <w:rsid w:val="005C2ABD"/>
    <w:rsid w:val="005C2F55"/>
    <w:rsid w:val="005C38A7"/>
    <w:rsid w:val="005C63F5"/>
    <w:rsid w:val="005C7A1F"/>
    <w:rsid w:val="005D015B"/>
    <w:rsid w:val="005D0AD7"/>
    <w:rsid w:val="005D0C2B"/>
    <w:rsid w:val="005D2DCB"/>
    <w:rsid w:val="005D4732"/>
    <w:rsid w:val="005D7364"/>
    <w:rsid w:val="005D7993"/>
    <w:rsid w:val="005E1A14"/>
    <w:rsid w:val="005E44C9"/>
    <w:rsid w:val="005E4685"/>
    <w:rsid w:val="005E5BB9"/>
    <w:rsid w:val="005E7D8E"/>
    <w:rsid w:val="005F1266"/>
    <w:rsid w:val="005F16EC"/>
    <w:rsid w:val="005F17B2"/>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17ABF"/>
    <w:rsid w:val="00621D6D"/>
    <w:rsid w:val="00624F5F"/>
    <w:rsid w:val="0062611B"/>
    <w:rsid w:val="006277EC"/>
    <w:rsid w:val="00630646"/>
    <w:rsid w:val="00632BD0"/>
    <w:rsid w:val="00634A4B"/>
    <w:rsid w:val="00635ECA"/>
    <w:rsid w:val="00637DDA"/>
    <w:rsid w:val="00642E22"/>
    <w:rsid w:val="006550C1"/>
    <w:rsid w:val="00655F61"/>
    <w:rsid w:val="00663E65"/>
    <w:rsid w:val="00665DDD"/>
    <w:rsid w:val="00667586"/>
    <w:rsid w:val="006679E2"/>
    <w:rsid w:val="0067083A"/>
    <w:rsid w:val="00670CCF"/>
    <w:rsid w:val="00670E4B"/>
    <w:rsid w:val="0067155A"/>
    <w:rsid w:val="006724BC"/>
    <w:rsid w:val="006745EF"/>
    <w:rsid w:val="006746C4"/>
    <w:rsid w:val="006771C9"/>
    <w:rsid w:val="00677ABA"/>
    <w:rsid w:val="00684B51"/>
    <w:rsid w:val="00686543"/>
    <w:rsid w:val="00687A51"/>
    <w:rsid w:val="00690502"/>
    <w:rsid w:val="00691715"/>
    <w:rsid w:val="00691F70"/>
    <w:rsid w:val="0069283A"/>
    <w:rsid w:val="0069299B"/>
    <w:rsid w:val="006978FC"/>
    <w:rsid w:val="006A4C2F"/>
    <w:rsid w:val="006A5C54"/>
    <w:rsid w:val="006A5D76"/>
    <w:rsid w:val="006B2BD2"/>
    <w:rsid w:val="006B5071"/>
    <w:rsid w:val="006B6DA9"/>
    <w:rsid w:val="006B71E7"/>
    <w:rsid w:val="006C5470"/>
    <w:rsid w:val="006C5AA4"/>
    <w:rsid w:val="006C6D70"/>
    <w:rsid w:val="006C7523"/>
    <w:rsid w:val="006D041D"/>
    <w:rsid w:val="006D12EF"/>
    <w:rsid w:val="006D177E"/>
    <w:rsid w:val="006D5939"/>
    <w:rsid w:val="006D6598"/>
    <w:rsid w:val="006D6A87"/>
    <w:rsid w:val="006D6D47"/>
    <w:rsid w:val="006E3200"/>
    <w:rsid w:val="006E3E45"/>
    <w:rsid w:val="006E4A3F"/>
    <w:rsid w:val="006E5AD6"/>
    <w:rsid w:val="006E6B2F"/>
    <w:rsid w:val="006F0802"/>
    <w:rsid w:val="006F2FDC"/>
    <w:rsid w:val="0070050A"/>
    <w:rsid w:val="00701FC9"/>
    <w:rsid w:val="00702715"/>
    <w:rsid w:val="00703177"/>
    <w:rsid w:val="007070D1"/>
    <w:rsid w:val="007110EF"/>
    <w:rsid w:val="00714C6D"/>
    <w:rsid w:val="007155C8"/>
    <w:rsid w:val="00716863"/>
    <w:rsid w:val="00717570"/>
    <w:rsid w:val="0071761D"/>
    <w:rsid w:val="007177BD"/>
    <w:rsid w:val="00717CC3"/>
    <w:rsid w:val="00720862"/>
    <w:rsid w:val="00721F06"/>
    <w:rsid w:val="00723E77"/>
    <w:rsid w:val="00725C76"/>
    <w:rsid w:val="00726914"/>
    <w:rsid w:val="007276C7"/>
    <w:rsid w:val="007300A3"/>
    <w:rsid w:val="007306B8"/>
    <w:rsid w:val="00731236"/>
    <w:rsid w:val="00731C55"/>
    <w:rsid w:val="00732582"/>
    <w:rsid w:val="00732767"/>
    <w:rsid w:val="00733726"/>
    <w:rsid w:val="0073472E"/>
    <w:rsid w:val="00736373"/>
    <w:rsid w:val="0073758F"/>
    <w:rsid w:val="00746F5A"/>
    <w:rsid w:val="00747E37"/>
    <w:rsid w:val="007513A7"/>
    <w:rsid w:val="00751504"/>
    <w:rsid w:val="007517B2"/>
    <w:rsid w:val="007526C6"/>
    <w:rsid w:val="0075320C"/>
    <w:rsid w:val="007536EF"/>
    <w:rsid w:val="00753BF0"/>
    <w:rsid w:val="00755FC7"/>
    <w:rsid w:val="00760802"/>
    <w:rsid w:val="00760CB0"/>
    <w:rsid w:val="00760DDB"/>
    <w:rsid w:val="0076390F"/>
    <w:rsid w:val="00763AD8"/>
    <w:rsid w:val="00765BEA"/>
    <w:rsid w:val="007666DE"/>
    <w:rsid w:val="0077291C"/>
    <w:rsid w:val="007738FD"/>
    <w:rsid w:val="00773A5D"/>
    <w:rsid w:val="00776D95"/>
    <w:rsid w:val="00781919"/>
    <w:rsid w:val="007826F0"/>
    <w:rsid w:val="00782C8B"/>
    <w:rsid w:val="00782EF3"/>
    <w:rsid w:val="00784409"/>
    <w:rsid w:val="00787BE5"/>
    <w:rsid w:val="00791CD7"/>
    <w:rsid w:val="00792E96"/>
    <w:rsid w:val="00793250"/>
    <w:rsid w:val="00794B53"/>
    <w:rsid w:val="007975A1"/>
    <w:rsid w:val="007A116D"/>
    <w:rsid w:val="007A155F"/>
    <w:rsid w:val="007A29EE"/>
    <w:rsid w:val="007A6F63"/>
    <w:rsid w:val="007B0654"/>
    <w:rsid w:val="007B10D0"/>
    <w:rsid w:val="007B2B83"/>
    <w:rsid w:val="007B4D8F"/>
    <w:rsid w:val="007B5B52"/>
    <w:rsid w:val="007B6989"/>
    <w:rsid w:val="007B77F4"/>
    <w:rsid w:val="007C1564"/>
    <w:rsid w:val="007C1C13"/>
    <w:rsid w:val="007C27BF"/>
    <w:rsid w:val="007C2E08"/>
    <w:rsid w:val="007C456E"/>
    <w:rsid w:val="007C4F92"/>
    <w:rsid w:val="007C63C9"/>
    <w:rsid w:val="007D0DD3"/>
    <w:rsid w:val="007D1241"/>
    <w:rsid w:val="007D1696"/>
    <w:rsid w:val="007D46EC"/>
    <w:rsid w:val="007D4874"/>
    <w:rsid w:val="007D5914"/>
    <w:rsid w:val="007D76AC"/>
    <w:rsid w:val="007E04C2"/>
    <w:rsid w:val="007E3A62"/>
    <w:rsid w:val="007E4448"/>
    <w:rsid w:val="007E4C1C"/>
    <w:rsid w:val="007E667A"/>
    <w:rsid w:val="007F098A"/>
    <w:rsid w:val="007F1A35"/>
    <w:rsid w:val="007F1DB3"/>
    <w:rsid w:val="007F31E7"/>
    <w:rsid w:val="007F6A4A"/>
    <w:rsid w:val="007F6C18"/>
    <w:rsid w:val="007F7F83"/>
    <w:rsid w:val="00800DC9"/>
    <w:rsid w:val="00802238"/>
    <w:rsid w:val="0080270D"/>
    <w:rsid w:val="00802DD1"/>
    <w:rsid w:val="00803663"/>
    <w:rsid w:val="00803DC1"/>
    <w:rsid w:val="0080455C"/>
    <w:rsid w:val="00806901"/>
    <w:rsid w:val="00807C9C"/>
    <w:rsid w:val="00810974"/>
    <w:rsid w:val="00811C64"/>
    <w:rsid w:val="0081445E"/>
    <w:rsid w:val="0081468A"/>
    <w:rsid w:val="0081539D"/>
    <w:rsid w:val="00820BBA"/>
    <w:rsid w:val="00825CEA"/>
    <w:rsid w:val="00826495"/>
    <w:rsid w:val="00826A8E"/>
    <w:rsid w:val="008276AF"/>
    <w:rsid w:val="00827AB4"/>
    <w:rsid w:val="008346D9"/>
    <w:rsid w:val="00834E31"/>
    <w:rsid w:val="00835269"/>
    <w:rsid w:val="00837419"/>
    <w:rsid w:val="00841969"/>
    <w:rsid w:val="0084230F"/>
    <w:rsid w:val="00843E6D"/>
    <w:rsid w:val="0084449A"/>
    <w:rsid w:val="0084496E"/>
    <w:rsid w:val="00846157"/>
    <w:rsid w:val="008479FF"/>
    <w:rsid w:val="00851F7D"/>
    <w:rsid w:val="008535D2"/>
    <w:rsid w:val="00854624"/>
    <w:rsid w:val="008619A1"/>
    <w:rsid w:val="00861D87"/>
    <w:rsid w:val="00861F35"/>
    <w:rsid w:val="0086246D"/>
    <w:rsid w:val="00862904"/>
    <w:rsid w:val="008646B1"/>
    <w:rsid w:val="008660CD"/>
    <w:rsid w:val="00870789"/>
    <w:rsid w:val="0087299F"/>
    <w:rsid w:val="00873EBB"/>
    <w:rsid w:val="0087426A"/>
    <w:rsid w:val="0087707F"/>
    <w:rsid w:val="00880AE4"/>
    <w:rsid w:val="00881756"/>
    <w:rsid w:val="0088337A"/>
    <w:rsid w:val="008858B1"/>
    <w:rsid w:val="0088599A"/>
    <w:rsid w:val="00886511"/>
    <w:rsid w:val="00887480"/>
    <w:rsid w:val="00887FD2"/>
    <w:rsid w:val="00895657"/>
    <w:rsid w:val="008966C9"/>
    <w:rsid w:val="00897A59"/>
    <w:rsid w:val="008A1958"/>
    <w:rsid w:val="008A2A50"/>
    <w:rsid w:val="008A4BAB"/>
    <w:rsid w:val="008A662B"/>
    <w:rsid w:val="008A778E"/>
    <w:rsid w:val="008A7EED"/>
    <w:rsid w:val="008B54A4"/>
    <w:rsid w:val="008B5D02"/>
    <w:rsid w:val="008B6038"/>
    <w:rsid w:val="008B7D19"/>
    <w:rsid w:val="008C113D"/>
    <w:rsid w:val="008C617D"/>
    <w:rsid w:val="008C67B4"/>
    <w:rsid w:val="008C6E04"/>
    <w:rsid w:val="008D0955"/>
    <w:rsid w:val="008D099A"/>
    <w:rsid w:val="008D13F8"/>
    <w:rsid w:val="008D19E0"/>
    <w:rsid w:val="008D231E"/>
    <w:rsid w:val="008D5920"/>
    <w:rsid w:val="008D5D69"/>
    <w:rsid w:val="008E05A2"/>
    <w:rsid w:val="008E0F02"/>
    <w:rsid w:val="008E4EE4"/>
    <w:rsid w:val="008E61F1"/>
    <w:rsid w:val="008E6ABA"/>
    <w:rsid w:val="008E6C8B"/>
    <w:rsid w:val="008E7641"/>
    <w:rsid w:val="008E7728"/>
    <w:rsid w:val="008F141B"/>
    <w:rsid w:val="008F5E85"/>
    <w:rsid w:val="008F70FC"/>
    <w:rsid w:val="00900FB2"/>
    <w:rsid w:val="009015EF"/>
    <w:rsid w:val="00901DB7"/>
    <w:rsid w:val="00903678"/>
    <w:rsid w:val="00904499"/>
    <w:rsid w:val="00904AA6"/>
    <w:rsid w:val="00905D01"/>
    <w:rsid w:val="00906B25"/>
    <w:rsid w:val="00906EE0"/>
    <w:rsid w:val="00911523"/>
    <w:rsid w:val="00912E3B"/>
    <w:rsid w:val="00916987"/>
    <w:rsid w:val="00916E16"/>
    <w:rsid w:val="009209D2"/>
    <w:rsid w:val="009235DA"/>
    <w:rsid w:val="00927377"/>
    <w:rsid w:val="00930118"/>
    <w:rsid w:val="009313F0"/>
    <w:rsid w:val="009325CD"/>
    <w:rsid w:val="00935232"/>
    <w:rsid w:val="009357B9"/>
    <w:rsid w:val="00937D34"/>
    <w:rsid w:val="00941FC0"/>
    <w:rsid w:val="009462EB"/>
    <w:rsid w:val="009501A5"/>
    <w:rsid w:val="0095029E"/>
    <w:rsid w:val="009515D1"/>
    <w:rsid w:val="00951CB7"/>
    <w:rsid w:val="009540D3"/>
    <w:rsid w:val="00957955"/>
    <w:rsid w:val="009606F2"/>
    <w:rsid w:val="00961CEF"/>
    <w:rsid w:val="00962975"/>
    <w:rsid w:val="00963A5D"/>
    <w:rsid w:val="0096412A"/>
    <w:rsid w:val="009647E8"/>
    <w:rsid w:val="009649A5"/>
    <w:rsid w:val="009666EA"/>
    <w:rsid w:val="00970A22"/>
    <w:rsid w:val="00971AA2"/>
    <w:rsid w:val="00973D4B"/>
    <w:rsid w:val="00975C7D"/>
    <w:rsid w:val="00981AB2"/>
    <w:rsid w:val="00981C49"/>
    <w:rsid w:val="009835B6"/>
    <w:rsid w:val="0098598E"/>
    <w:rsid w:val="0099104D"/>
    <w:rsid w:val="00992A0D"/>
    <w:rsid w:val="009951A7"/>
    <w:rsid w:val="009960BD"/>
    <w:rsid w:val="009A2102"/>
    <w:rsid w:val="009A2379"/>
    <w:rsid w:val="009A270A"/>
    <w:rsid w:val="009A2769"/>
    <w:rsid w:val="009A2912"/>
    <w:rsid w:val="009A376E"/>
    <w:rsid w:val="009A67D1"/>
    <w:rsid w:val="009A6905"/>
    <w:rsid w:val="009B0D30"/>
    <w:rsid w:val="009B2C76"/>
    <w:rsid w:val="009B47BE"/>
    <w:rsid w:val="009B4AAA"/>
    <w:rsid w:val="009C00B4"/>
    <w:rsid w:val="009C1E60"/>
    <w:rsid w:val="009C260F"/>
    <w:rsid w:val="009C2B05"/>
    <w:rsid w:val="009C44F2"/>
    <w:rsid w:val="009C5FA5"/>
    <w:rsid w:val="009C62C2"/>
    <w:rsid w:val="009C65DB"/>
    <w:rsid w:val="009C6DB3"/>
    <w:rsid w:val="009D085C"/>
    <w:rsid w:val="009D3960"/>
    <w:rsid w:val="009D5073"/>
    <w:rsid w:val="009D558F"/>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4A4A"/>
    <w:rsid w:val="00A16E4A"/>
    <w:rsid w:val="00A20293"/>
    <w:rsid w:val="00A21B17"/>
    <w:rsid w:val="00A22E72"/>
    <w:rsid w:val="00A26193"/>
    <w:rsid w:val="00A3120C"/>
    <w:rsid w:val="00A314A5"/>
    <w:rsid w:val="00A31C8C"/>
    <w:rsid w:val="00A337AF"/>
    <w:rsid w:val="00A41C16"/>
    <w:rsid w:val="00A4252F"/>
    <w:rsid w:val="00A43E5B"/>
    <w:rsid w:val="00A4492E"/>
    <w:rsid w:val="00A4524C"/>
    <w:rsid w:val="00A45CD1"/>
    <w:rsid w:val="00A51B03"/>
    <w:rsid w:val="00A51BDE"/>
    <w:rsid w:val="00A53530"/>
    <w:rsid w:val="00A5669E"/>
    <w:rsid w:val="00A57106"/>
    <w:rsid w:val="00A60435"/>
    <w:rsid w:val="00A61617"/>
    <w:rsid w:val="00A63925"/>
    <w:rsid w:val="00A63EC2"/>
    <w:rsid w:val="00A70DDB"/>
    <w:rsid w:val="00A7144E"/>
    <w:rsid w:val="00A72C00"/>
    <w:rsid w:val="00A73C9D"/>
    <w:rsid w:val="00A746F9"/>
    <w:rsid w:val="00A767FF"/>
    <w:rsid w:val="00A769D3"/>
    <w:rsid w:val="00A82845"/>
    <w:rsid w:val="00A839D1"/>
    <w:rsid w:val="00A85F9C"/>
    <w:rsid w:val="00A86330"/>
    <w:rsid w:val="00A86999"/>
    <w:rsid w:val="00A90599"/>
    <w:rsid w:val="00A9167C"/>
    <w:rsid w:val="00AA246F"/>
    <w:rsid w:val="00AA2866"/>
    <w:rsid w:val="00AA2A90"/>
    <w:rsid w:val="00AA4BD2"/>
    <w:rsid w:val="00AA664D"/>
    <w:rsid w:val="00AB0BBE"/>
    <w:rsid w:val="00AB1E43"/>
    <w:rsid w:val="00AB1E6F"/>
    <w:rsid w:val="00AB43A7"/>
    <w:rsid w:val="00AB44AD"/>
    <w:rsid w:val="00AB5F14"/>
    <w:rsid w:val="00AB69CA"/>
    <w:rsid w:val="00AB70E0"/>
    <w:rsid w:val="00AB751F"/>
    <w:rsid w:val="00AC05F9"/>
    <w:rsid w:val="00AC0D38"/>
    <w:rsid w:val="00AC2232"/>
    <w:rsid w:val="00AC3BE8"/>
    <w:rsid w:val="00AC3F30"/>
    <w:rsid w:val="00AD03F1"/>
    <w:rsid w:val="00AD13A1"/>
    <w:rsid w:val="00AD16CF"/>
    <w:rsid w:val="00AD2CDE"/>
    <w:rsid w:val="00AD49B2"/>
    <w:rsid w:val="00AD4F37"/>
    <w:rsid w:val="00AD5688"/>
    <w:rsid w:val="00AD5E0C"/>
    <w:rsid w:val="00AD69B9"/>
    <w:rsid w:val="00AE040F"/>
    <w:rsid w:val="00AE0617"/>
    <w:rsid w:val="00AE1785"/>
    <w:rsid w:val="00AE385E"/>
    <w:rsid w:val="00AE6E0C"/>
    <w:rsid w:val="00AE7343"/>
    <w:rsid w:val="00AE7E5F"/>
    <w:rsid w:val="00AF0BB1"/>
    <w:rsid w:val="00AF201C"/>
    <w:rsid w:val="00AF31F9"/>
    <w:rsid w:val="00AF35AC"/>
    <w:rsid w:val="00AF3DFF"/>
    <w:rsid w:val="00AF400D"/>
    <w:rsid w:val="00AF5F84"/>
    <w:rsid w:val="00AF713F"/>
    <w:rsid w:val="00B012B5"/>
    <w:rsid w:val="00B03B6E"/>
    <w:rsid w:val="00B041B3"/>
    <w:rsid w:val="00B04FC9"/>
    <w:rsid w:val="00B07CFC"/>
    <w:rsid w:val="00B12763"/>
    <w:rsid w:val="00B12DBC"/>
    <w:rsid w:val="00B13F4C"/>
    <w:rsid w:val="00B16451"/>
    <w:rsid w:val="00B208BA"/>
    <w:rsid w:val="00B22B58"/>
    <w:rsid w:val="00B23416"/>
    <w:rsid w:val="00B24B44"/>
    <w:rsid w:val="00B2548E"/>
    <w:rsid w:val="00B30803"/>
    <w:rsid w:val="00B31C19"/>
    <w:rsid w:val="00B347B2"/>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57A60"/>
    <w:rsid w:val="00B64054"/>
    <w:rsid w:val="00B65A74"/>
    <w:rsid w:val="00B65DBF"/>
    <w:rsid w:val="00B7060E"/>
    <w:rsid w:val="00B70F8B"/>
    <w:rsid w:val="00B71578"/>
    <w:rsid w:val="00B720DF"/>
    <w:rsid w:val="00B7386A"/>
    <w:rsid w:val="00B74502"/>
    <w:rsid w:val="00B74B0C"/>
    <w:rsid w:val="00B7588E"/>
    <w:rsid w:val="00B76EB7"/>
    <w:rsid w:val="00B771F9"/>
    <w:rsid w:val="00B80736"/>
    <w:rsid w:val="00B81902"/>
    <w:rsid w:val="00B92EB2"/>
    <w:rsid w:val="00B96129"/>
    <w:rsid w:val="00B97308"/>
    <w:rsid w:val="00BA3508"/>
    <w:rsid w:val="00BA4274"/>
    <w:rsid w:val="00BA4B7B"/>
    <w:rsid w:val="00BA56C2"/>
    <w:rsid w:val="00BB1214"/>
    <w:rsid w:val="00BB1CA6"/>
    <w:rsid w:val="00BB41C8"/>
    <w:rsid w:val="00BB5A19"/>
    <w:rsid w:val="00BB7FAA"/>
    <w:rsid w:val="00BC0CC3"/>
    <w:rsid w:val="00BC1FD4"/>
    <w:rsid w:val="00BC3874"/>
    <w:rsid w:val="00BC6CD4"/>
    <w:rsid w:val="00BC7BC3"/>
    <w:rsid w:val="00BD0960"/>
    <w:rsid w:val="00BD3F6A"/>
    <w:rsid w:val="00BD4BED"/>
    <w:rsid w:val="00BD5610"/>
    <w:rsid w:val="00BD56DB"/>
    <w:rsid w:val="00BD7BB6"/>
    <w:rsid w:val="00BE40B8"/>
    <w:rsid w:val="00BF130A"/>
    <w:rsid w:val="00BF185F"/>
    <w:rsid w:val="00BF2C83"/>
    <w:rsid w:val="00BF40F9"/>
    <w:rsid w:val="00BF5FB2"/>
    <w:rsid w:val="00BF7E9A"/>
    <w:rsid w:val="00C003B4"/>
    <w:rsid w:val="00C0064D"/>
    <w:rsid w:val="00C00D7C"/>
    <w:rsid w:val="00C0231B"/>
    <w:rsid w:val="00C103D4"/>
    <w:rsid w:val="00C10771"/>
    <w:rsid w:val="00C1162E"/>
    <w:rsid w:val="00C13466"/>
    <w:rsid w:val="00C134F4"/>
    <w:rsid w:val="00C14370"/>
    <w:rsid w:val="00C148C0"/>
    <w:rsid w:val="00C14E6E"/>
    <w:rsid w:val="00C16B38"/>
    <w:rsid w:val="00C22980"/>
    <w:rsid w:val="00C23B0F"/>
    <w:rsid w:val="00C261EA"/>
    <w:rsid w:val="00C348D9"/>
    <w:rsid w:val="00C3671A"/>
    <w:rsid w:val="00C36875"/>
    <w:rsid w:val="00C4146A"/>
    <w:rsid w:val="00C425B0"/>
    <w:rsid w:val="00C42F30"/>
    <w:rsid w:val="00C46925"/>
    <w:rsid w:val="00C46CD6"/>
    <w:rsid w:val="00C54773"/>
    <w:rsid w:val="00C558CC"/>
    <w:rsid w:val="00C55FAC"/>
    <w:rsid w:val="00C56AA5"/>
    <w:rsid w:val="00C56C38"/>
    <w:rsid w:val="00C6161E"/>
    <w:rsid w:val="00C63337"/>
    <w:rsid w:val="00C63986"/>
    <w:rsid w:val="00C64B31"/>
    <w:rsid w:val="00C675E4"/>
    <w:rsid w:val="00C67D60"/>
    <w:rsid w:val="00C70515"/>
    <w:rsid w:val="00C804F7"/>
    <w:rsid w:val="00C81058"/>
    <w:rsid w:val="00C82B0E"/>
    <w:rsid w:val="00C84D6D"/>
    <w:rsid w:val="00C85B97"/>
    <w:rsid w:val="00C85E5E"/>
    <w:rsid w:val="00C86F1B"/>
    <w:rsid w:val="00C9096D"/>
    <w:rsid w:val="00C91BC1"/>
    <w:rsid w:val="00C93767"/>
    <w:rsid w:val="00C93D36"/>
    <w:rsid w:val="00C95930"/>
    <w:rsid w:val="00C9634D"/>
    <w:rsid w:val="00C96E7C"/>
    <w:rsid w:val="00C97D17"/>
    <w:rsid w:val="00CA069C"/>
    <w:rsid w:val="00CA1A4C"/>
    <w:rsid w:val="00CA2A8C"/>
    <w:rsid w:val="00CA3A76"/>
    <w:rsid w:val="00CA449E"/>
    <w:rsid w:val="00CB25CD"/>
    <w:rsid w:val="00CB38D7"/>
    <w:rsid w:val="00CB6600"/>
    <w:rsid w:val="00CB7762"/>
    <w:rsid w:val="00CC30E1"/>
    <w:rsid w:val="00CC3303"/>
    <w:rsid w:val="00CC423B"/>
    <w:rsid w:val="00CC56AF"/>
    <w:rsid w:val="00CD225E"/>
    <w:rsid w:val="00CD3182"/>
    <w:rsid w:val="00CD3768"/>
    <w:rsid w:val="00CD5D9B"/>
    <w:rsid w:val="00CD756F"/>
    <w:rsid w:val="00CE08D4"/>
    <w:rsid w:val="00CE299E"/>
    <w:rsid w:val="00CE3B6F"/>
    <w:rsid w:val="00CF494E"/>
    <w:rsid w:val="00D016D5"/>
    <w:rsid w:val="00D02743"/>
    <w:rsid w:val="00D0448D"/>
    <w:rsid w:val="00D10242"/>
    <w:rsid w:val="00D11C98"/>
    <w:rsid w:val="00D12B3D"/>
    <w:rsid w:val="00D13E9D"/>
    <w:rsid w:val="00D148F7"/>
    <w:rsid w:val="00D15552"/>
    <w:rsid w:val="00D15FA8"/>
    <w:rsid w:val="00D165E8"/>
    <w:rsid w:val="00D17C6C"/>
    <w:rsid w:val="00D17ED6"/>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1B74"/>
    <w:rsid w:val="00D5236E"/>
    <w:rsid w:val="00D532E1"/>
    <w:rsid w:val="00D53D1A"/>
    <w:rsid w:val="00D55A52"/>
    <w:rsid w:val="00D5633E"/>
    <w:rsid w:val="00D5795F"/>
    <w:rsid w:val="00D617EB"/>
    <w:rsid w:val="00D61D14"/>
    <w:rsid w:val="00D64133"/>
    <w:rsid w:val="00D65F8D"/>
    <w:rsid w:val="00D71A37"/>
    <w:rsid w:val="00D71C81"/>
    <w:rsid w:val="00D72195"/>
    <w:rsid w:val="00D7394A"/>
    <w:rsid w:val="00D7641E"/>
    <w:rsid w:val="00D816AA"/>
    <w:rsid w:val="00D83BDC"/>
    <w:rsid w:val="00D851A1"/>
    <w:rsid w:val="00D8597C"/>
    <w:rsid w:val="00D92EF6"/>
    <w:rsid w:val="00D95708"/>
    <w:rsid w:val="00D96A6E"/>
    <w:rsid w:val="00D9778B"/>
    <w:rsid w:val="00DA3130"/>
    <w:rsid w:val="00DA31A9"/>
    <w:rsid w:val="00DA58E4"/>
    <w:rsid w:val="00DB06D2"/>
    <w:rsid w:val="00DB0E66"/>
    <w:rsid w:val="00DB2655"/>
    <w:rsid w:val="00DB2B03"/>
    <w:rsid w:val="00DB3DC7"/>
    <w:rsid w:val="00DB495E"/>
    <w:rsid w:val="00DB4F16"/>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428C"/>
    <w:rsid w:val="00E14366"/>
    <w:rsid w:val="00E1739C"/>
    <w:rsid w:val="00E179B2"/>
    <w:rsid w:val="00E23EF4"/>
    <w:rsid w:val="00E24F24"/>
    <w:rsid w:val="00E32272"/>
    <w:rsid w:val="00E32B08"/>
    <w:rsid w:val="00E3344C"/>
    <w:rsid w:val="00E35707"/>
    <w:rsid w:val="00E35DD8"/>
    <w:rsid w:val="00E37623"/>
    <w:rsid w:val="00E422F7"/>
    <w:rsid w:val="00E433EB"/>
    <w:rsid w:val="00E477EF"/>
    <w:rsid w:val="00E5194C"/>
    <w:rsid w:val="00E51B45"/>
    <w:rsid w:val="00E55B5E"/>
    <w:rsid w:val="00E56B57"/>
    <w:rsid w:val="00E57385"/>
    <w:rsid w:val="00E60384"/>
    <w:rsid w:val="00E60777"/>
    <w:rsid w:val="00E62DA0"/>
    <w:rsid w:val="00E64C57"/>
    <w:rsid w:val="00E65CB1"/>
    <w:rsid w:val="00E66F14"/>
    <w:rsid w:val="00E7103C"/>
    <w:rsid w:val="00E71AF5"/>
    <w:rsid w:val="00E72DEE"/>
    <w:rsid w:val="00E73AB1"/>
    <w:rsid w:val="00E73C3B"/>
    <w:rsid w:val="00E74758"/>
    <w:rsid w:val="00E74A45"/>
    <w:rsid w:val="00E74F32"/>
    <w:rsid w:val="00E82529"/>
    <w:rsid w:val="00E83270"/>
    <w:rsid w:val="00E839E0"/>
    <w:rsid w:val="00E846EF"/>
    <w:rsid w:val="00E849D1"/>
    <w:rsid w:val="00E84B4C"/>
    <w:rsid w:val="00E86621"/>
    <w:rsid w:val="00E93AC5"/>
    <w:rsid w:val="00E94579"/>
    <w:rsid w:val="00E9459D"/>
    <w:rsid w:val="00E96448"/>
    <w:rsid w:val="00E967EF"/>
    <w:rsid w:val="00E96FDF"/>
    <w:rsid w:val="00E97110"/>
    <w:rsid w:val="00E9798C"/>
    <w:rsid w:val="00EA0B57"/>
    <w:rsid w:val="00EA1035"/>
    <w:rsid w:val="00EA1F98"/>
    <w:rsid w:val="00EA3C4B"/>
    <w:rsid w:val="00EA5D83"/>
    <w:rsid w:val="00EB1DC5"/>
    <w:rsid w:val="00EB1F25"/>
    <w:rsid w:val="00EB340B"/>
    <w:rsid w:val="00EB41D1"/>
    <w:rsid w:val="00EB4ED8"/>
    <w:rsid w:val="00EB54DF"/>
    <w:rsid w:val="00EB5C12"/>
    <w:rsid w:val="00EC014B"/>
    <w:rsid w:val="00EC20A8"/>
    <w:rsid w:val="00EC4DA7"/>
    <w:rsid w:val="00EC5B1A"/>
    <w:rsid w:val="00EC6112"/>
    <w:rsid w:val="00EC7446"/>
    <w:rsid w:val="00ED0886"/>
    <w:rsid w:val="00ED1774"/>
    <w:rsid w:val="00ED2EED"/>
    <w:rsid w:val="00ED361D"/>
    <w:rsid w:val="00ED3C83"/>
    <w:rsid w:val="00ED51F7"/>
    <w:rsid w:val="00ED5BE9"/>
    <w:rsid w:val="00ED6978"/>
    <w:rsid w:val="00ED7537"/>
    <w:rsid w:val="00ED7A88"/>
    <w:rsid w:val="00EE0752"/>
    <w:rsid w:val="00EE0BE9"/>
    <w:rsid w:val="00EE2198"/>
    <w:rsid w:val="00EE3A0B"/>
    <w:rsid w:val="00EE5ADB"/>
    <w:rsid w:val="00EE627E"/>
    <w:rsid w:val="00EF0F24"/>
    <w:rsid w:val="00EF17C7"/>
    <w:rsid w:val="00EF2803"/>
    <w:rsid w:val="00EF32E8"/>
    <w:rsid w:val="00EF3C12"/>
    <w:rsid w:val="00EF6658"/>
    <w:rsid w:val="00F00CF3"/>
    <w:rsid w:val="00F01411"/>
    <w:rsid w:val="00F01B5D"/>
    <w:rsid w:val="00F06553"/>
    <w:rsid w:val="00F11E42"/>
    <w:rsid w:val="00F12347"/>
    <w:rsid w:val="00F13525"/>
    <w:rsid w:val="00F14271"/>
    <w:rsid w:val="00F16830"/>
    <w:rsid w:val="00F209DC"/>
    <w:rsid w:val="00F22592"/>
    <w:rsid w:val="00F23ECA"/>
    <w:rsid w:val="00F24DD9"/>
    <w:rsid w:val="00F2528C"/>
    <w:rsid w:val="00F32735"/>
    <w:rsid w:val="00F348A6"/>
    <w:rsid w:val="00F35C73"/>
    <w:rsid w:val="00F36F9F"/>
    <w:rsid w:val="00F424D0"/>
    <w:rsid w:val="00F42EEF"/>
    <w:rsid w:val="00F42EF2"/>
    <w:rsid w:val="00F433FF"/>
    <w:rsid w:val="00F4414C"/>
    <w:rsid w:val="00F442E0"/>
    <w:rsid w:val="00F44F9D"/>
    <w:rsid w:val="00F451A9"/>
    <w:rsid w:val="00F473B3"/>
    <w:rsid w:val="00F50AB2"/>
    <w:rsid w:val="00F51457"/>
    <w:rsid w:val="00F52884"/>
    <w:rsid w:val="00F5291A"/>
    <w:rsid w:val="00F549CF"/>
    <w:rsid w:val="00F56D41"/>
    <w:rsid w:val="00F57D8B"/>
    <w:rsid w:val="00F602FC"/>
    <w:rsid w:val="00F60EAE"/>
    <w:rsid w:val="00F63670"/>
    <w:rsid w:val="00F65276"/>
    <w:rsid w:val="00F721D0"/>
    <w:rsid w:val="00F73718"/>
    <w:rsid w:val="00F73F1B"/>
    <w:rsid w:val="00F742B5"/>
    <w:rsid w:val="00F776EA"/>
    <w:rsid w:val="00F80CE5"/>
    <w:rsid w:val="00F8253D"/>
    <w:rsid w:val="00F82C93"/>
    <w:rsid w:val="00F91B0F"/>
    <w:rsid w:val="00F9388E"/>
    <w:rsid w:val="00F94A0B"/>
    <w:rsid w:val="00F95688"/>
    <w:rsid w:val="00F978EA"/>
    <w:rsid w:val="00FA2083"/>
    <w:rsid w:val="00FA22E2"/>
    <w:rsid w:val="00FA335C"/>
    <w:rsid w:val="00FA5344"/>
    <w:rsid w:val="00FB157B"/>
    <w:rsid w:val="00FB5B08"/>
    <w:rsid w:val="00FC3FDF"/>
    <w:rsid w:val="00FC4282"/>
    <w:rsid w:val="00FC4C5B"/>
    <w:rsid w:val="00FC5E5A"/>
    <w:rsid w:val="00FC64B2"/>
    <w:rsid w:val="00FC688A"/>
    <w:rsid w:val="00FC79ED"/>
    <w:rsid w:val="00FD0A4D"/>
    <w:rsid w:val="00FD2FA0"/>
    <w:rsid w:val="00FD551E"/>
    <w:rsid w:val="00FD5EAB"/>
    <w:rsid w:val="00FE1227"/>
    <w:rsid w:val="00FE21A8"/>
    <w:rsid w:val="00FE3405"/>
    <w:rsid w:val="00FE4859"/>
    <w:rsid w:val="00FE4936"/>
    <w:rsid w:val="00FE5300"/>
    <w:rsid w:val="00FE534E"/>
    <w:rsid w:val="00FE6E46"/>
    <w:rsid w:val="00FE7FAD"/>
    <w:rsid w:val="00FF2809"/>
    <w:rsid w:val="00FF2F4D"/>
    <w:rsid w:val="00FF35AC"/>
    <w:rsid w:val="00FF3F0A"/>
    <w:rsid w:val="00FF7076"/>
    <w:rsid w:val="012873D3"/>
    <w:rsid w:val="01401F5A"/>
    <w:rsid w:val="01C51F26"/>
    <w:rsid w:val="021B6523"/>
    <w:rsid w:val="02861C5D"/>
    <w:rsid w:val="02864E82"/>
    <w:rsid w:val="028E5BF7"/>
    <w:rsid w:val="029175FA"/>
    <w:rsid w:val="02A46519"/>
    <w:rsid w:val="02C34EEE"/>
    <w:rsid w:val="02F30FA1"/>
    <w:rsid w:val="030663D5"/>
    <w:rsid w:val="0319135E"/>
    <w:rsid w:val="031D75DC"/>
    <w:rsid w:val="03262851"/>
    <w:rsid w:val="034F46D6"/>
    <w:rsid w:val="03784CB1"/>
    <w:rsid w:val="04051239"/>
    <w:rsid w:val="04736AA8"/>
    <w:rsid w:val="04CC6B4B"/>
    <w:rsid w:val="053E2C54"/>
    <w:rsid w:val="0654321E"/>
    <w:rsid w:val="068C1FDE"/>
    <w:rsid w:val="06B0131B"/>
    <w:rsid w:val="06ED1BCA"/>
    <w:rsid w:val="06F91383"/>
    <w:rsid w:val="079A247E"/>
    <w:rsid w:val="079B2882"/>
    <w:rsid w:val="07B71116"/>
    <w:rsid w:val="07F27FE4"/>
    <w:rsid w:val="08190C3F"/>
    <w:rsid w:val="08405380"/>
    <w:rsid w:val="084C7301"/>
    <w:rsid w:val="08980A8D"/>
    <w:rsid w:val="08A07782"/>
    <w:rsid w:val="09572537"/>
    <w:rsid w:val="09694699"/>
    <w:rsid w:val="09992B4F"/>
    <w:rsid w:val="09E8138B"/>
    <w:rsid w:val="0A6071C9"/>
    <w:rsid w:val="0AA572D2"/>
    <w:rsid w:val="0AD03B89"/>
    <w:rsid w:val="0AD74C6D"/>
    <w:rsid w:val="0AF60B0D"/>
    <w:rsid w:val="0B067BB8"/>
    <w:rsid w:val="0B124F09"/>
    <w:rsid w:val="0B896BF3"/>
    <w:rsid w:val="0B8B296C"/>
    <w:rsid w:val="0B8E5FB8"/>
    <w:rsid w:val="0B8F7378"/>
    <w:rsid w:val="0B9818EB"/>
    <w:rsid w:val="0BA5348D"/>
    <w:rsid w:val="0BC31006"/>
    <w:rsid w:val="0C26412E"/>
    <w:rsid w:val="0C9B41C4"/>
    <w:rsid w:val="0CF757AC"/>
    <w:rsid w:val="0D2C751C"/>
    <w:rsid w:val="0D57008A"/>
    <w:rsid w:val="0D7D135A"/>
    <w:rsid w:val="0D9E4C87"/>
    <w:rsid w:val="0DA56F93"/>
    <w:rsid w:val="0DB52476"/>
    <w:rsid w:val="0DCE1A94"/>
    <w:rsid w:val="0DDC0C86"/>
    <w:rsid w:val="0DDC3FD5"/>
    <w:rsid w:val="0E7E1C83"/>
    <w:rsid w:val="0E7E5E5F"/>
    <w:rsid w:val="0F603F8D"/>
    <w:rsid w:val="0F747D3A"/>
    <w:rsid w:val="1049527D"/>
    <w:rsid w:val="106A2B50"/>
    <w:rsid w:val="10B34976"/>
    <w:rsid w:val="110F725F"/>
    <w:rsid w:val="11163121"/>
    <w:rsid w:val="11285B62"/>
    <w:rsid w:val="113476FC"/>
    <w:rsid w:val="11380EA0"/>
    <w:rsid w:val="11B30526"/>
    <w:rsid w:val="12214824"/>
    <w:rsid w:val="12315DC0"/>
    <w:rsid w:val="12362D47"/>
    <w:rsid w:val="12DD0C75"/>
    <w:rsid w:val="12FA67BA"/>
    <w:rsid w:val="13304B67"/>
    <w:rsid w:val="134566BC"/>
    <w:rsid w:val="135774FE"/>
    <w:rsid w:val="13A46379"/>
    <w:rsid w:val="13AD66FE"/>
    <w:rsid w:val="13F310AE"/>
    <w:rsid w:val="13FA243C"/>
    <w:rsid w:val="142011A6"/>
    <w:rsid w:val="144C6CB5"/>
    <w:rsid w:val="14564609"/>
    <w:rsid w:val="14583120"/>
    <w:rsid w:val="15215C70"/>
    <w:rsid w:val="15495F87"/>
    <w:rsid w:val="1574342C"/>
    <w:rsid w:val="15965C16"/>
    <w:rsid w:val="15A444A6"/>
    <w:rsid w:val="16277A0B"/>
    <w:rsid w:val="162E6FC6"/>
    <w:rsid w:val="16852D6C"/>
    <w:rsid w:val="16884649"/>
    <w:rsid w:val="16C94348"/>
    <w:rsid w:val="17517F11"/>
    <w:rsid w:val="17B24919"/>
    <w:rsid w:val="17B4163D"/>
    <w:rsid w:val="17C9694A"/>
    <w:rsid w:val="17F94FFE"/>
    <w:rsid w:val="1813218C"/>
    <w:rsid w:val="181745F5"/>
    <w:rsid w:val="182F467F"/>
    <w:rsid w:val="185B7983"/>
    <w:rsid w:val="18AF29F3"/>
    <w:rsid w:val="18DC65B5"/>
    <w:rsid w:val="190805F5"/>
    <w:rsid w:val="19371006"/>
    <w:rsid w:val="19660714"/>
    <w:rsid w:val="197C2955"/>
    <w:rsid w:val="19E82C89"/>
    <w:rsid w:val="1A4268EB"/>
    <w:rsid w:val="1A444411"/>
    <w:rsid w:val="1A5279E9"/>
    <w:rsid w:val="1AD43112"/>
    <w:rsid w:val="1B925650"/>
    <w:rsid w:val="1BEB63D8"/>
    <w:rsid w:val="1C78157F"/>
    <w:rsid w:val="1C8B1F64"/>
    <w:rsid w:val="1CD25790"/>
    <w:rsid w:val="1D050C0D"/>
    <w:rsid w:val="1D3544E5"/>
    <w:rsid w:val="1D787557"/>
    <w:rsid w:val="1E036392"/>
    <w:rsid w:val="1E097B16"/>
    <w:rsid w:val="1E53284B"/>
    <w:rsid w:val="1E5F512D"/>
    <w:rsid w:val="1E892E63"/>
    <w:rsid w:val="1E933482"/>
    <w:rsid w:val="1EE70F94"/>
    <w:rsid w:val="1F4F3A29"/>
    <w:rsid w:val="1F9B16E8"/>
    <w:rsid w:val="20085EE1"/>
    <w:rsid w:val="20255070"/>
    <w:rsid w:val="202B6819"/>
    <w:rsid w:val="20EE6FC1"/>
    <w:rsid w:val="20EF1D98"/>
    <w:rsid w:val="21606878"/>
    <w:rsid w:val="2193780B"/>
    <w:rsid w:val="219C0FD7"/>
    <w:rsid w:val="21B65647"/>
    <w:rsid w:val="21FA130C"/>
    <w:rsid w:val="22027AEB"/>
    <w:rsid w:val="22271B75"/>
    <w:rsid w:val="2235090D"/>
    <w:rsid w:val="22547340"/>
    <w:rsid w:val="226570FE"/>
    <w:rsid w:val="22847FC3"/>
    <w:rsid w:val="230A5C39"/>
    <w:rsid w:val="23545E69"/>
    <w:rsid w:val="23A42D0F"/>
    <w:rsid w:val="23A60FED"/>
    <w:rsid w:val="24062928"/>
    <w:rsid w:val="244217C3"/>
    <w:rsid w:val="24446463"/>
    <w:rsid w:val="24462A2D"/>
    <w:rsid w:val="246B6A3F"/>
    <w:rsid w:val="24AD6A4C"/>
    <w:rsid w:val="24AF1021"/>
    <w:rsid w:val="25240775"/>
    <w:rsid w:val="255E9A8F"/>
    <w:rsid w:val="25625F13"/>
    <w:rsid w:val="25761FE8"/>
    <w:rsid w:val="25A55F80"/>
    <w:rsid w:val="26B36D0C"/>
    <w:rsid w:val="26C70FC3"/>
    <w:rsid w:val="271F7DFA"/>
    <w:rsid w:val="272F3A51"/>
    <w:rsid w:val="27333F23"/>
    <w:rsid w:val="27C63A92"/>
    <w:rsid w:val="27E17743"/>
    <w:rsid w:val="27F00097"/>
    <w:rsid w:val="27F8287A"/>
    <w:rsid w:val="280803EC"/>
    <w:rsid w:val="281C69CE"/>
    <w:rsid w:val="282E0237"/>
    <w:rsid w:val="28643197"/>
    <w:rsid w:val="28B44E58"/>
    <w:rsid w:val="28C01D17"/>
    <w:rsid w:val="28C661CF"/>
    <w:rsid w:val="29217386"/>
    <w:rsid w:val="29362D86"/>
    <w:rsid w:val="293E0BC6"/>
    <w:rsid w:val="29A11347"/>
    <w:rsid w:val="29D3144C"/>
    <w:rsid w:val="2A27165A"/>
    <w:rsid w:val="2A2F3040"/>
    <w:rsid w:val="2A4E3D69"/>
    <w:rsid w:val="2B5F21E3"/>
    <w:rsid w:val="2B7566BF"/>
    <w:rsid w:val="2B987F6F"/>
    <w:rsid w:val="2BAD5B8F"/>
    <w:rsid w:val="2BAE36BF"/>
    <w:rsid w:val="2BCB3F2A"/>
    <w:rsid w:val="2C102611"/>
    <w:rsid w:val="2C29369E"/>
    <w:rsid w:val="2C35294C"/>
    <w:rsid w:val="2C9B7CA1"/>
    <w:rsid w:val="2CF27CFD"/>
    <w:rsid w:val="2D5914BC"/>
    <w:rsid w:val="2D821071"/>
    <w:rsid w:val="2DC14C40"/>
    <w:rsid w:val="2DCD2FDA"/>
    <w:rsid w:val="2DD81DDD"/>
    <w:rsid w:val="2E057444"/>
    <w:rsid w:val="2E216B3B"/>
    <w:rsid w:val="2E4A46A0"/>
    <w:rsid w:val="2E513149"/>
    <w:rsid w:val="2E7D5CEC"/>
    <w:rsid w:val="2EB07E70"/>
    <w:rsid w:val="2EB23ECC"/>
    <w:rsid w:val="2EF72DA2"/>
    <w:rsid w:val="2F0267D5"/>
    <w:rsid w:val="2F3515C3"/>
    <w:rsid w:val="2F391C13"/>
    <w:rsid w:val="2F3F38D4"/>
    <w:rsid w:val="2F7970D7"/>
    <w:rsid w:val="2FE64400"/>
    <w:rsid w:val="301339CC"/>
    <w:rsid w:val="3083145F"/>
    <w:rsid w:val="30A7668A"/>
    <w:rsid w:val="30E958BB"/>
    <w:rsid w:val="30F20D3F"/>
    <w:rsid w:val="31320866"/>
    <w:rsid w:val="313B43AB"/>
    <w:rsid w:val="317407C0"/>
    <w:rsid w:val="31AB7E01"/>
    <w:rsid w:val="32207518"/>
    <w:rsid w:val="32A45578"/>
    <w:rsid w:val="32B3311C"/>
    <w:rsid w:val="3312555B"/>
    <w:rsid w:val="33274478"/>
    <w:rsid w:val="334502B8"/>
    <w:rsid w:val="3384079C"/>
    <w:rsid w:val="33AA6EA7"/>
    <w:rsid w:val="33DC5692"/>
    <w:rsid w:val="33E54C86"/>
    <w:rsid w:val="342F6C69"/>
    <w:rsid w:val="34A00986"/>
    <w:rsid w:val="34D8684E"/>
    <w:rsid w:val="34FF1114"/>
    <w:rsid w:val="35386E11"/>
    <w:rsid w:val="35BD291C"/>
    <w:rsid w:val="35EA1EB9"/>
    <w:rsid w:val="36BE3D73"/>
    <w:rsid w:val="36E44AE2"/>
    <w:rsid w:val="37741972"/>
    <w:rsid w:val="377443BF"/>
    <w:rsid w:val="37C45D5C"/>
    <w:rsid w:val="380A6843"/>
    <w:rsid w:val="380F3DCD"/>
    <w:rsid w:val="389E2A5F"/>
    <w:rsid w:val="38BD73CD"/>
    <w:rsid w:val="39243934"/>
    <w:rsid w:val="39535BFE"/>
    <w:rsid w:val="398B7F95"/>
    <w:rsid w:val="39A96F72"/>
    <w:rsid w:val="39B5458C"/>
    <w:rsid w:val="39CE38A0"/>
    <w:rsid w:val="3A1C4963"/>
    <w:rsid w:val="3A4B5F08"/>
    <w:rsid w:val="3A5570FB"/>
    <w:rsid w:val="3A563FC1"/>
    <w:rsid w:val="3A97759B"/>
    <w:rsid w:val="3A990BD3"/>
    <w:rsid w:val="3AC86541"/>
    <w:rsid w:val="3AF953E5"/>
    <w:rsid w:val="3B4E2FFF"/>
    <w:rsid w:val="3B6049CB"/>
    <w:rsid w:val="3B8107CA"/>
    <w:rsid w:val="3B9C47C1"/>
    <w:rsid w:val="3BAC29ED"/>
    <w:rsid w:val="3BB367AF"/>
    <w:rsid w:val="3BB40923"/>
    <w:rsid w:val="3BD03227"/>
    <w:rsid w:val="3C024B7D"/>
    <w:rsid w:val="3C4E0CC8"/>
    <w:rsid w:val="3C7F4EBC"/>
    <w:rsid w:val="3C862210"/>
    <w:rsid w:val="3D205A10"/>
    <w:rsid w:val="3D5671AA"/>
    <w:rsid w:val="3D8E2068"/>
    <w:rsid w:val="3DFF4595"/>
    <w:rsid w:val="3E1D7CAF"/>
    <w:rsid w:val="3E7E66A3"/>
    <w:rsid w:val="3E8C68EB"/>
    <w:rsid w:val="3EAD286A"/>
    <w:rsid w:val="3F676329"/>
    <w:rsid w:val="3F676452"/>
    <w:rsid w:val="3FE756BB"/>
    <w:rsid w:val="40972C3D"/>
    <w:rsid w:val="40B777E0"/>
    <w:rsid w:val="40C96B6F"/>
    <w:rsid w:val="40E26775"/>
    <w:rsid w:val="40FF1D3F"/>
    <w:rsid w:val="41445C3F"/>
    <w:rsid w:val="41655958"/>
    <w:rsid w:val="418954B3"/>
    <w:rsid w:val="4194717D"/>
    <w:rsid w:val="42661790"/>
    <w:rsid w:val="42AC628E"/>
    <w:rsid w:val="42E163F2"/>
    <w:rsid w:val="43087E22"/>
    <w:rsid w:val="43240916"/>
    <w:rsid w:val="435528D9"/>
    <w:rsid w:val="4357078B"/>
    <w:rsid w:val="4379029A"/>
    <w:rsid w:val="43A46303"/>
    <w:rsid w:val="43A7763B"/>
    <w:rsid w:val="43AC108E"/>
    <w:rsid w:val="43CA2CF3"/>
    <w:rsid w:val="43E42978"/>
    <w:rsid w:val="43F42D41"/>
    <w:rsid w:val="440A1978"/>
    <w:rsid w:val="441962C2"/>
    <w:rsid w:val="4440689F"/>
    <w:rsid w:val="447E0969"/>
    <w:rsid w:val="44D2503A"/>
    <w:rsid w:val="44DA1D47"/>
    <w:rsid w:val="45647867"/>
    <w:rsid w:val="4582210E"/>
    <w:rsid w:val="45C86CE6"/>
    <w:rsid w:val="45F14B9E"/>
    <w:rsid w:val="45FA5F64"/>
    <w:rsid w:val="460743C1"/>
    <w:rsid w:val="46144D30"/>
    <w:rsid w:val="467F21AA"/>
    <w:rsid w:val="46BF4C9C"/>
    <w:rsid w:val="47883ED1"/>
    <w:rsid w:val="47986C63"/>
    <w:rsid w:val="47D6229D"/>
    <w:rsid w:val="47FE7A46"/>
    <w:rsid w:val="48374FFD"/>
    <w:rsid w:val="487E1EBD"/>
    <w:rsid w:val="48EE6CFE"/>
    <w:rsid w:val="49264B98"/>
    <w:rsid w:val="49602681"/>
    <w:rsid w:val="497C0C22"/>
    <w:rsid w:val="49BF2FBD"/>
    <w:rsid w:val="4AB80DFE"/>
    <w:rsid w:val="4AD53B69"/>
    <w:rsid w:val="4AFA3073"/>
    <w:rsid w:val="4B477F40"/>
    <w:rsid w:val="4BE66A88"/>
    <w:rsid w:val="4BEE392E"/>
    <w:rsid w:val="4C1F5F2B"/>
    <w:rsid w:val="4C46012D"/>
    <w:rsid w:val="4CB532A8"/>
    <w:rsid w:val="4CCC1976"/>
    <w:rsid w:val="4CD174D7"/>
    <w:rsid w:val="4D3F4225"/>
    <w:rsid w:val="4D4B48F3"/>
    <w:rsid w:val="4DF27B79"/>
    <w:rsid w:val="4E1729CD"/>
    <w:rsid w:val="4E296E9F"/>
    <w:rsid w:val="4EE942B4"/>
    <w:rsid w:val="4F0227BF"/>
    <w:rsid w:val="4F31106F"/>
    <w:rsid w:val="4F55619D"/>
    <w:rsid w:val="4F633558"/>
    <w:rsid w:val="4F8E1D24"/>
    <w:rsid w:val="50257DA7"/>
    <w:rsid w:val="50266D04"/>
    <w:rsid w:val="50504182"/>
    <w:rsid w:val="505C5D66"/>
    <w:rsid w:val="50753163"/>
    <w:rsid w:val="50817137"/>
    <w:rsid w:val="509E5922"/>
    <w:rsid w:val="50B11EC2"/>
    <w:rsid w:val="50C37CBB"/>
    <w:rsid w:val="50C71A45"/>
    <w:rsid w:val="510451A5"/>
    <w:rsid w:val="51410B71"/>
    <w:rsid w:val="51A554F3"/>
    <w:rsid w:val="51ED50E8"/>
    <w:rsid w:val="523D7A9D"/>
    <w:rsid w:val="52C15655"/>
    <w:rsid w:val="52C250C7"/>
    <w:rsid w:val="52CB62CE"/>
    <w:rsid w:val="52E1539C"/>
    <w:rsid w:val="530B344E"/>
    <w:rsid w:val="5314011E"/>
    <w:rsid w:val="53B44FB9"/>
    <w:rsid w:val="53C733E2"/>
    <w:rsid w:val="53FF0DCE"/>
    <w:rsid w:val="54066594"/>
    <w:rsid w:val="54154F71"/>
    <w:rsid w:val="544C01DA"/>
    <w:rsid w:val="54826A6F"/>
    <w:rsid w:val="548E6FCC"/>
    <w:rsid w:val="54B41BB8"/>
    <w:rsid w:val="54BC3371"/>
    <w:rsid w:val="54EC13E3"/>
    <w:rsid w:val="55985036"/>
    <w:rsid w:val="55E54A69"/>
    <w:rsid w:val="55F00D79"/>
    <w:rsid w:val="560358E7"/>
    <w:rsid w:val="56682C5A"/>
    <w:rsid w:val="56905D0D"/>
    <w:rsid w:val="5737456A"/>
    <w:rsid w:val="573D3418"/>
    <w:rsid w:val="578C3B2F"/>
    <w:rsid w:val="57CE5A99"/>
    <w:rsid w:val="57E1275E"/>
    <w:rsid w:val="57FD3B20"/>
    <w:rsid w:val="583730A7"/>
    <w:rsid w:val="589D4368"/>
    <w:rsid w:val="58CB74D0"/>
    <w:rsid w:val="595F6971"/>
    <w:rsid w:val="597C1F53"/>
    <w:rsid w:val="597F295B"/>
    <w:rsid w:val="59896DA8"/>
    <w:rsid w:val="5A170196"/>
    <w:rsid w:val="5A36306F"/>
    <w:rsid w:val="5A473E48"/>
    <w:rsid w:val="5A6E45B7"/>
    <w:rsid w:val="5A7D0C9E"/>
    <w:rsid w:val="5B0740EA"/>
    <w:rsid w:val="5B247141"/>
    <w:rsid w:val="5B603133"/>
    <w:rsid w:val="5B9837E7"/>
    <w:rsid w:val="5BA734AB"/>
    <w:rsid w:val="5BB168EF"/>
    <w:rsid w:val="5BB40E40"/>
    <w:rsid w:val="5BE95C7A"/>
    <w:rsid w:val="5BEF76E9"/>
    <w:rsid w:val="5BF357CE"/>
    <w:rsid w:val="5C0D2A63"/>
    <w:rsid w:val="5C3D2493"/>
    <w:rsid w:val="5C5D0A1B"/>
    <w:rsid w:val="5C5F065B"/>
    <w:rsid w:val="5CB079DC"/>
    <w:rsid w:val="5CBD7200"/>
    <w:rsid w:val="5CC70097"/>
    <w:rsid w:val="5CE337FB"/>
    <w:rsid w:val="5D437F7D"/>
    <w:rsid w:val="5D706898"/>
    <w:rsid w:val="5D7B40D5"/>
    <w:rsid w:val="5DCFAE16"/>
    <w:rsid w:val="5E9F49ED"/>
    <w:rsid w:val="5EA21F2F"/>
    <w:rsid w:val="5EA91689"/>
    <w:rsid w:val="5F0822F6"/>
    <w:rsid w:val="5F1662FE"/>
    <w:rsid w:val="5F3A0F0C"/>
    <w:rsid w:val="5F57386C"/>
    <w:rsid w:val="5F803FFB"/>
    <w:rsid w:val="5FDD3055"/>
    <w:rsid w:val="60134695"/>
    <w:rsid w:val="60464B44"/>
    <w:rsid w:val="60625971"/>
    <w:rsid w:val="60BB3DF4"/>
    <w:rsid w:val="60F670B5"/>
    <w:rsid w:val="61FE0917"/>
    <w:rsid w:val="62375736"/>
    <w:rsid w:val="62834BFD"/>
    <w:rsid w:val="62B95263"/>
    <w:rsid w:val="62E0447B"/>
    <w:rsid w:val="63070B25"/>
    <w:rsid w:val="63312CBB"/>
    <w:rsid w:val="634C5B54"/>
    <w:rsid w:val="635A4871"/>
    <w:rsid w:val="635F44F0"/>
    <w:rsid w:val="639A641D"/>
    <w:rsid w:val="641C73CB"/>
    <w:rsid w:val="64CE4547"/>
    <w:rsid w:val="65007790"/>
    <w:rsid w:val="65071890"/>
    <w:rsid w:val="65362175"/>
    <w:rsid w:val="655A4F13"/>
    <w:rsid w:val="65624D19"/>
    <w:rsid w:val="65735178"/>
    <w:rsid w:val="657A7089"/>
    <w:rsid w:val="65B6317D"/>
    <w:rsid w:val="66416381"/>
    <w:rsid w:val="6688682D"/>
    <w:rsid w:val="66AB22D9"/>
    <w:rsid w:val="66D41533"/>
    <w:rsid w:val="66DC6D4D"/>
    <w:rsid w:val="673D49E3"/>
    <w:rsid w:val="674072DB"/>
    <w:rsid w:val="675532C8"/>
    <w:rsid w:val="679F7DEF"/>
    <w:rsid w:val="67EB657A"/>
    <w:rsid w:val="680633E1"/>
    <w:rsid w:val="68226616"/>
    <w:rsid w:val="6844104D"/>
    <w:rsid w:val="684921C0"/>
    <w:rsid w:val="68576F69"/>
    <w:rsid w:val="68700EAF"/>
    <w:rsid w:val="68B00491"/>
    <w:rsid w:val="68B735CD"/>
    <w:rsid w:val="68B84DB4"/>
    <w:rsid w:val="69005E96"/>
    <w:rsid w:val="694035C3"/>
    <w:rsid w:val="6A2054D5"/>
    <w:rsid w:val="6A4F42B1"/>
    <w:rsid w:val="6A693B40"/>
    <w:rsid w:val="6AB53B3C"/>
    <w:rsid w:val="6AF74155"/>
    <w:rsid w:val="6AFD34C8"/>
    <w:rsid w:val="6B0B7C86"/>
    <w:rsid w:val="6B80414A"/>
    <w:rsid w:val="6B97675D"/>
    <w:rsid w:val="6C3F7AD0"/>
    <w:rsid w:val="6CCE6403"/>
    <w:rsid w:val="6CDA7624"/>
    <w:rsid w:val="6CE81713"/>
    <w:rsid w:val="6D070BEB"/>
    <w:rsid w:val="6D0B6015"/>
    <w:rsid w:val="6D3276C6"/>
    <w:rsid w:val="6D7B2E1B"/>
    <w:rsid w:val="6D7B76B4"/>
    <w:rsid w:val="6D8F2D6B"/>
    <w:rsid w:val="6D9143ED"/>
    <w:rsid w:val="6DB74CDB"/>
    <w:rsid w:val="6DB91B96"/>
    <w:rsid w:val="6DB932C1"/>
    <w:rsid w:val="6E1437DA"/>
    <w:rsid w:val="6E1F0847"/>
    <w:rsid w:val="6E3520A2"/>
    <w:rsid w:val="6E3A43BC"/>
    <w:rsid w:val="6EF6485A"/>
    <w:rsid w:val="6F394D3C"/>
    <w:rsid w:val="6F572DF1"/>
    <w:rsid w:val="6F7264A0"/>
    <w:rsid w:val="6FA843BB"/>
    <w:rsid w:val="6FBC771B"/>
    <w:rsid w:val="6FF4591D"/>
    <w:rsid w:val="70A66401"/>
    <w:rsid w:val="713F6A92"/>
    <w:rsid w:val="71877781"/>
    <w:rsid w:val="71B66B18"/>
    <w:rsid w:val="722C52AF"/>
    <w:rsid w:val="728C5ACB"/>
    <w:rsid w:val="72944086"/>
    <w:rsid w:val="72954F16"/>
    <w:rsid w:val="72D82ABE"/>
    <w:rsid w:val="730B04BB"/>
    <w:rsid w:val="733B0CDF"/>
    <w:rsid w:val="7350785D"/>
    <w:rsid w:val="7354438F"/>
    <w:rsid w:val="73852C46"/>
    <w:rsid w:val="73A07A74"/>
    <w:rsid w:val="73C86E78"/>
    <w:rsid w:val="73CB43D1"/>
    <w:rsid w:val="747D391D"/>
    <w:rsid w:val="74CD211B"/>
    <w:rsid w:val="74DD1DA7"/>
    <w:rsid w:val="752C1393"/>
    <w:rsid w:val="7547449C"/>
    <w:rsid w:val="755548B4"/>
    <w:rsid w:val="7580588A"/>
    <w:rsid w:val="762C6FE5"/>
    <w:rsid w:val="7630052F"/>
    <w:rsid w:val="7634380D"/>
    <w:rsid w:val="7639386A"/>
    <w:rsid w:val="76575EBB"/>
    <w:rsid w:val="766069C2"/>
    <w:rsid w:val="7686683E"/>
    <w:rsid w:val="76877ABF"/>
    <w:rsid w:val="76A84E99"/>
    <w:rsid w:val="76E12833"/>
    <w:rsid w:val="76E4232A"/>
    <w:rsid w:val="76F55A77"/>
    <w:rsid w:val="77633752"/>
    <w:rsid w:val="77646A47"/>
    <w:rsid w:val="778B45A3"/>
    <w:rsid w:val="77E638B0"/>
    <w:rsid w:val="77EF7281"/>
    <w:rsid w:val="786170B2"/>
    <w:rsid w:val="788D4480"/>
    <w:rsid w:val="78A32008"/>
    <w:rsid w:val="78C57F86"/>
    <w:rsid w:val="78D11888"/>
    <w:rsid w:val="78F53F2C"/>
    <w:rsid w:val="79352A18"/>
    <w:rsid w:val="796912D5"/>
    <w:rsid w:val="796C36EE"/>
    <w:rsid w:val="79C344AC"/>
    <w:rsid w:val="79DA1E2B"/>
    <w:rsid w:val="79F62C66"/>
    <w:rsid w:val="7A9B4AFD"/>
    <w:rsid w:val="7ADB314B"/>
    <w:rsid w:val="7AE04C06"/>
    <w:rsid w:val="7AFD2666"/>
    <w:rsid w:val="7AFD7B90"/>
    <w:rsid w:val="7AFE6E3A"/>
    <w:rsid w:val="7B2033F0"/>
    <w:rsid w:val="7B2D0AFC"/>
    <w:rsid w:val="7B4A02D1"/>
    <w:rsid w:val="7B4A6DD9"/>
    <w:rsid w:val="7C4A67DB"/>
    <w:rsid w:val="7CA848E7"/>
    <w:rsid w:val="7CDB5685"/>
    <w:rsid w:val="7CE915AD"/>
    <w:rsid w:val="7D0821F2"/>
    <w:rsid w:val="7D3A560F"/>
    <w:rsid w:val="7DCF0593"/>
    <w:rsid w:val="7DD74128"/>
    <w:rsid w:val="7E1F194A"/>
    <w:rsid w:val="7E7A1CAE"/>
    <w:rsid w:val="7EB738F3"/>
    <w:rsid w:val="7EC34622"/>
    <w:rsid w:val="7F493897"/>
    <w:rsid w:val="7FA833B8"/>
    <w:rsid w:val="FDF6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9"/>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50"/>
    <w:qFormat/>
    <w:uiPriority w:val="0"/>
    <w:pPr>
      <w:keepNext/>
      <w:keepLines/>
      <w:spacing w:before="260" w:after="260" w:line="416" w:lineRule="auto"/>
      <w:outlineLvl w:val="2"/>
    </w:pPr>
    <w:rPr>
      <w:b/>
      <w:bCs/>
      <w:sz w:val="32"/>
      <w:szCs w:val="32"/>
    </w:rPr>
  </w:style>
  <w:style w:type="paragraph" w:styleId="8">
    <w:name w:val="heading 4"/>
    <w:basedOn w:val="1"/>
    <w:next w:val="1"/>
    <w:link w:val="51"/>
    <w:qFormat/>
    <w:uiPriority w:val="0"/>
    <w:pPr>
      <w:keepNext/>
      <w:jc w:val="center"/>
      <w:outlineLvl w:val="3"/>
    </w:pPr>
    <w:rPr>
      <w:rFonts w:eastAsia="新宋体"/>
      <w:sz w:val="30"/>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楷体_GB2312"/>
      <w:sz w:val="28"/>
    </w:rPr>
  </w:style>
  <w:style w:type="paragraph" w:customStyle="1" w:styleId="3">
    <w:name w:val="style4"/>
    <w:basedOn w:val="1"/>
    <w:next w:val="4"/>
    <w:qFormat/>
    <w:uiPriority w:val="0"/>
    <w:pPr>
      <w:widowControl/>
      <w:spacing w:before="280" w:after="280"/>
    </w:pPr>
    <w:rPr>
      <w:rFonts w:ascii="宋体"/>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9">
    <w:name w:val="table of authorities"/>
    <w:basedOn w:val="1"/>
    <w:next w:val="1"/>
    <w:unhideWhenUsed/>
    <w:qFormat/>
    <w:uiPriority w:val="99"/>
    <w:pPr>
      <w:ind w:left="420" w:leftChars="200"/>
    </w:pPr>
  </w:style>
  <w:style w:type="paragraph" w:styleId="10">
    <w:name w:val="Normal Indent"/>
    <w:basedOn w:val="1"/>
    <w:link w:val="52"/>
    <w:qFormat/>
    <w:uiPriority w:val="0"/>
    <w:pPr>
      <w:ind w:firstLine="420"/>
    </w:pPr>
    <w:rPr>
      <w:szCs w:val="20"/>
    </w:rPr>
  </w:style>
  <w:style w:type="paragraph" w:styleId="11">
    <w:name w:val="Document Map"/>
    <w:basedOn w:val="1"/>
    <w:link w:val="53"/>
    <w:semiHidden/>
    <w:qFormat/>
    <w:uiPriority w:val="0"/>
    <w:pPr>
      <w:shd w:val="clear" w:color="auto" w:fill="000080"/>
    </w:pPr>
  </w:style>
  <w:style w:type="paragraph" w:styleId="12">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3">
    <w:name w:val="annotation text"/>
    <w:basedOn w:val="1"/>
    <w:link w:val="54"/>
    <w:unhideWhenUsed/>
    <w:qFormat/>
    <w:uiPriority w:val="99"/>
    <w:pPr>
      <w:jc w:val="left"/>
    </w:pPr>
  </w:style>
  <w:style w:type="paragraph" w:styleId="14">
    <w:name w:val="Body Text Indent"/>
    <w:basedOn w:val="1"/>
    <w:next w:val="15"/>
    <w:link w:val="55"/>
    <w:qFormat/>
    <w:uiPriority w:val="0"/>
    <w:pPr>
      <w:spacing w:after="120"/>
      <w:ind w:left="420" w:leftChars="200"/>
    </w:pPr>
  </w:style>
  <w:style w:type="paragraph" w:styleId="15">
    <w:name w:val="envelope return"/>
    <w:basedOn w:val="1"/>
    <w:unhideWhenUsed/>
    <w:qFormat/>
    <w:uiPriority w:val="99"/>
    <w:pPr>
      <w:snapToGrid w:val="0"/>
    </w:pPr>
    <w:rPr>
      <w:rFonts w:ascii="Arial" w:hAnsi="Arial"/>
    </w:rPr>
  </w:style>
  <w:style w:type="paragraph" w:styleId="16">
    <w:name w:val="Block Text"/>
    <w:basedOn w:val="1"/>
    <w:next w:val="2"/>
    <w:qFormat/>
    <w:uiPriority w:val="99"/>
    <w:pPr>
      <w:ind w:left="1440" w:leftChars="700" w:right="700" w:rightChars="700"/>
    </w:pPr>
    <w:rPr>
      <w:color w:val="FF0000"/>
      <w:sz w:val="18"/>
    </w:rPr>
  </w:style>
  <w:style w:type="paragraph" w:styleId="17">
    <w:name w:val="index 4"/>
    <w:basedOn w:val="1"/>
    <w:next w:val="1"/>
    <w:semiHidden/>
    <w:qFormat/>
    <w:uiPriority w:val="0"/>
    <w:pPr>
      <w:ind w:left="1260"/>
    </w:pPr>
  </w:style>
  <w:style w:type="paragraph" w:styleId="18">
    <w:name w:val="Plain Text"/>
    <w:basedOn w:val="1"/>
    <w:next w:val="10"/>
    <w:qFormat/>
    <w:uiPriority w:val="0"/>
    <w:rPr>
      <w:rFonts w:ascii="宋体" w:hAnsi="Courier New"/>
      <w:szCs w:val="20"/>
    </w:rPr>
  </w:style>
  <w:style w:type="paragraph" w:styleId="19">
    <w:name w:val="Date"/>
    <w:basedOn w:val="1"/>
    <w:next w:val="1"/>
    <w:link w:val="56"/>
    <w:qFormat/>
    <w:uiPriority w:val="0"/>
    <w:pPr>
      <w:ind w:left="100" w:leftChars="2500"/>
    </w:pPr>
  </w:style>
  <w:style w:type="paragraph" w:styleId="20">
    <w:name w:val="Body Text Indent 2"/>
    <w:basedOn w:val="1"/>
    <w:unhideWhenUsed/>
    <w:qFormat/>
    <w:uiPriority w:val="0"/>
    <w:pPr>
      <w:spacing w:line="500" w:lineRule="exact"/>
      <w:ind w:firstLine="560" w:firstLineChars="200"/>
    </w:pPr>
    <w:rPr>
      <w:rFonts w:eastAsia="仿宋_GB2312"/>
      <w:kern w:val="0"/>
      <w:sz w:val="28"/>
      <w:szCs w:val="20"/>
    </w:rPr>
  </w:style>
  <w:style w:type="paragraph" w:styleId="21">
    <w:name w:val="Balloon Text"/>
    <w:basedOn w:val="1"/>
    <w:link w:val="57"/>
    <w:semiHidden/>
    <w:qFormat/>
    <w:uiPriority w:val="0"/>
    <w:rPr>
      <w:sz w:val="18"/>
      <w:szCs w:val="18"/>
    </w:rPr>
  </w:style>
  <w:style w:type="paragraph" w:styleId="22">
    <w:name w:val="footer"/>
    <w:basedOn w:val="1"/>
    <w:link w:val="58"/>
    <w:qFormat/>
    <w:uiPriority w:val="99"/>
    <w:pPr>
      <w:tabs>
        <w:tab w:val="center" w:pos="4153"/>
        <w:tab w:val="right" w:pos="8306"/>
      </w:tabs>
      <w:snapToGrid w:val="0"/>
      <w:jc w:val="left"/>
    </w:pPr>
    <w:rPr>
      <w:sz w:val="18"/>
      <w:szCs w:val="18"/>
    </w:rPr>
  </w:style>
  <w:style w:type="paragraph" w:styleId="23">
    <w:name w:val="header"/>
    <w:basedOn w:val="1"/>
    <w:link w:val="59"/>
    <w:qFormat/>
    <w:uiPriority w:val="0"/>
    <w:pPr>
      <w:pBdr>
        <w:bottom w:val="single" w:color="auto" w:sz="6" w:space="1"/>
      </w:pBdr>
      <w:tabs>
        <w:tab w:val="center" w:pos="4153"/>
        <w:tab w:val="right" w:pos="8306"/>
      </w:tabs>
      <w:snapToGrid w:val="0"/>
      <w:jc w:val="center"/>
    </w:pPr>
    <w:rPr>
      <w:sz w:val="18"/>
      <w:szCs w:val="18"/>
    </w:rPr>
  </w:style>
  <w:style w:type="paragraph" w:styleId="24">
    <w:name w:val="List Number 5"/>
    <w:basedOn w:val="1"/>
    <w:unhideWhenUsed/>
    <w:qFormat/>
    <w:uiPriority w:val="99"/>
    <w:pPr>
      <w:numPr>
        <w:ilvl w:val="0"/>
        <w:numId w:val="1"/>
      </w:numPr>
    </w:pPr>
  </w:style>
  <w:style w:type="paragraph" w:styleId="25">
    <w:name w:val="Body Text Indent 3"/>
    <w:basedOn w:val="1"/>
    <w:next w:val="12"/>
    <w:link w:val="62"/>
    <w:qFormat/>
    <w:uiPriority w:val="0"/>
    <w:pPr>
      <w:spacing w:line="520" w:lineRule="exact"/>
      <w:ind w:firstLine="539" w:firstLineChars="184"/>
    </w:pPr>
    <w:rPr>
      <w:rFonts w:ascii="宋体"/>
      <w:b/>
      <w:spacing w:val="6"/>
      <w:sz w:val="28"/>
    </w:rPr>
  </w:style>
  <w:style w:type="paragraph" w:styleId="26">
    <w:name w:val="Body Text 2"/>
    <w:basedOn w:val="1"/>
    <w:qFormat/>
    <w:uiPriority w:val="0"/>
    <w:pPr>
      <w:snapToGrid w:val="0"/>
    </w:pPr>
    <w:rPr>
      <w:b/>
      <w:bCs/>
      <w:kern w:val="0"/>
      <w:sz w:val="18"/>
    </w:rPr>
  </w:style>
  <w:style w:type="paragraph" w:styleId="2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qFormat/>
    <w:uiPriority w:val="10"/>
    <w:pPr>
      <w:spacing w:before="240" w:after="60"/>
      <w:jc w:val="center"/>
      <w:outlineLvl w:val="0"/>
    </w:pPr>
    <w:rPr>
      <w:rFonts w:ascii="Cambria" w:hAnsi="Cambria"/>
      <w:b/>
      <w:bCs/>
      <w:sz w:val="32"/>
      <w:szCs w:val="32"/>
    </w:rPr>
  </w:style>
  <w:style w:type="paragraph" w:styleId="29">
    <w:name w:val="annotation subject"/>
    <w:basedOn w:val="13"/>
    <w:next w:val="13"/>
    <w:link w:val="63"/>
    <w:unhideWhenUsed/>
    <w:qFormat/>
    <w:uiPriority w:val="99"/>
    <w:rPr>
      <w:b/>
      <w:bCs/>
    </w:rPr>
  </w:style>
  <w:style w:type="paragraph" w:styleId="30">
    <w:name w:val="Body Text First Indent 2"/>
    <w:basedOn w:val="14"/>
    <w:next w:val="25"/>
    <w:unhideWhenUsed/>
    <w:qFormat/>
    <w:uiPriority w:val="99"/>
    <w:pPr>
      <w:ind w:firstLine="20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style>
  <w:style w:type="character" w:styleId="36">
    <w:name w:val="Emphasis"/>
    <w:qFormat/>
    <w:uiPriority w:val="0"/>
    <w:rPr>
      <w:b/>
      <w:bCs/>
    </w:rPr>
  </w:style>
  <w:style w:type="character" w:styleId="37">
    <w:name w:val="HTML Definition"/>
    <w:unhideWhenUsed/>
    <w:qFormat/>
    <w:uiPriority w:val="99"/>
  </w:style>
  <w:style w:type="character" w:styleId="38">
    <w:name w:val="HTML Typewriter"/>
    <w:unhideWhenUsed/>
    <w:qFormat/>
    <w:uiPriority w:val="99"/>
    <w:rPr>
      <w:rFonts w:hint="default" w:ascii="monospace" w:hAnsi="monospace" w:eastAsia="monospace" w:cs="monospace"/>
      <w:sz w:val="20"/>
    </w:rPr>
  </w:style>
  <w:style w:type="character" w:styleId="39">
    <w:name w:val="HTML Acronym"/>
    <w:unhideWhenUsed/>
    <w:qFormat/>
    <w:uiPriority w:val="99"/>
  </w:style>
  <w:style w:type="character" w:styleId="40">
    <w:name w:val="HTML Variable"/>
    <w:unhideWhenUsed/>
    <w:qFormat/>
    <w:uiPriority w:val="99"/>
  </w:style>
  <w:style w:type="character" w:styleId="41">
    <w:name w:val="Hyperlink"/>
    <w:unhideWhenUsed/>
    <w:qFormat/>
    <w:uiPriority w:val="99"/>
    <w:rPr>
      <w:color w:val="0000FF"/>
      <w:u w:val="none"/>
    </w:rPr>
  </w:style>
  <w:style w:type="character" w:styleId="42">
    <w:name w:val="HTML Code"/>
    <w:unhideWhenUsed/>
    <w:qFormat/>
    <w:uiPriority w:val="99"/>
    <w:rPr>
      <w:rFonts w:hint="default" w:ascii="monospace" w:hAnsi="monospace" w:eastAsia="monospace" w:cs="monospace"/>
      <w:sz w:val="20"/>
    </w:rPr>
  </w:style>
  <w:style w:type="character" w:styleId="43">
    <w:name w:val="annotation reference"/>
    <w:unhideWhenUsed/>
    <w:qFormat/>
    <w:uiPriority w:val="99"/>
    <w:rPr>
      <w:sz w:val="21"/>
      <w:szCs w:val="21"/>
    </w:rPr>
  </w:style>
  <w:style w:type="character" w:styleId="44">
    <w:name w:val="HTML Cite"/>
    <w:unhideWhenUsed/>
    <w:qFormat/>
    <w:uiPriority w:val="99"/>
  </w:style>
  <w:style w:type="character" w:styleId="45">
    <w:name w:val="HTML Keyboard"/>
    <w:unhideWhenUsed/>
    <w:qFormat/>
    <w:uiPriority w:val="99"/>
    <w:rPr>
      <w:rFonts w:ascii="monospace" w:hAnsi="monospace" w:eastAsia="monospace" w:cs="monospace"/>
      <w:sz w:val="20"/>
    </w:rPr>
  </w:style>
  <w:style w:type="character" w:styleId="46">
    <w:name w:val="HTML Sample"/>
    <w:unhideWhenUsed/>
    <w:qFormat/>
    <w:uiPriority w:val="99"/>
    <w:rPr>
      <w:rFonts w:hint="default" w:ascii="monospace" w:hAnsi="monospace" w:eastAsia="monospace" w:cs="monospace"/>
    </w:rPr>
  </w:style>
  <w:style w:type="paragraph" w:customStyle="1" w:styleId="47">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character" w:customStyle="1" w:styleId="48">
    <w:name w:val="标题 1 字符"/>
    <w:link w:val="5"/>
    <w:qFormat/>
    <w:uiPriority w:val="0"/>
    <w:rPr>
      <w:b/>
      <w:bCs/>
      <w:kern w:val="44"/>
      <w:sz w:val="44"/>
      <w:szCs w:val="44"/>
    </w:rPr>
  </w:style>
  <w:style w:type="character" w:customStyle="1" w:styleId="49">
    <w:name w:val="标题 2 字符"/>
    <w:link w:val="6"/>
    <w:qFormat/>
    <w:uiPriority w:val="0"/>
    <w:rPr>
      <w:rFonts w:ascii="Arial" w:hAnsi="Arial" w:eastAsia="黑体"/>
      <w:b/>
      <w:bCs/>
      <w:kern w:val="2"/>
      <w:sz w:val="32"/>
      <w:szCs w:val="32"/>
    </w:rPr>
  </w:style>
  <w:style w:type="character" w:customStyle="1" w:styleId="50">
    <w:name w:val="标题 3 字符"/>
    <w:link w:val="7"/>
    <w:qFormat/>
    <w:uiPriority w:val="0"/>
    <w:rPr>
      <w:b/>
      <w:bCs/>
      <w:kern w:val="2"/>
      <w:sz w:val="32"/>
      <w:szCs w:val="32"/>
    </w:rPr>
  </w:style>
  <w:style w:type="character" w:customStyle="1" w:styleId="51">
    <w:name w:val="标题 4 字符"/>
    <w:link w:val="8"/>
    <w:qFormat/>
    <w:uiPriority w:val="0"/>
    <w:rPr>
      <w:rFonts w:eastAsia="新宋体"/>
      <w:kern w:val="2"/>
      <w:sz w:val="30"/>
      <w:szCs w:val="21"/>
    </w:rPr>
  </w:style>
  <w:style w:type="character" w:customStyle="1" w:styleId="52">
    <w:name w:val="正文缩进 字符"/>
    <w:link w:val="10"/>
    <w:qFormat/>
    <w:uiPriority w:val="0"/>
    <w:rPr>
      <w:kern w:val="2"/>
      <w:sz w:val="21"/>
    </w:rPr>
  </w:style>
  <w:style w:type="character" w:customStyle="1" w:styleId="53">
    <w:name w:val="文档结构图 字符"/>
    <w:link w:val="11"/>
    <w:semiHidden/>
    <w:qFormat/>
    <w:uiPriority w:val="0"/>
    <w:rPr>
      <w:kern w:val="2"/>
      <w:sz w:val="21"/>
      <w:szCs w:val="24"/>
      <w:shd w:val="clear" w:color="auto" w:fill="000080"/>
    </w:rPr>
  </w:style>
  <w:style w:type="character" w:customStyle="1" w:styleId="54">
    <w:name w:val="批注文字 字符"/>
    <w:link w:val="13"/>
    <w:qFormat/>
    <w:uiPriority w:val="99"/>
    <w:rPr>
      <w:kern w:val="2"/>
      <w:sz w:val="21"/>
      <w:szCs w:val="24"/>
    </w:rPr>
  </w:style>
  <w:style w:type="character" w:customStyle="1" w:styleId="55">
    <w:name w:val="正文文本缩进 字符"/>
    <w:link w:val="14"/>
    <w:qFormat/>
    <w:uiPriority w:val="0"/>
    <w:rPr>
      <w:kern w:val="2"/>
      <w:sz w:val="21"/>
      <w:szCs w:val="24"/>
    </w:rPr>
  </w:style>
  <w:style w:type="character" w:customStyle="1" w:styleId="56">
    <w:name w:val="日期 字符"/>
    <w:link w:val="19"/>
    <w:qFormat/>
    <w:uiPriority w:val="0"/>
    <w:rPr>
      <w:kern w:val="2"/>
      <w:sz w:val="21"/>
      <w:szCs w:val="24"/>
    </w:rPr>
  </w:style>
  <w:style w:type="character" w:customStyle="1" w:styleId="57">
    <w:name w:val="批注框文本 字符"/>
    <w:link w:val="21"/>
    <w:semiHidden/>
    <w:qFormat/>
    <w:uiPriority w:val="0"/>
    <w:rPr>
      <w:kern w:val="2"/>
      <w:sz w:val="18"/>
      <w:szCs w:val="18"/>
    </w:rPr>
  </w:style>
  <w:style w:type="character" w:customStyle="1" w:styleId="58">
    <w:name w:val="页脚 字符"/>
    <w:link w:val="22"/>
    <w:qFormat/>
    <w:uiPriority w:val="99"/>
    <w:rPr>
      <w:kern w:val="2"/>
      <w:sz w:val="18"/>
      <w:szCs w:val="18"/>
    </w:rPr>
  </w:style>
  <w:style w:type="character" w:customStyle="1" w:styleId="59">
    <w:name w:val="页眉 字符"/>
    <w:link w:val="23"/>
    <w:qFormat/>
    <w:uiPriority w:val="0"/>
    <w:rPr>
      <w:kern w:val="2"/>
      <w:sz w:val="18"/>
      <w:szCs w:val="18"/>
    </w:rPr>
  </w:style>
  <w:style w:type="paragraph" w:customStyle="1" w:styleId="60">
    <w:name w:val="TOC 11"/>
    <w:basedOn w:val="1"/>
    <w:next w:val="1"/>
    <w:qFormat/>
    <w:uiPriority w:val="0"/>
    <w:pPr>
      <w:tabs>
        <w:tab w:val="right" w:leader="dot" w:pos="8296"/>
      </w:tabs>
      <w:spacing w:line="360" w:lineRule="auto"/>
    </w:pPr>
  </w:style>
  <w:style w:type="paragraph" w:customStyle="1" w:styleId="61">
    <w:name w:val="TOC 61"/>
    <w:basedOn w:val="1"/>
    <w:next w:val="1"/>
    <w:qFormat/>
    <w:uiPriority w:val="0"/>
    <w:pPr>
      <w:ind w:left="2100"/>
    </w:pPr>
  </w:style>
  <w:style w:type="character" w:customStyle="1" w:styleId="62">
    <w:name w:val="正文文本缩进 3 字符"/>
    <w:link w:val="25"/>
    <w:qFormat/>
    <w:uiPriority w:val="0"/>
    <w:rPr>
      <w:rFonts w:ascii="宋体"/>
      <w:b/>
      <w:spacing w:val="6"/>
      <w:kern w:val="2"/>
      <w:sz w:val="28"/>
      <w:szCs w:val="24"/>
    </w:rPr>
  </w:style>
  <w:style w:type="character" w:customStyle="1" w:styleId="63">
    <w:name w:val="批注主题 字符"/>
    <w:link w:val="29"/>
    <w:semiHidden/>
    <w:qFormat/>
    <w:uiPriority w:val="99"/>
    <w:rPr>
      <w:b/>
      <w:bCs/>
      <w:kern w:val="2"/>
      <w:sz w:val="21"/>
      <w:szCs w:val="24"/>
    </w:rPr>
  </w:style>
  <w:style w:type="paragraph" w:customStyle="1" w:styleId="64">
    <w:name w:val="正文文本首行缩进1"/>
    <w:basedOn w:val="2"/>
    <w:next w:val="61"/>
    <w:qFormat/>
    <w:uiPriority w:val="0"/>
    <w:pPr>
      <w:spacing w:line="360" w:lineRule="auto"/>
      <w:ind w:firstLine="200" w:firstLineChars="200"/>
    </w:pPr>
    <w:rPr>
      <w:rFonts w:ascii="仿宋_GB2312" w:eastAsia="仿宋_GB2312"/>
      <w:kern w:val="0"/>
      <w:sz w:val="30"/>
      <w:szCs w:val="30"/>
    </w:rPr>
  </w:style>
  <w:style w:type="paragraph" w:customStyle="1" w:styleId="65">
    <w:name w:val="正文文本首行缩进 21"/>
    <w:basedOn w:val="14"/>
    <w:next w:val="1"/>
    <w:link w:val="66"/>
    <w:unhideWhenUsed/>
    <w:qFormat/>
    <w:uiPriority w:val="99"/>
    <w:pPr>
      <w:ind w:firstLine="200" w:firstLineChars="200"/>
    </w:pPr>
  </w:style>
  <w:style w:type="character" w:customStyle="1" w:styleId="66">
    <w:name w:val="正文文本首行缩进 2 字符"/>
    <w:link w:val="65"/>
    <w:qFormat/>
    <w:uiPriority w:val="99"/>
  </w:style>
  <w:style w:type="character" w:customStyle="1" w:styleId="67">
    <w:name w:val="访问过的超链接1"/>
    <w:unhideWhenUsed/>
    <w:qFormat/>
    <w:uiPriority w:val="99"/>
    <w:rPr>
      <w:color w:val="800080"/>
      <w:u w:val="none"/>
    </w:rPr>
  </w:style>
  <w:style w:type="paragraph" w:customStyle="1" w:styleId="68">
    <w:name w:val="正文缩进1"/>
    <w:basedOn w:val="1"/>
    <w:qFormat/>
    <w:uiPriority w:val="0"/>
    <w:pPr>
      <w:widowControl/>
      <w:ind w:firstLine="420"/>
      <w:jc w:val="left"/>
    </w:pPr>
    <w:rPr>
      <w:kern w:val="0"/>
    </w:rPr>
  </w:style>
  <w:style w:type="paragraph" w:customStyle="1" w:styleId="69">
    <w:name w:val="Default"/>
    <w:basedOn w:val="1"/>
    <w:qFormat/>
    <w:uiPriority w:val="0"/>
    <w:pPr>
      <w:autoSpaceDE w:val="0"/>
      <w:autoSpaceDN w:val="0"/>
      <w:adjustRightInd w:val="0"/>
      <w:jc w:val="left"/>
    </w:pPr>
    <w:rPr>
      <w:rFonts w:ascii="Arial" w:hAnsi="Arial" w:eastAsia="PMingLiU"/>
      <w:kern w:val="0"/>
      <w:sz w:val="20"/>
      <w:szCs w:val="20"/>
    </w:rPr>
  </w:style>
  <w:style w:type="character" w:customStyle="1" w:styleId="70">
    <w:name w:val="正文缩进2格 Char"/>
    <w:link w:val="71"/>
    <w:qFormat/>
    <w:locked/>
    <w:uiPriority w:val="0"/>
    <w:rPr>
      <w:rFonts w:ascii="仿宋_GB2312" w:hAnsi="宋体" w:eastAsia="仿宋_GB2312"/>
      <w:kern w:val="2"/>
      <w:sz w:val="31"/>
      <w:szCs w:val="28"/>
    </w:rPr>
  </w:style>
  <w:style w:type="paragraph" w:customStyle="1" w:styleId="71">
    <w:name w:val="正文缩进2格"/>
    <w:basedOn w:val="1"/>
    <w:link w:val="70"/>
    <w:qFormat/>
    <w:uiPriority w:val="0"/>
    <w:pPr>
      <w:spacing w:line="600" w:lineRule="exact"/>
      <w:ind w:firstLine="639" w:firstLineChars="206"/>
    </w:pPr>
    <w:rPr>
      <w:rFonts w:ascii="仿宋_GB2312" w:hAnsi="宋体" w:eastAsia="仿宋_GB2312"/>
      <w:sz w:val="31"/>
      <w:szCs w:val="28"/>
    </w:rPr>
  </w:style>
  <w:style w:type="character" w:customStyle="1" w:styleId="72">
    <w:name w:val="标题 3.1 Char"/>
    <w:link w:val="73"/>
    <w:qFormat/>
    <w:locked/>
    <w:uiPriority w:val="0"/>
    <w:rPr>
      <w:rFonts w:ascii="宋体" w:hAnsi="宋体"/>
      <w:b/>
      <w:bCs/>
      <w:color w:val="000000"/>
      <w:kern w:val="2"/>
      <w:sz w:val="32"/>
      <w:szCs w:val="32"/>
    </w:rPr>
  </w:style>
  <w:style w:type="paragraph" w:customStyle="1" w:styleId="73">
    <w:name w:val="标题 3.1"/>
    <w:basedOn w:val="7"/>
    <w:link w:val="72"/>
    <w:qFormat/>
    <w:uiPriority w:val="0"/>
    <w:pPr>
      <w:tabs>
        <w:tab w:val="left" w:pos="1440"/>
        <w:tab w:val="left" w:pos="1620"/>
      </w:tabs>
      <w:spacing w:line="600" w:lineRule="exact"/>
    </w:pPr>
    <w:rPr>
      <w:rFonts w:ascii="宋体" w:hAnsi="宋体"/>
      <w:color w:val="000000"/>
    </w:rPr>
  </w:style>
  <w:style w:type="paragraph" w:customStyle="1" w:styleId="74">
    <w:name w:val="Char"/>
    <w:basedOn w:val="1"/>
    <w:qFormat/>
    <w:uiPriority w:val="0"/>
    <w:rPr>
      <w:rFonts w:ascii="Tahoma" w:hAnsi="Tahoma"/>
      <w:sz w:val="24"/>
      <w:szCs w:val="20"/>
    </w:rPr>
  </w:style>
  <w:style w:type="paragraph" w:customStyle="1" w:styleId="75">
    <w:name w:val="正文缩进4格"/>
    <w:basedOn w:val="71"/>
    <w:qFormat/>
    <w:uiPriority w:val="0"/>
    <w:pPr>
      <w:ind w:left="2" w:firstLine="538" w:firstLineChars="192"/>
    </w:pPr>
    <w:rPr>
      <w:color w:val="000000"/>
      <w:sz w:val="28"/>
    </w:rPr>
  </w:style>
  <w:style w:type="paragraph" w:customStyle="1" w:styleId="76">
    <w:name w:val="Char Char Char Char"/>
    <w:basedOn w:val="1"/>
    <w:qFormat/>
    <w:uiPriority w:val="0"/>
    <w:rPr>
      <w:rFonts w:ascii="Tahoma" w:hAnsi="Tahoma"/>
      <w:sz w:val="24"/>
      <w:szCs w:val="20"/>
    </w:rPr>
  </w:style>
  <w:style w:type="paragraph" w:customStyle="1" w:styleId="77">
    <w:name w:val="Char1"/>
    <w:basedOn w:val="1"/>
    <w:qFormat/>
    <w:uiPriority w:val="0"/>
    <w:pPr>
      <w:tabs>
        <w:tab w:val="left" w:pos="840"/>
      </w:tabs>
      <w:ind w:left="840" w:hanging="420"/>
    </w:pPr>
    <w:rPr>
      <w:sz w:val="24"/>
    </w:rPr>
  </w:style>
  <w:style w:type="paragraph" w:customStyle="1" w:styleId="7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Char Char 字元 字元 字元 Char Char Char Char"/>
    <w:basedOn w:val="1"/>
    <w:qFormat/>
    <w:uiPriority w:val="0"/>
    <w:pPr>
      <w:adjustRightInd w:val="0"/>
      <w:spacing w:line="360" w:lineRule="auto"/>
    </w:pPr>
    <w:rPr>
      <w:kern w:val="0"/>
      <w:sz w:val="24"/>
      <w:szCs w:val="20"/>
    </w:rPr>
  </w:style>
  <w:style w:type="paragraph" w:customStyle="1" w:styleId="81">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82">
    <w:name w:val="Char2"/>
    <w:basedOn w:val="1"/>
    <w:qFormat/>
    <w:uiPriority w:val="0"/>
    <w:rPr>
      <w:rFonts w:ascii="Tahoma" w:hAnsi="Tahoma"/>
      <w:sz w:val="24"/>
      <w:szCs w:val="20"/>
    </w:rPr>
  </w:style>
  <w:style w:type="paragraph" w:customStyle="1" w:styleId="83">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84">
    <w:name w:val="普通正文 Char"/>
    <w:link w:val="85"/>
    <w:qFormat/>
    <w:uiPriority w:val="0"/>
    <w:rPr>
      <w:rFonts w:ascii="Arial" w:hAnsi="Arial"/>
      <w:sz w:val="24"/>
      <w:szCs w:val="24"/>
    </w:rPr>
  </w:style>
  <w:style w:type="paragraph" w:customStyle="1" w:styleId="85">
    <w:name w:val="普通正文"/>
    <w:basedOn w:val="1"/>
    <w:link w:val="84"/>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6">
    <w:name w:val="mini-outputtext1"/>
    <w:qFormat/>
    <w:uiPriority w:val="0"/>
  </w:style>
  <w:style w:type="character" w:customStyle="1" w:styleId="87">
    <w:name w:val="font31"/>
    <w:qFormat/>
    <w:uiPriority w:val="0"/>
    <w:rPr>
      <w:rFonts w:hint="eastAsia" w:ascii="宋体" w:hAnsi="宋体" w:eastAsia="宋体" w:cs="宋体"/>
      <w:color w:val="000000"/>
      <w:sz w:val="21"/>
      <w:szCs w:val="21"/>
      <w:u w:val="none"/>
    </w:rPr>
  </w:style>
  <w:style w:type="character" w:customStyle="1" w:styleId="88">
    <w:name w:val="font61"/>
    <w:qFormat/>
    <w:uiPriority w:val="0"/>
    <w:rPr>
      <w:rFonts w:hint="default" w:ascii="Times New Roman" w:hAnsi="Times New Roman" w:cs="Times New Roman"/>
      <w:color w:val="000000"/>
      <w:sz w:val="21"/>
      <w:szCs w:val="21"/>
      <w:u w:val="none"/>
    </w:rPr>
  </w:style>
  <w:style w:type="character" w:customStyle="1" w:styleId="89">
    <w:name w:val="font01"/>
    <w:qFormat/>
    <w:uiPriority w:val="0"/>
    <w:rPr>
      <w:rFonts w:hint="default" w:ascii="等线" w:hAnsi="等线" w:eastAsia="等线" w:cs="等线"/>
      <w:color w:val="000000"/>
      <w:sz w:val="22"/>
      <w:szCs w:val="22"/>
      <w:u w:val="none"/>
    </w:rPr>
  </w:style>
  <w:style w:type="character" w:customStyle="1" w:styleId="90">
    <w:name w:val="font51"/>
    <w:qFormat/>
    <w:uiPriority w:val="0"/>
    <w:rPr>
      <w:rFonts w:hint="default" w:ascii="等线" w:hAnsi="等线" w:eastAsia="等线" w:cs="等线"/>
      <w:b/>
      <w:bCs/>
      <w:color w:val="000000"/>
      <w:sz w:val="22"/>
      <w:szCs w:val="22"/>
      <w:u w:val="none"/>
    </w:rPr>
  </w:style>
  <w:style w:type="paragraph" w:customStyle="1" w:styleId="91">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2">
    <w:name w:val="sh1"/>
    <w:basedOn w:val="28"/>
    <w:qFormat/>
    <w:uiPriority w:val="0"/>
    <w:pPr>
      <w:adjustRightInd w:val="0"/>
      <w:spacing w:before="0"/>
    </w:pPr>
    <w:rPr>
      <w:rFonts w:ascii="Arial" w:hAnsi="Arial"/>
      <w:bCs w:val="0"/>
    </w:rPr>
  </w:style>
  <w:style w:type="paragraph" w:customStyle="1" w:styleId="93">
    <w:name w:val="正文1"/>
    <w:basedOn w:val="1"/>
    <w:qFormat/>
    <w:uiPriority w:val="0"/>
    <w:pPr>
      <w:spacing w:line="360" w:lineRule="auto"/>
      <w:ind w:firstLine="361"/>
    </w:pPr>
    <w:rPr>
      <w:rFonts w:ascii="宋体" w:hAnsi="宋体"/>
    </w:rPr>
  </w:style>
  <w:style w:type="paragraph" w:customStyle="1" w:styleId="94">
    <w:name w:val="首行缩进"/>
    <w:basedOn w:val="1"/>
    <w:next w:val="1"/>
    <w:qFormat/>
    <w:uiPriority w:val="0"/>
    <w:pPr>
      <w:ind w:firstLine="480" w:firstLineChars="200"/>
    </w:pPr>
    <w:rPr>
      <w:rFonts w:ascii="Calibri" w:hAnsi="Calibri"/>
      <w:szCs w:val="21"/>
    </w:rPr>
  </w:style>
  <w:style w:type="paragraph" w:customStyle="1" w:styleId="95">
    <w:name w:val="Table Paragraph"/>
    <w:basedOn w:val="1"/>
    <w:qFormat/>
    <w:uiPriority w:val="1"/>
    <w:rPr>
      <w:rFonts w:ascii="宋体" w:hAnsi="宋体" w:cs="宋体"/>
      <w:lang w:val="zh-CN" w:bidi="zh-CN"/>
    </w:rPr>
  </w:style>
  <w:style w:type="paragraph" w:customStyle="1" w:styleId="96">
    <w:name w:val="修订1"/>
    <w:unhideWhenUsed/>
    <w:qFormat/>
    <w:uiPriority w:val="99"/>
    <w:rPr>
      <w:rFonts w:ascii="Times New Roman" w:hAnsi="Times New Roman" w:eastAsia="宋体" w:cs="Times New Roman"/>
      <w:kern w:val="2"/>
      <w:sz w:val="21"/>
      <w:szCs w:val="24"/>
      <w:lang w:val="en-US" w:eastAsia="zh-CN" w:bidi="ar-SA"/>
    </w:rPr>
  </w:style>
  <w:style w:type="table" w:customStyle="1" w:styleId="97">
    <w:name w:val="Table Normal"/>
    <w:unhideWhenUsed/>
    <w:qFormat/>
    <w:uiPriority w:val="0"/>
    <w:tblPr>
      <w:tblCellMar>
        <w:top w:w="0" w:type="dxa"/>
        <w:left w:w="0" w:type="dxa"/>
        <w:bottom w:w="0" w:type="dxa"/>
        <w:right w:w="0" w:type="dxa"/>
      </w:tblCellMar>
    </w:tblPr>
  </w:style>
  <w:style w:type="table" w:customStyle="1" w:styleId="98">
    <w:name w:val="网格型4"/>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9">
    <w:name w:val="列表段落1"/>
    <w:basedOn w:val="1"/>
    <w:qFormat/>
    <w:uiPriority w:val="34"/>
    <w:pPr>
      <w:ind w:firstLine="420" w:firstLineChars="200"/>
    </w:pPr>
  </w:style>
  <w:style w:type="paragraph" w:customStyle="1" w:styleId="100">
    <w:name w:val="Table Text"/>
    <w:basedOn w:val="1"/>
    <w:semiHidden/>
    <w:qFormat/>
    <w:uiPriority w:val="0"/>
    <w:rPr>
      <w:rFonts w:ascii="宋体" w:hAnsi="宋体" w:cs="宋体"/>
      <w:sz w:val="19"/>
      <w:szCs w:val="19"/>
      <w:lang w:eastAsia="en-US"/>
    </w:rPr>
  </w:style>
  <w:style w:type="paragraph" w:customStyle="1" w:styleId="101">
    <w:name w:val="*正文"/>
    <w:basedOn w:val="1"/>
    <w:qFormat/>
    <w:uiPriority w:val="0"/>
    <w:pPr>
      <w:spacing w:line="360" w:lineRule="auto"/>
    </w:pPr>
    <w:rPr>
      <w:sz w:val="24"/>
    </w:rPr>
  </w:style>
  <w:style w:type="paragraph" w:customStyle="1" w:styleId="102">
    <w:name w:val="2 级标题"/>
    <w:qFormat/>
    <w:uiPriority w:val="0"/>
    <w:pPr>
      <w:keepNext/>
      <w:keepLines/>
      <w:widowControl w:val="0"/>
      <w:numPr>
        <w:ilvl w:val="1"/>
        <w:numId w:val="2"/>
      </w:numPr>
      <w:tabs>
        <w:tab w:val="left" w:pos="567"/>
      </w:tabs>
      <w:spacing w:before="120" w:after="120" w:line="360" w:lineRule="auto"/>
      <w:ind w:right="13" w:rightChars="13"/>
      <w:outlineLvl w:val="1"/>
    </w:pPr>
    <w:rPr>
      <w:rFonts w:ascii="Arial" w:hAnsi="Arial" w:eastAsia="黑体" w:cs="Times New Roman"/>
      <w:b/>
      <w:bCs/>
      <w:kern w:val="2"/>
      <w:sz w:val="32"/>
      <w:szCs w:val="32"/>
      <w:lang w:val="en-US" w:eastAsia="zh-CN" w:bidi="ar-SA"/>
    </w:rPr>
  </w:style>
  <w:style w:type="paragraph" w:customStyle="1" w:styleId="103">
    <w:name w:val="列出段落1"/>
    <w:basedOn w:val="1"/>
    <w:qFormat/>
    <w:uiPriority w:val="34"/>
    <w:pPr>
      <w:widowControl/>
      <w:ind w:left="720"/>
      <w:contextualSpacing/>
      <w:jc w:val="left"/>
    </w:pPr>
    <w:rPr>
      <w:kern w:val="0"/>
      <w:sz w:val="24"/>
      <w:lang w:eastAsia="en-US" w:bidi="en-US"/>
    </w:rPr>
  </w:style>
  <w:style w:type="paragraph" w:customStyle="1" w:styleId="104">
    <w:name w:val="样式 正文（缩进） + (中文) 楷体_GB2312"/>
    <w:basedOn w:val="105"/>
    <w:qFormat/>
    <w:uiPriority w:val="0"/>
    <w:pPr>
      <w:ind w:left="-2" w:leftChars="-1" w:firstLine="567" w:firstLineChars="0"/>
      <w:jc w:val="left"/>
    </w:pPr>
    <w:rPr>
      <w:rFonts w:eastAsia="楷体_GB2312"/>
      <w:sz w:val="28"/>
      <w:szCs w:val="28"/>
    </w:rPr>
  </w:style>
  <w:style w:type="paragraph" w:customStyle="1" w:styleId="105">
    <w:name w:val="正文（缩进）"/>
    <w:basedOn w:val="1"/>
    <w:qFormat/>
    <w:uiPriority w:val="0"/>
    <w:pPr>
      <w:spacing w:beforeLines="50" w:afterLines="50" w:line="360" w:lineRule="auto"/>
      <w:ind w:firstLine="480" w:firstLineChars="200"/>
    </w:pPr>
    <w:rPr>
      <w:sz w:val="24"/>
    </w:rPr>
  </w:style>
  <w:style w:type="paragraph" w:customStyle="1" w:styleId="106">
    <w:name w:val="样式 样式 样式 样式 首行缩进:  2 字符 + 首行缩进:  2 字符2 + 首行缩进:  2 字符 + 楷体_GB2312"/>
    <w:basedOn w:val="1"/>
    <w:qFormat/>
    <w:uiPriority w:val="0"/>
    <w:pPr>
      <w:spacing w:before="100" w:after="100" w:line="360" w:lineRule="auto"/>
      <w:ind w:firstLine="480" w:firstLineChars="200"/>
    </w:pPr>
    <w:rPr>
      <w:rFonts w:ascii="楷体_GB2312" w:hAnsi="楷体_GB2312" w:eastAsia="楷体_GB2312" w:cs="宋体"/>
      <w:sz w:val="24"/>
    </w:rPr>
  </w:style>
  <w:style w:type="paragraph" w:customStyle="1" w:styleId="107">
    <w:name w:val="正文表标题"/>
    <w:next w:val="108"/>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10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9">
    <w:name w:val="二级无"/>
    <w:basedOn w:val="110"/>
    <w:qFormat/>
    <w:uiPriority w:val="0"/>
    <w:pPr>
      <w:spacing w:beforeLines="0" w:afterLines="0"/>
    </w:pPr>
    <w:rPr>
      <w:rFonts w:ascii="宋体" w:eastAsia="宋体"/>
    </w:rPr>
  </w:style>
  <w:style w:type="paragraph" w:customStyle="1" w:styleId="110">
    <w:name w:val="二级条标题"/>
    <w:basedOn w:val="111"/>
    <w:next w:val="108"/>
    <w:qFormat/>
    <w:uiPriority w:val="0"/>
    <w:pPr>
      <w:numPr>
        <w:ilvl w:val="0"/>
        <w:numId w:val="0"/>
      </w:numPr>
      <w:spacing w:before="50" w:after="50"/>
      <w:ind w:left="850"/>
      <w:outlineLvl w:val="3"/>
    </w:pPr>
  </w:style>
  <w:style w:type="paragraph" w:customStyle="1" w:styleId="111">
    <w:name w:val="一级条标题"/>
    <w:next w:val="108"/>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112">
    <w:name w:val="三级无"/>
    <w:basedOn w:val="113"/>
    <w:qFormat/>
    <w:uiPriority w:val="0"/>
    <w:pPr>
      <w:numPr>
        <w:numId w:val="3"/>
      </w:numPr>
      <w:tabs>
        <w:tab w:val="left" w:pos="1984"/>
      </w:tabs>
      <w:spacing w:beforeLines="0" w:afterLines="0"/>
    </w:pPr>
    <w:rPr>
      <w:rFonts w:ascii="宋体" w:eastAsia="宋体"/>
    </w:rPr>
  </w:style>
  <w:style w:type="paragraph" w:customStyle="1" w:styleId="113">
    <w:name w:val="三级条标题"/>
    <w:basedOn w:val="110"/>
    <w:next w:val="108"/>
    <w:qFormat/>
    <w:uiPriority w:val="0"/>
    <w:pPr>
      <w:numPr>
        <w:ilvl w:val="3"/>
      </w:numPr>
      <w:ind w:left="850"/>
      <w:outlineLvl w:val="4"/>
    </w:pPr>
  </w:style>
  <w:style w:type="paragraph" w:customStyle="1" w:styleId="114">
    <w:name w:val="ListBullet2"/>
    <w:basedOn w:val="1"/>
    <w:qFormat/>
    <w:uiPriority w:val="0"/>
    <w:pPr>
      <w:numPr>
        <w:ilvl w:val="0"/>
        <w:numId w:val="5"/>
      </w:numPr>
    </w:pPr>
  </w:style>
  <w:style w:type="paragraph" w:customStyle="1" w:styleId="115">
    <w:name w:val="正文首行缩进1"/>
    <w:basedOn w:val="116"/>
    <w:qFormat/>
    <w:uiPriority w:val="0"/>
    <w:pPr>
      <w:spacing w:line="360" w:lineRule="auto"/>
      <w:ind w:firstLine="200"/>
    </w:pPr>
    <w:rPr>
      <w:rFonts w:ascii="仿宋_GB2312" w:hAnsi="Times New Roman" w:eastAsia="仿宋_GB2312"/>
      <w:sz w:val="30"/>
      <w:szCs w:val="30"/>
    </w:rPr>
  </w:style>
  <w:style w:type="paragraph" w:customStyle="1" w:styleId="116">
    <w:name w:val="正文文本11"/>
    <w:basedOn w:val="1"/>
    <w:next w:val="1"/>
    <w:qFormat/>
    <w:uiPriority w:val="0"/>
    <w:rPr>
      <w:rFonts w:ascii="楷体_GB2312" w:hAnsi="Arial" w:eastAsia="楷体_GB2312"/>
      <w:sz w:val="28"/>
      <w:szCs w:val="28"/>
    </w:rPr>
  </w:style>
  <w:style w:type="paragraph" w:customStyle="1" w:styleId="117">
    <w:name w:val="正文文本1"/>
    <w:basedOn w:val="1"/>
    <w:next w:val="1"/>
    <w:qFormat/>
    <w:uiPriority w:val="0"/>
    <w:rPr>
      <w:rFonts w:ascii="楷体_GB2312" w:hAnsi="Arial" w:eastAsia="楷体_GB2312"/>
      <w:sz w:val="28"/>
      <w:szCs w:val="28"/>
    </w:rPr>
  </w:style>
  <w:style w:type="character" w:customStyle="1" w:styleId="118">
    <w:name w:val="NormalCharacter"/>
    <w:qFormat/>
    <w:uiPriority w:val="0"/>
    <w:rPr>
      <w:rFonts w:ascii="Calibri" w:hAnsi="Calibri" w:eastAsia="宋体" w:cs="Times New Roman"/>
    </w:rPr>
  </w:style>
  <w:style w:type="paragraph" w:customStyle="1" w:styleId="119">
    <w:name w:val="正文首行缩进 21"/>
    <w:basedOn w:val="14"/>
    <w:unhideWhenUsed/>
    <w:qFormat/>
    <w:uiPriority w:val="99"/>
    <w:pPr>
      <w:ind w:firstLine="200"/>
    </w:pPr>
  </w:style>
  <w:style w:type="paragraph" w:customStyle="1" w:styleId="120">
    <w:name w:val="标题 41"/>
    <w:basedOn w:val="1"/>
    <w:next w:val="1"/>
    <w:qFormat/>
    <w:uiPriority w:val="0"/>
    <w:pPr>
      <w:keepNext/>
      <w:jc w:val="center"/>
      <w:outlineLvl w:val="3"/>
    </w:pPr>
    <w:rPr>
      <w:rFonts w:eastAsia="新宋体"/>
      <w:sz w:val="30"/>
      <w:szCs w:val="21"/>
    </w:rPr>
  </w:style>
  <w:style w:type="paragraph" w:styleId="12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11402</Words>
  <Characters>12182</Characters>
  <Lines>625</Lines>
  <Paragraphs>607</Paragraphs>
  <TotalTime>3</TotalTime>
  <ScaleCrop>false</ScaleCrop>
  <LinksUpToDate>false</LinksUpToDate>
  <CharactersWithSpaces>12309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2025-03-03T05:17:00Z</dcterms:created>
  <dc:creator>User</dc:creator>
  <cp:lastModifiedBy>铁匠</cp:lastModifiedBy>
  <cp:lastPrinted>2024-01-10T02:35:00Z</cp:lastPrinted>
  <dcterms:modified xsi:type="dcterms:W3CDTF">2025-10-28T03:35:53Z</dcterms:modified>
  <dc:title>南通市环境监测中心站火焰原子吸收光谱仪项目</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FF350B03513B4E2782F7CB2049475121_13</vt:lpwstr>
  </property>
  <property fmtid="{D5CDD505-2E9C-101B-9397-08002B2CF9AE}" pid="4" name="KSOTemplateDocerSaveRecord">
    <vt:lpwstr>eyJoZGlkIjoiNmJiY2JkZmIyOTY3NTdjNmZkNzE4ZTgzYzMxMDhmMDMiLCJ1c2VySWQiOiI2ODU3NjMzNzMifQ==</vt:lpwstr>
  </property>
</Properties>
</file>