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5681B">
      <w:pPr>
        <w:spacing w:line="360" w:lineRule="auto"/>
        <w:jc w:val="center"/>
        <w:rPr>
          <w:rFonts w:ascii="黑体" w:hAnsi="黑体" w:eastAsia="黑体" w:cs="黑体"/>
          <w:sz w:val="84"/>
          <w:szCs w:val="84"/>
        </w:rPr>
      </w:pPr>
    </w:p>
    <w:p w14:paraId="74B8CFD4">
      <w:pPr>
        <w:spacing w:line="360" w:lineRule="auto"/>
        <w:jc w:val="center"/>
        <w:rPr>
          <w:rFonts w:ascii="黑体" w:hAnsi="黑体" w:eastAsia="黑体" w:cs="黑体"/>
          <w:sz w:val="84"/>
          <w:szCs w:val="84"/>
        </w:rPr>
      </w:pPr>
      <w:r>
        <w:rPr>
          <w:rFonts w:hint="eastAsia" w:ascii="黑体" w:hAnsi="黑体" w:eastAsia="黑体" w:cs="黑体"/>
          <w:sz w:val="84"/>
          <w:szCs w:val="84"/>
        </w:rPr>
        <w:t>招 标 文 件</w:t>
      </w:r>
    </w:p>
    <w:p w14:paraId="27175E85">
      <w:pPr>
        <w:spacing w:line="360" w:lineRule="auto"/>
        <w:rPr>
          <w:rFonts w:asciiTheme="minorEastAsia" w:hAnsiTheme="minorEastAsia" w:cstheme="minorEastAsia"/>
          <w:sz w:val="24"/>
        </w:rPr>
      </w:pPr>
    </w:p>
    <w:p w14:paraId="4A6083DF">
      <w:pPr>
        <w:spacing w:before="120" w:after="120" w:line="360" w:lineRule="auto"/>
        <w:ind w:firstLine="305"/>
        <w:jc w:val="left"/>
        <w:rPr>
          <w:rFonts w:ascii="黑体" w:hAnsi="黑体" w:eastAsia="黑体" w:cs="黑体"/>
          <w:b/>
          <w:bCs/>
          <w:sz w:val="32"/>
        </w:rPr>
      </w:pPr>
    </w:p>
    <w:p w14:paraId="6B6E1069">
      <w:pPr>
        <w:spacing w:before="120" w:after="120" w:line="360" w:lineRule="auto"/>
        <w:ind w:firstLine="305"/>
        <w:jc w:val="left"/>
        <w:rPr>
          <w:rFonts w:ascii="黑体" w:hAnsi="黑体" w:eastAsia="黑体" w:cs="黑体"/>
          <w:b/>
          <w:bCs/>
          <w:sz w:val="32"/>
        </w:rPr>
      </w:pPr>
    </w:p>
    <w:p w14:paraId="3F7FA1E1">
      <w:pPr>
        <w:spacing w:before="120" w:after="120" w:line="360" w:lineRule="auto"/>
        <w:ind w:firstLine="305"/>
        <w:jc w:val="left"/>
        <w:rPr>
          <w:rFonts w:ascii="黑体" w:hAnsi="黑体" w:eastAsia="黑体" w:cs="黑体"/>
          <w:b/>
          <w:bCs/>
          <w:sz w:val="36"/>
          <w:szCs w:val="28"/>
        </w:rPr>
      </w:pPr>
      <w:r>
        <w:rPr>
          <w:rFonts w:hint="eastAsia" w:ascii="黑体" w:hAnsi="黑体" w:eastAsia="黑体" w:cs="黑体"/>
          <w:b/>
          <w:bCs/>
          <w:sz w:val="36"/>
          <w:szCs w:val="28"/>
        </w:rPr>
        <w:t>项目名称：南通市公安局通州湾示范区分局执法记录仪改造项目</w:t>
      </w:r>
    </w:p>
    <w:p w14:paraId="16CF1F44">
      <w:pPr>
        <w:spacing w:before="120" w:after="120" w:line="360" w:lineRule="auto"/>
        <w:ind w:firstLine="315"/>
        <w:jc w:val="left"/>
        <w:rPr>
          <w:rFonts w:ascii="黑体" w:hAnsi="黑体" w:eastAsia="黑体" w:cs="黑体"/>
          <w:b/>
          <w:bCs/>
          <w:sz w:val="36"/>
          <w:szCs w:val="28"/>
        </w:rPr>
      </w:pPr>
      <w:r>
        <w:rPr>
          <w:rFonts w:hint="eastAsia" w:ascii="黑体" w:hAnsi="黑体" w:eastAsia="黑体" w:cs="黑体"/>
          <w:b/>
          <w:bCs/>
          <w:sz w:val="36"/>
          <w:szCs w:val="28"/>
        </w:rPr>
        <w:t xml:space="preserve">项目编号： GAJ-HXTDBD25008          </w:t>
      </w:r>
    </w:p>
    <w:p w14:paraId="33BDE9E8">
      <w:pPr>
        <w:ind w:left="2811" w:hanging="2811"/>
        <w:rPr>
          <w:b/>
          <w:sz w:val="28"/>
          <w:szCs w:val="28"/>
        </w:rPr>
      </w:pPr>
    </w:p>
    <w:p w14:paraId="0645E893">
      <w:pPr>
        <w:spacing w:before="120" w:after="120" w:line="360" w:lineRule="auto"/>
        <w:jc w:val="left"/>
        <w:rPr>
          <w:rFonts w:ascii="Times New Roman" w:hAnsi="Times New Roman"/>
          <w:b/>
          <w:sz w:val="30"/>
          <w:szCs w:val="30"/>
        </w:rPr>
      </w:pPr>
    </w:p>
    <w:p w14:paraId="7156423F">
      <w:pPr>
        <w:spacing w:line="360" w:lineRule="auto"/>
        <w:jc w:val="left"/>
        <w:rPr>
          <w:rFonts w:ascii="宋体" w:hAnsi="宋体"/>
          <w:sz w:val="24"/>
        </w:rPr>
      </w:pPr>
    </w:p>
    <w:p w14:paraId="3FE937E4">
      <w:pPr>
        <w:spacing w:line="360" w:lineRule="auto"/>
        <w:jc w:val="left"/>
        <w:rPr>
          <w:rFonts w:ascii="宋体" w:hAnsi="宋体"/>
          <w:sz w:val="24"/>
        </w:rPr>
      </w:pPr>
    </w:p>
    <w:p w14:paraId="557C7C9D">
      <w:pPr>
        <w:spacing w:line="360" w:lineRule="auto"/>
        <w:jc w:val="left"/>
        <w:rPr>
          <w:rFonts w:ascii="宋体" w:hAnsi="宋体"/>
          <w:sz w:val="24"/>
        </w:rPr>
      </w:pPr>
    </w:p>
    <w:p w14:paraId="3F35503B">
      <w:pPr>
        <w:spacing w:line="360" w:lineRule="auto"/>
        <w:jc w:val="left"/>
        <w:rPr>
          <w:rFonts w:ascii="宋体" w:hAnsi="宋体"/>
          <w:sz w:val="24"/>
        </w:rPr>
      </w:pPr>
    </w:p>
    <w:p w14:paraId="6DA43CE1">
      <w:pPr>
        <w:spacing w:line="360" w:lineRule="auto"/>
        <w:jc w:val="left"/>
        <w:rPr>
          <w:rFonts w:ascii="宋体" w:hAnsi="宋体"/>
          <w:sz w:val="24"/>
        </w:rPr>
      </w:pPr>
    </w:p>
    <w:p w14:paraId="12695526">
      <w:pPr>
        <w:spacing w:line="360" w:lineRule="auto"/>
        <w:jc w:val="left"/>
        <w:rPr>
          <w:rFonts w:ascii="宋体" w:hAnsi="宋体"/>
          <w:sz w:val="24"/>
        </w:rPr>
      </w:pPr>
    </w:p>
    <w:p w14:paraId="0069BDF5">
      <w:pPr>
        <w:spacing w:line="360" w:lineRule="auto"/>
        <w:jc w:val="left"/>
        <w:rPr>
          <w:rFonts w:ascii="宋体" w:hAnsi="宋体"/>
          <w:sz w:val="24"/>
        </w:rPr>
      </w:pPr>
    </w:p>
    <w:p w14:paraId="4AB6D694">
      <w:pPr>
        <w:spacing w:line="360" w:lineRule="auto"/>
        <w:ind w:firstLine="1506" w:firstLineChars="500"/>
        <w:textAlignment w:val="baseline"/>
        <w:rPr>
          <w:rFonts w:ascii="黑体" w:hAnsi="黑体" w:eastAsia="黑体" w:cs="黑体"/>
          <w:b/>
          <w:sz w:val="30"/>
          <w:szCs w:val="30"/>
        </w:rPr>
      </w:pPr>
      <w:r>
        <w:rPr>
          <w:rFonts w:hint="eastAsia" w:ascii="黑体" w:hAnsi="黑体" w:eastAsia="黑体" w:cs="黑体"/>
          <w:b/>
          <w:sz w:val="30"/>
          <w:szCs w:val="30"/>
        </w:rPr>
        <w:t>采购单位：南通市公安局通州湾示范区分局</w:t>
      </w:r>
    </w:p>
    <w:p w14:paraId="6F412A8D">
      <w:pPr>
        <w:spacing w:line="360" w:lineRule="auto"/>
        <w:jc w:val="center"/>
        <w:textAlignment w:val="baseline"/>
        <w:rPr>
          <w:rFonts w:ascii="黑体" w:hAnsi="黑体" w:eastAsia="黑体" w:cs="黑体"/>
          <w:b/>
          <w:bCs/>
          <w:sz w:val="32"/>
        </w:rPr>
      </w:pPr>
      <w:r>
        <w:rPr>
          <w:rFonts w:hint="eastAsia" w:ascii="黑体" w:hAnsi="黑体" w:eastAsia="黑体" w:cs="黑体"/>
          <w:b/>
          <w:sz w:val="30"/>
          <w:szCs w:val="30"/>
        </w:rPr>
        <w:t>代理机构：宏信天德工程顾问有限公司</w:t>
      </w:r>
    </w:p>
    <w:p w14:paraId="3C66B40D">
      <w:pPr>
        <w:spacing w:before="120" w:after="120" w:line="360" w:lineRule="auto"/>
        <w:jc w:val="center"/>
        <w:rPr>
          <w:rFonts w:ascii="黑体" w:hAnsi="黑体" w:eastAsia="黑体" w:cs="黑体"/>
          <w:b/>
          <w:bCs/>
          <w:sz w:val="32"/>
        </w:rPr>
      </w:pPr>
      <w:r>
        <w:rPr>
          <w:rFonts w:hint="eastAsia" w:ascii="黑体" w:hAnsi="黑体" w:eastAsia="黑体" w:cs="黑体"/>
          <w:b/>
          <w:bCs/>
          <w:sz w:val="32"/>
        </w:rPr>
        <w:t>2025年10月</w:t>
      </w:r>
    </w:p>
    <w:p w14:paraId="7B4D5538">
      <w:pPr>
        <w:rPr>
          <w:rFonts w:asciiTheme="minorEastAsia" w:hAnsiTheme="minorEastAsia" w:cstheme="minorEastAsia"/>
          <w:sz w:val="24"/>
        </w:rPr>
      </w:pPr>
      <w:r>
        <w:rPr>
          <w:rFonts w:hint="eastAsia" w:asciiTheme="minorEastAsia" w:hAnsiTheme="minorEastAsia" w:cstheme="minorEastAsia"/>
          <w:sz w:val="24"/>
        </w:rPr>
        <w:br w:type="page"/>
      </w:r>
    </w:p>
    <w:p w14:paraId="5ADA554D">
      <w:pPr>
        <w:pStyle w:val="4"/>
      </w:pPr>
    </w:p>
    <w:sdt>
      <w:sdtPr>
        <w:rPr>
          <w:rFonts w:ascii="宋体" w:hAnsi="宋体" w:eastAsia="宋体" w:cs="Arial"/>
          <w:b/>
          <w:bCs/>
          <w:sz w:val="26"/>
          <w:szCs w:val="26"/>
        </w:rPr>
        <w:id w:val="147475116"/>
        <w:docPartObj>
          <w:docPartGallery w:val="Table of Contents"/>
          <w:docPartUnique/>
        </w:docPartObj>
      </w:sdtPr>
      <w:sdtEndPr>
        <w:rPr>
          <w:rFonts w:hint="eastAsia" w:asciiTheme="minorEastAsia" w:hAnsiTheme="minorEastAsia" w:eastAsiaTheme="minorEastAsia" w:cstheme="minorEastAsia"/>
          <w:b/>
          <w:bCs/>
          <w:sz w:val="24"/>
          <w:szCs w:val="26"/>
        </w:rPr>
      </w:sdtEndPr>
      <w:sdtContent>
        <w:p w14:paraId="751AF23E">
          <w:pPr>
            <w:jc w:val="center"/>
            <w:rPr>
              <w:b/>
              <w:bCs/>
              <w:sz w:val="28"/>
              <w:szCs w:val="36"/>
            </w:rPr>
          </w:pPr>
          <w:r>
            <w:rPr>
              <w:rFonts w:ascii="宋体" w:hAnsi="宋体" w:eastAsia="宋体"/>
              <w:b/>
              <w:bCs/>
              <w:sz w:val="28"/>
              <w:szCs w:val="36"/>
            </w:rPr>
            <w:t>目录</w:t>
          </w:r>
        </w:p>
        <w:p w14:paraId="34E12A23">
          <w:pPr>
            <w:pStyle w:val="12"/>
            <w:tabs>
              <w:tab w:val="right" w:leader="dot" w:pos="8306"/>
            </w:tabs>
            <w:spacing w:line="360" w:lineRule="auto"/>
            <w:rPr>
              <w:rFonts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TOC \o "1-3" \h \u </w:instrText>
          </w:r>
          <w:r>
            <w:rPr>
              <w:rFonts w:hint="eastAsia" w:asciiTheme="minorEastAsia" w:hAnsiTheme="minorEastAsia" w:cstheme="minorEastAsia"/>
              <w:sz w:val="24"/>
            </w:rPr>
            <w:fldChar w:fldCharType="separate"/>
          </w:r>
          <w:r>
            <w:fldChar w:fldCharType="begin"/>
          </w:r>
          <w:r>
            <w:instrText xml:space="preserve"> HYPERLINK \l "_Toc6219" </w:instrText>
          </w:r>
          <w:r>
            <w:fldChar w:fldCharType="separate"/>
          </w:r>
          <w:r>
            <w:rPr>
              <w:rFonts w:hint="eastAsia" w:asciiTheme="minorEastAsia" w:hAnsiTheme="minorEastAsia" w:cstheme="minorEastAsia"/>
              <w:sz w:val="24"/>
            </w:rPr>
            <w:t>第一章  招标公告</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_Toc6219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4FC75DDD">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"_Toc22430" </w:instrText>
          </w:r>
          <w:r>
            <w:fldChar w:fldCharType="separate"/>
          </w:r>
          <w:r>
            <w:rPr>
              <w:rFonts w:hint="eastAsia" w:asciiTheme="minorEastAsia" w:hAnsiTheme="minorEastAsia" w:cstheme="minorEastAsia"/>
              <w:sz w:val="24"/>
            </w:rPr>
            <w:t>一、项目基本情况</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_Toc22430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394EAC35">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"_Toc19905" </w:instrText>
          </w:r>
          <w:r>
            <w:fldChar w:fldCharType="separate"/>
          </w:r>
          <w:r>
            <w:rPr>
              <w:rFonts w:hint="eastAsia" w:asciiTheme="minorEastAsia" w:hAnsiTheme="minorEastAsia" w:cstheme="minorEastAsia"/>
              <w:sz w:val="24"/>
            </w:rPr>
            <w:t>二、申请人的资格要求</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_Toc19905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016C3702">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"_Toc7415" </w:instrText>
          </w:r>
          <w:r>
            <w:fldChar w:fldCharType="separate"/>
          </w:r>
          <w:r>
            <w:rPr>
              <w:rFonts w:hint="eastAsia" w:asciiTheme="minorEastAsia" w:hAnsiTheme="minorEastAsia" w:cstheme="minorEastAsia"/>
              <w:sz w:val="24"/>
            </w:rPr>
            <w:t>三、获取招标文件</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_Toc7415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2</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39171DC2">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"_Toc28839" </w:instrText>
          </w:r>
          <w:r>
            <w:fldChar w:fldCharType="separate"/>
          </w:r>
          <w:r>
            <w:rPr>
              <w:rFonts w:hint="eastAsia" w:asciiTheme="minorEastAsia" w:hAnsiTheme="minorEastAsia" w:cstheme="minorEastAsia"/>
              <w:sz w:val="24"/>
            </w:rPr>
            <w:t>四、提交响应文件截止时间</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_Toc28839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2</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773AAA11">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"_Toc28437" </w:instrText>
          </w:r>
          <w:r>
            <w:fldChar w:fldCharType="separate"/>
          </w:r>
          <w:r>
            <w:rPr>
              <w:rFonts w:hint="eastAsia" w:asciiTheme="minorEastAsia" w:hAnsiTheme="minorEastAsia" w:cstheme="minorEastAsia"/>
              <w:sz w:val="24"/>
            </w:rPr>
            <w:t>五、公告期限</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_Toc28437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2</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74D15E80">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"_Toc3840" </w:instrText>
          </w:r>
          <w:r>
            <w:fldChar w:fldCharType="separate"/>
          </w:r>
          <w:r>
            <w:rPr>
              <w:rFonts w:hint="eastAsia" w:asciiTheme="minorEastAsia" w:hAnsiTheme="minorEastAsia" w:cstheme="minorEastAsia"/>
              <w:sz w:val="24"/>
            </w:rPr>
            <w:t>六、其他补充事宜</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_Toc3840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2</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0CDAAA6A">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"_Toc1677" </w:instrText>
          </w:r>
          <w:r>
            <w:fldChar w:fldCharType="separate"/>
          </w:r>
          <w:r>
            <w:rPr>
              <w:rFonts w:hint="eastAsia" w:asciiTheme="minorEastAsia" w:hAnsiTheme="minorEastAsia" w:cstheme="minorEastAsia"/>
              <w:sz w:val="24"/>
            </w:rPr>
            <w:t>七、本次招标联系方式</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_Toc1677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3</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417618DF">
          <w:pPr>
            <w:pStyle w:val="12"/>
            <w:tabs>
              <w:tab w:val="right" w:leader="dot" w:pos="8306"/>
            </w:tabs>
            <w:spacing w:line="360" w:lineRule="auto"/>
            <w:rPr>
              <w:rFonts w:asciiTheme="minorEastAsia" w:hAnsiTheme="minorEastAsia" w:cstheme="minorEastAsia"/>
              <w:sz w:val="24"/>
            </w:rPr>
          </w:pPr>
          <w:r>
            <w:fldChar w:fldCharType="begin"/>
          </w:r>
          <w:r>
            <w:instrText xml:space="preserve"> HYPERLINK \l "_Toc24360" </w:instrText>
          </w:r>
          <w:r>
            <w:fldChar w:fldCharType="separate"/>
          </w:r>
          <w:r>
            <w:rPr>
              <w:rFonts w:hint="eastAsia" w:asciiTheme="minorEastAsia" w:hAnsiTheme="minorEastAsia" w:cstheme="minorEastAsia"/>
              <w:sz w:val="24"/>
            </w:rPr>
            <w:t>第二章  投标人须知</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_Toc24360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4</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6E2A8DF5">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"_Toc2051" </w:instrText>
          </w:r>
          <w:r>
            <w:fldChar w:fldCharType="separate"/>
          </w:r>
          <w:r>
            <w:rPr>
              <w:rFonts w:hint="eastAsia" w:asciiTheme="minorEastAsia" w:hAnsiTheme="minorEastAsia" w:cstheme="minorEastAsia"/>
              <w:sz w:val="24"/>
            </w:rPr>
            <w:t>一、总则</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_Toc2051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4</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037B6418">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"_Toc25630" </w:instrText>
          </w:r>
          <w:r>
            <w:fldChar w:fldCharType="separate"/>
          </w:r>
          <w:r>
            <w:rPr>
              <w:rFonts w:hint="eastAsia" w:asciiTheme="minorEastAsia" w:hAnsiTheme="minorEastAsia" w:cstheme="minorEastAsia"/>
              <w:sz w:val="24"/>
            </w:rPr>
            <w:t>二、招标文件</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_Toc25630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4</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56946CC0">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"_Toc16311" </w:instrText>
          </w:r>
          <w:r>
            <w:fldChar w:fldCharType="separate"/>
          </w:r>
          <w:r>
            <w:rPr>
              <w:rFonts w:hint="eastAsia" w:asciiTheme="minorEastAsia" w:hAnsiTheme="minorEastAsia" w:cstheme="minorEastAsia"/>
              <w:sz w:val="24"/>
            </w:rPr>
            <w:t>三、投标文件的编制</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_Toc16311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5</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6CC999C4">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"_Toc16731" </w:instrText>
          </w:r>
          <w:r>
            <w:fldChar w:fldCharType="separate"/>
          </w:r>
          <w:r>
            <w:rPr>
              <w:rFonts w:hint="eastAsia" w:asciiTheme="minorEastAsia" w:hAnsiTheme="minorEastAsia" w:cstheme="minorEastAsia"/>
              <w:sz w:val="24"/>
            </w:rPr>
            <w:t>四、投标文件的递交</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_Toc16731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6</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34213812">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"_Toc4757" </w:instrText>
          </w:r>
          <w:r>
            <w:fldChar w:fldCharType="separate"/>
          </w:r>
          <w:r>
            <w:rPr>
              <w:rFonts w:hint="eastAsia" w:asciiTheme="minorEastAsia" w:hAnsiTheme="minorEastAsia" w:cstheme="minorEastAsia"/>
              <w:sz w:val="24"/>
            </w:rPr>
            <w:t>五、开标与评标</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_Toc4757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7</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4E8C48C8">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"_Toc8743" </w:instrText>
          </w:r>
          <w:r>
            <w:fldChar w:fldCharType="separate"/>
          </w:r>
          <w:r>
            <w:rPr>
              <w:rFonts w:hint="eastAsia" w:asciiTheme="minorEastAsia" w:hAnsiTheme="minorEastAsia" w:cstheme="minorEastAsia"/>
              <w:sz w:val="24"/>
            </w:rPr>
            <w:t>六、定标</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_Toc8743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11</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5BA7878E">
          <w:pPr>
            <w:pStyle w:val="14"/>
            <w:tabs>
              <w:tab w:val="right" w:leader="dot" w:pos="8306"/>
            </w:tabs>
            <w:spacing w:line="360" w:lineRule="auto"/>
            <w:rPr>
              <w:rFonts w:asciiTheme="minorEastAsia" w:hAnsiTheme="minorEastAsia" w:cstheme="minorEastAsia"/>
              <w:sz w:val="24"/>
            </w:rPr>
          </w:pPr>
          <w:r>
            <w:fldChar w:fldCharType="begin"/>
          </w:r>
          <w:r>
            <w:instrText xml:space="preserve"> HYPERLINK \l "_Toc6306" </w:instrText>
          </w:r>
          <w:r>
            <w:fldChar w:fldCharType="separate"/>
          </w:r>
          <w:r>
            <w:rPr>
              <w:rFonts w:hint="eastAsia" w:asciiTheme="minorEastAsia" w:hAnsiTheme="minorEastAsia" w:cstheme="minorEastAsia"/>
              <w:sz w:val="24"/>
            </w:rPr>
            <w:t>七、授予合同</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_Toc6306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14</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5ECE31AB">
          <w:pPr>
            <w:pStyle w:val="12"/>
            <w:tabs>
              <w:tab w:val="right" w:leader="dot" w:pos="8306"/>
            </w:tabs>
            <w:spacing w:line="360" w:lineRule="auto"/>
            <w:rPr>
              <w:rFonts w:asciiTheme="minorEastAsia" w:hAnsiTheme="minorEastAsia" w:cstheme="minorEastAsia"/>
              <w:sz w:val="24"/>
            </w:rPr>
          </w:pPr>
          <w:r>
            <w:fldChar w:fldCharType="begin"/>
          </w:r>
          <w:r>
            <w:instrText xml:space="preserve"> HYPERLINK \l "_Toc30920" </w:instrText>
          </w:r>
          <w:r>
            <w:fldChar w:fldCharType="separate"/>
          </w:r>
          <w:r>
            <w:rPr>
              <w:rFonts w:hint="eastAsia" w:asciiTheme="minorEastAsia" w:hAnsiTheme="minorEastAsia" w:cstheme="minorEastAsia"/>
              <w:sz w:val="24"/>
            </w:rPr>
            <w:t>第三章  合同文本</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_Toc30920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15</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458B6993">
          <w:pPr>
            <w:pStyle w:val="12"/>
            <w:tabs>
              <w:tab w:val="right" w:leader="dot" w:pos="8306"/>
            </w:tabs>
            <w:spacing w:line="360" w:lineRule="auto"/>
            <w:rPr>
              <w:rFonts w:asciiTheme="minorEastAsia" w:hAnsiTheme="minorEastAsia" w:cstheme="minorEastAsia"/>
              <w:sz w:val="24"/>
            </w:rPr>
          </w:pPr>
          <w:r>
            <w:fldChar w:fldCharType="begin"/>
          </w:r>
          <w:r>
            <w:instrText xml:space="preserve"> HYPERLINK \l "_Toc13313" </w:instrText>
          </w:r>
          <w:r>
            <w:fldChar w:fldCharType="separate"/>
          </w:r>
          <w:r>
            <w:rPr>
              <w:rFonts w:hint="eastAsia" w:asciiTheme="minorEastAsia" w:hAnsiTheme="minorEastAsia" w:cstheme="minorEastAsia"/>
              <w:sz w:val="24"/>
            </w:rPr>
            <w:t>第四章  采购需求</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_Toc13313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16</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091783E5">
          <w:pPr>
            <w:pStyle w:val="12"/>
            <w:tabs>
              <w:tab w:val="right" w:leader="dot" w:pos="8306"/>
            </w:tabs>
            <w:spacing w:line="360" w:lineRule="auto"/>
            <w:rPr>
              <w:rFonts w:asciiTheme="minorEastAsia" w:hAnsiTheme="minorEastAsia" w:cstheme="minorEastAsia"/>
              <w:sz w:val="24"/>
            </w:rPr>
          </w:pPr>
          <w:r>
            <w:fldChar w:fldCharType="begin"/>
          </w:r>
          <w:r>
            <w:instrText xml:space="preserve"> HYPERLINK \l "_Toc15365" </w:instrText>
          </w:r>
          <w:r>
            <w:fldChar w:fldCharType="separate"/>
          </w:r>
          <w:r>
            <w:rPr>
              <w:rFonts w:hint="eastAsia" w:asciiTheme="minorEastAsia" w:hAnsiTheme="minorEastAsia" w:cstheme="minorEastAsia"/>
              <w:sz w:val="24"/>
            </w:rPr>
            <w:t>第五章  评标方法与评标标准</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_Toc15365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17</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5D06E97C">
          <w:pPr>
            <w:pStyle w:val="12"/>
            <w:tabs>
              <w:tab w:val="right" w:leader="dot" w:pos="8306"/>
            </w:tabs>
            <w:spacing w:line="360" w:lineRule="auto"/>
            <w:rPr>
              <w:rFonts w:asciiTheme="minorEastAsia" w:hAnsiTheme="minorEastAsia" w:cstheme="minorEastAsia"/>
              <w:sz w:val="24"/>
            </w:rPr>
          </w:pPr>
          <w:r>
            <w:fldChar w:fldCharType="begin"/>
          </w:r>
          <w:r>
            <w:instrText xml:space="preserve"> HYPERLINK \l "_Toc20705" </w:instrText>
          </w:r>
          <w:r>
            <w:fldChar w:fldCharType="separate"/>
          </w:r>
          <w:r>
            <w:rPr>
              <w:rFonts w:hint="eastAsia" w:asciiTheme="minorEastAsia" w:hAnsiTheme="minorEastAsia" w:cstheme="minorEastAsia"/>
              <w:sz w:val="24"/>
            </w:rPr>
            <w:t>第六章  投标文件格式</w:t>
          </w:r>
          <w:r>
            <w:rPr>
              <w:rFonts w:hint="eastAsia" w:asciiTheme="minorEastAsia" w:hAnsiTheme="minorEastAsia" w:cstheme="minorEastAsia"/>
              <w:sz w:val="24"/>
            </w:rPr>
            <w:tab/>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PAGEREF _Toc20705 \h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18</w:t>
          </w:r>
          <w:r>
            <w:rPr>
              <w:rFonts w:hint="eastAsia" w:asciiTheme="minorEastAsia" w:hAnsiTheme="minorEastAsia" w:cstheme="minorEastAsia"/>
              <w:sz w:val="24"/>
            </w:rPr>
            <w:fldChar w:fldCharType="end"/>
          </w:r>
          <w:r>
            <w:rPr>
              <w:rFonts w:hint="eastAsia" w:asciiTheme="minorEastAsia" w:hAnsiTheme="minorEastAsia" w:cstheme="minorEastAsia"/>
              <w:sz w:val="24"/>
            </w:rPr>
            <w:fldChar w:fldCharType="end"/>
          </w:r>
        </w:p>
        <w:p w14:paraId="2DA3F48F">
          <w:pPr>
            <w:pStyle w:val="4"/>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p>
      </w:sdtContent>
    </w:sdt>
    <w:p w14:paraId="5B1D754C"/>
    <w:p w14:paraId="1A7F43E1">
      <w:pPr>
        <w:spacing w:line="360" w:lineRule="auto"/>
        <w:rPr>
          <w:rFonts w:asciiTheme="minorEastAsia" w:hAnsiTheme="minorEastAsia" w:cstheme="minorEastAsia"/>
          <w:sz w:val="24"/>
        </w:rPr>
      </w:pPr>
    </w:p>
    <w:p w14:paraId="53E52BE4">
      <w:pPr>
        <w:pStyle w:val="2"/>
        <w:spacing w:before="312" w:after="312"/>
        <w:sectPr>
          <w:pgSz w:w="11906" w:h="16838"/>
          <w:pgMar w:top="1440" w:right="1800" w:bottom="1440" w:left="1800" w:header="851" w:footer="992" w:gutter="0"/>
          <w:cols w:space="425" w:num="1"/>
          <w:docGrid w:type="lines" w:linePitch="312" w:charSpace="0"/>
        </w:sectPr>
      </w:pPr>
    </w:p>
    <w:p w14:paraId="54C32C9C">
      <w:pPr>
        <w:pStyle w:val="2"/>
        <w:spacing w:before="312" w:after="312"/>
      </w:pPr>
      <w:bookmarkStart w:id="0" w:name="_Toc6219"/>
      <w:r>
        <w:rPr>
          <w:rFonts w:hint="eastAsia"/>
        </w:rPr>
        <w:t xml:space="preserve">第一章  </w:t>
      </w:r>
      <w:bookmarkEnd w:id="0"/>
      <w:r>
        <w:rPr>
          <w:rFonts w:hint="eastAsia"/>
        </w:rPr>
        <w:t>招标公告</w:t>
      </w:r>
    </w:p>
    <w:p w14:paraId="4E98F949">
      <w:pPr>
        <w:spacing w:line="360" w:lineRule="auto"/>
        <w:ind w:firstLine="480" w:firstLineChars="200"/>
        <w:rPr>
          <w:rFonts w:asciiTheme="minorEastAsia" w:hAnsiTheme="minorEastAsia" w:cstheme="minorEastAsia"/>
          <w:sz w:val="24"/>
        </w:rPr>
      </w:pPr>
      <w:r>
        <w:rPr>
          <w:rFonts w:hint="eastAsia" w:ascii="Times New Roman" w:hAnsi="Times New Roman"/>
          <w:bCs/>
          <w:sz w:val="24"/>
        </w:rPr>
        <w:t>南通市公安局通州湾示范区分局</w:t>
      </w:r>
      <w:r>
        <w:rPr>
          <w:rFonts w:hint="eastAsia" w:asciiTheme="minorEastAsia" w:hAnsiTheme="minorEastAsia" w:cstheme="minorEastAsia"/>
          <w:sz w:val="24"/>
        </w:rPr>
        <w:t>就[</w:t>
      </w:r>
      <w:r>
        <w:rPr>
          <w:rFonts w:hint="eastAsia" w:ascii="Times New Roman" w:hAnsi="Times New Roman"/>
          <w:bCs/>
          <w:sz w:val="24"/>
        </w:rPr>
        <w:t>执法记录仪改造项目</w:t>
      </w:r>
      <w:r>
        <w:rPr>
          <w:rFonts w:hint="eastAsia" w:asciiTheme="minorEastAsia" w:hAnsiTheme="minorEastAsia" w:cstheme="minorEastAsia"/>
          <w:sz w:val="24"/>
        </w:rPr>
        <w:t>]([</w:t>
      </w:r>
      <w:r>
        <w:rPr>
          <w:rFonts w:hint="eastAsia" w:ascii="Times New Roman" w:hAnsi="Times New Roman"/>
          <w:bCs/>
          <w:sz w:val="24"/>
          <w:lang w:eastAsia="zh-CN"/>
        </w:rPr>
        <w:t>GAJ-HXTDBD25008</w:t>
      </w:r>
      <w:r>
        <w:rPr>
          <w:rFonts w:hint="eastAsia" w:asciiTheme="minorEastAsia" w:hAnsiTheme="minorEastAsia" w:cstheme="minorEastAsia"/>
          <w:sz w:val="24"/>
        </w:rPr>
        <w:t>])进行公开招标采购，欢迎符合条件的供应商投标。</w:t>
      </w:r>
    </w:p>
    <w:p w14:paraId="30C45D98">
      <w:pPr>
        <w:pBdr>
          <w:top w:val="single" w:color="000000" w:sz="4" w:space="1"/>
          <w:left w:val="single" w:color="000000" w:sz="4" w:space="4"/>
          <w:bottom w:val="single" w:color="000000" w:sz="4" w:space="1"/>
          <w:right w:val="single" w:color="000000" w:sz="4" w:space="4"/>
        </w:pBdr>
        <w:spacing w:line="360" w:lineRule="auto"/>
        <w:ind w:firstLine="482"/>
        <w:rPr>
          <w:rFonts w:asciiTheme="minorEastAsia" w:hAnsiTheme="minorEastAsia" w:cstheme="minorEastAsia"/>
          <w:sz w:val="24"/>
        </w:rPr>
      </w:pPr>
      <w:r>
        <w:rPr>
          <w:rFonts w:hint="eastAsia" w:asciiTheme="minorEastAsia" w:hAnsiTheme="minorEastAsia" w:cstheme="minorEastAsia"/>
          <w:sz w:val="24"/>
        </w:rPr>
        <w:t>项目概况</w:t>
      </w:r>
    </w:p>
    <w:p w14:paraId="56447845">
      <w:pPr>
        <w:pBdr>
          <w:top w:val="single" w:color="000000" w:sz="4" w:space="1"/>
          <w:left w:val="single" w:color="000000" w:sz="4" w:space="4"/>
          <w:bottom w:val="single" w:color="000000" w:sz="4" w:space="1"/>
          <w:right w:val="single" w:color="000000" w:sz="4" w:space="4"/>
        </w:pBdr>
        <w:spacing w:line="360" w:lineRule="auto"/>
        <w:ind w:firstLine="482"/>
        <w:rPr>
          <w:rFonts w:asciiTheme="minorEastAsia" w:hAnsiTheme="minorEastAsia" w:cstheme="minorEastAsia"/>
          <w:sz w:val="24"/>
        </w:rPr>
      </w:pPr>
      <w:r>
        <w:rPr>
          <w:rFonts w:hint="eastAsia" w:asciiTheme="minorEastAsia" w:hAnsiTheme="minorEastAsia" w:cstheme="minorEastAsia"/>
          <w:bCs/>
          <w:sz w:val="24"/>
          <w:u w:val="single"/>
        </w:rPr>
        <w:t xml:space="preserve">南通市公安局通州湾示范区分局执法记录仪改造项目 </w:t>
      </w:r>
      <w:r>
        <w:rPr>
          <w:rFonts w:hint="eastAsia" w:asciiTheme="minorEastAsia" w:hAnsiTheme="minorEastAsia" w:cstheme="minorEastAsia"/>
          <w:sz w:val="24"/>
        </w:rPr>
        <w:t>招标项目的潜在投标人可在</w:t>
      </w:r>
      <w:r>
        <w:rPr>
          <w:rFonts w:hint="eastAsia" w:asciiTheme="minorEastAsia" w:hAnsiTheme="minorEastAsia" w:cstheme="minorEastAsia"/>
          <w:sz w:val="24"/>
          <w:u w:val="single"/>
        </w:rPr>
        <w:t>“南通市公安局网站”自行免费下载</w:t>
      </w:r>
      <w:r>
        <w:rPr>
          <w:rFonts w:hint="eastAsia" w:asciiTheme="minorEastAsia" w:hAnsiTheme="minorEastAsia" w:cstheme="minorEastAsia"/>
          <w:sz w:val="24"/>
        </w:rPr>
        <w:t>招标文件，并于</w:t>
      </w:r>
      <w:r>
        <w:rPr>
          <w:rFonts w:hint="eastAsia" w:asciiTheme="minorEastAsia" w:hAnsiTheme="minorEastAsia" w:cstheme="minorEastAsia"/>
          <w:sz w:val="24"/>
          <w:u w:val="single"/>
        </w:rPr>
        <w:t xml:space="preserve"> 2025</w:t>
      </w:r>
      <w:r>
        <w:rPr>
          <w:rFonts w:hint="eastAsia" w:asciiTheme="minorEastAsia" w:hAnsiTheme="minorEastAsia" w:cstheme="minorEastAsia"/>
          <w:bCs/>
          <w:sz w:val="24"/>
          <w:u w:val="single"/>
        </w:rPr>
        <w:t>年</w:t>
      </w:r>
      <w:r>
        <w:rPr>
          <w:rFonts w:asciiTheme="minorEastAsia" w:hAnsiTheme="minorEastAsia" w:cstheme="minorEastAsia"/>
          <w:bCs/>
          <w:sz w:val="24"/>
          <w:u w:val="single"/>
        </w:rPr>
        <w:t>11</w:t>
      </w:r>
      <w:r>
        <w:rPr>
          <w:rFonts w:hint="eastAsia" w:asciiTheme="minorEastAsia" w:hAnsiTheme="minorEastAsia" w:cstheme="minorEastAsia"/>
          <w:bCs/>
          <w:sz w:val="24"/>
          <w:u w:val="single"/>
        </w:rPr>
        <w:t>月</w:t>
      </w:r>
      <w:r>
        <w:rPr>
          <w:rFonts w:asciiTheme="minorEastAsia" w:hAnsiTheme="minorEastAsia" w:cstheme="minorEastAsia"/>
          <w:bCs/>
          <w:sz w:val="24"/>
          <w:u w:val="single"/>
        </w:rPr>
        <w:t>0</w:t>
      </w:r>
      <w:r>
        <w:rPr>
          <w:rFonts w:hint="eastAsia" w:asciiTheme="minorEastAsia" w:hAnsiTheme="minorEastAsia" w:cstheme="minorEastAsia"/>
          <w:bCs/>
          <w:sz w:val="24"/>
          <w:u w:val="single"/>
        </w:rPr>
        <w:t>4日14点</w:t>
      </w:r>
      <w:r>
        <w:rPr>
          <w:rFonts w:asciiTheme="minorEastAsia" w:hAnsiTheme="minorEastAsia" w:cstheme="minorEastAsia"/>
          <w:bCs/>
          <w:sz w:val="24"/>
          <w:u w:val="single"/>
        </w:rPr>
        <w:t>00</w:t>
      </w:r>
      <w:r>
        <w:rPr>
          <w:rFonts w:hint="eastAsia" w:asciiTheme="minorEastAsia" w:hAnsiTheme="minorEastAsia" w:cstheme="minorEastAsia"/>
          <w:bCs/>
          <w:sz w:val="24"/>
          <w:u w:val="single"/>
        </w:rPr>
        <w:t>分（</w:t>
      </w:r>
      <w:r>
        <w:rPr>
          <w:rFonts w:hint="eastAsia" w:asciiTheme="minorEastAsia" w:hAnsiTheme="minorEastAsia" w:cstheme="minorEastAsia"/>
          <w:bCs/>
          <w:sz w:val="24"/>
        </w:rPr>
        <w:t>北京时间）前递交投标文件</w:t>
      </w:r>
      <w:r>
        <w:rPr>
          <w:rFonts w:hint="eastAsia" w:asciiTheme="minorEastAsia" w:hAnsiTheme="minorEastAsia" w:cstheme="minorEastAsia"/>
          <w:sz w:val="24"/>
        </w:rPr>
        <w:t>。</w:t>
      </w:r>
    </w:p>
    <w:p w14:paraId="6A6055B3">
      <w:pPr>
        <w:pStyle w:val="3"/>
        <w:ind w:firstLine="562"/>
      </w:pPr>
      <w:bookmarkStart w:id="1" w:name="_Toc22430"/>
      <w:r>
        <w:rPr>
          <w:rFonts w:hint="eastAsia"/>
        </w:rPr>
        <w:t>一、项目基本情况</w:t>
      </w:r>
      <w:bookmarkEnd w:id="1"/>
    </w:p>
    <w:p w14:paraId="4D44654F">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1.项目编号：</w:t>
      </w:r>
      <w:r>
        <w:rPr>
          <w:rFonts w:hint="eastAsia" w:ascii="Times New Roman" w:hAnsi="Times New Roman"/>
          <w:bCs/>
          <w:sz w:val="24"/>
          <w:lang w:eastAsia="zh-CN"/>
        </w:rPr>
        <w:t>GAJ-HXTDBD25008</w:t>
      </w:r>
    </w:p>
    <w:p w14:paraId="4E6813B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2.项目名称：</w:t>
      </w:r>
      <w:r>
        <w:rPr>
          <w:rFonts w:hint="eastAsia" w:ascii="Times New Roman" w:hAnsi="Times New Roman"/>
          <w:bCs/>
          <w:sz w:val="24"/>
        </w:rPr>
        <w:t>南通市公安局通州湾示范区分局执法记录仪改造项目</w:t>
      </w:r>
    </w:p>
    <w:p w14:paraId="3B376E8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3.预算金额：</w:t>
      </w:r>
      <w:r>
        <w:rPr>
          <w:rFonts w:hint="eastAsia" w:ascii="Times New Roman" w:hAnsi="Times New Roman"/>
          <w:bCs/>
          <w:sz w:val="24"/>
        </w:rPr>
        <w:t>46万元</w:t>
      </w:r>
    </w:p>
    <w:p w14:paraId="7120BF7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4.本项目设定最高限价，最高限价为</w:t>
      </w:r>
      <w:r>
        <w:rPr>
          <w:rFonts w:asciiTheme="minorEastAsia" w:hAnsiTheme="minorEastAsia" w:cstheme="minorEastAsia"/>
          <w:sz w:val="24"/>
        </w:rPr>
        <w:t>35.5</w:t>
      </w:r>
      <w:r>
        <w:rPr>
          <w:rFonts w:hint="eastAsia" w:asciiTheme="minorEastAsia" w:hAnsiTheme="minorEastAsia" w:cstheme="minorEastAsia"/>
          <w:sz w:val="24"/>
        </w:rPr>
        <w:t>万元。</w:t>
      </w:r>
    </w:p>
    <w:p w14:paraId="3E5AA7C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5.采购需求（简介）：</w:t>
      </w:r>
      <w:r>
        <w:rPr>
          <w:rFonts w:hint="eastAsia" w:ascii="Times New Roman" w:hAnsi="Times New Roman"/>
          <w:bCs/>
          <w:sz w:val="24"/>
        </w:rPr>
        <w:t>南通市公安局通州湾示范区分局执法记录仪改造项目，</w:t>
      </w:r>
      <w:r>
        <w:rPr>
          <w:rFonts w:hint="eastAsia" w:asciiTheme="minorEastAsia" w:hAnsiTheme="minorEastAsia" w:cstheme="minorEastAsia"/>
          <w:sz w:val="24"/>
        </w:rPr>
        <w:t xml:space="preserve">详细内容见本招标文件第四章。 </w:t>
      </w:r>
    </w:p>
    <w:p w14:paraId="008CF431">
      <w:pPr>
        <w:spacing w:line="360" w:lineRule="auto"/>
        <w:ind w:firstLine="480" w:firstLineChars="200"/>
        <w:rPr>
          <w:rFonts w:eastAsia="宋体" w:asciiTheme="minorEastAsia" w:hAnsiTheme="minorEastAsia" w:cstheme="minorEastAsia"/>
          <w:sz w:val="24"/>
        </w:rPr>
      </w:pPr>
      <w:r>
        <w:rPr>
          <w:rFonts w:hint="eastAsia" w:asciiTheme="minorEastAsia" w:hAnsiTheme="minorEastAsia" w:cstheme="minorEastAsia"/>
          <w:sz w:val="24"/>
        </w:rPr>
        <w:t>6.合同履行期限：</w:t>
      </w:r>
      <w:r>
        <w:rPr>
          <w:rFonts w:hint="eastAsia" w:ascii="Times New Roman" w:hAnsi="Times New Roman" w:eastAsia="宋体" w:cs="Times New Roman"/>
          <w:bCs/>
          <w:sz w:val="24"/>
        </w:rPr>
        <w:t>自合同签订之日30日历天内改造完成，并交付采购人使用。</w:t>
      </w:r>
    </w:p>
    <w:p w14:paraId="2FEE8F5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7.项目类型：货物</w:t>
      </w:r>
    </w:p>
    <w:p w14:paraId="0745BEF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8.所属行业：工业</w:t>
      </w:r>
    </w:p>
    <w:p w14:paraId="0FC0BB72">
      <w:pPr>
        <w:pStyle w:val="3"/>
        <w:ind w:firstLine="562"/>
      </w:pPr>
      <w:bookmarkStart w:id="2" w:name="_Toc19905"/>
      <w:r>
        <w:rPr>
          <w:rFonts w:hint="eastAsia"/>
        </w:rPr>
        <w:t>二、申请人的资格要求</w:t>
      </w:r>
      <w:bookmarkEnd w:id="2"/>
    </w:p>
    <w:p w14:paraId="3C3EA3D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1.满足《中华人民共和国政府采购法》第二十二条规定。</w:t>
      </w:r>
    </w:p>
    <w:p w14:paraId="13133FB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7FA56B9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3.落实政府采购政策需满足的资格要求：</w:t>
      </w:r>
      <w:r>
        <w:rPr>
          <w:rFonts w:hint="eastAsia" w:asciiTheme="minorEastAsia" w:hAnsiTheme="minorEastAsia" w:cstheme="minorEastAsia"/>
          <w:sz w:val="24"/>
          <w:u w:val="single"/>
        </w:rPr>
        <w:t xml:space="preserve">无 </w:t>
      </w:r>
      <w:r>
        <w:rPr>
          <w:rFonts w:hint="eastAsia" w:asciiTheme="minorEastAsia" w:hAnsiTheme="minorEastAsia" w:cstheme="minorEastAsia"/>
          <w:sz w:val="24"/>
        </w:rPr>
        <w:t>。</w:t>
      </w:r>
    </w:p>
    <w:p w14:paraId="538F3A0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4.本项目不接受联合体参与采购活动。</w:t>
      </w:r>
    </w:p>
    <w:p w14:paraId="2B48DE8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5.本项目不接受分包。</w:t>
      </w:r>
    </w:p>
    <w:p w14:paraId="4364E4F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（二）本项目的特定资格要求：</w:t>
      </w:r>
    </w:p>
    <w:p w14:paraId="4B7F3B9E">
      <w:pPr>
        <w:spacing w:line="360" w:lineRule="auto"/>
        <w:ind w:firstLine="480" w:firstLineChars="200"/>
        <w:rPr>
          <w:rFonts w:asciiTheme="minorEastAsia" w:hAnsiTheme="minorEastAsia" w:cstheme="minorEastAsia"/>
          <w:sz w:val="24"/>
        </w:rPr>
      </w:pPr>
      <w:bookmarkStart w:id="3" w:name="_Toc7415"/>
      <w:r>
        <w:rPr>
          <w:rFonts w:hint="eastAsia" w:asciiTheme="minorEastAsia" w:hAnsiTheme="minorEastAsia" w:cstheme="minorEastAsia"/>
          <w:sz w:val="24"/>
        </w:rPr>
        <w:t>（1）供应商具有独立承担民事责任的能力，提供法人或者其他组织的营业执照等证明文件。</w:t>
      </w:r>
    </w:p>
    <w:p w14:paraId="196B64A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rFonts w:hint="eastAsia" w:eastAsia="宋体"/>
          <w:sz w:val="24"/>
        </w:rPr>
        <w:t>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r>
        <w:rPr>
          <w:rFonts w:hint="eastAsia" w:asciiTheme="minorEastAsia" w:hAnsiTheme="minorEastAsia" w:cstheme="minorEastAsia"/>
          <w:sz w:val="24"/>
        </w:rPr>
        <w:t>。</w:t>
      </w:r>
    </w:p>
    <w:p w14:paraId="4E4D46F1">
      <w:pPr>
        <w:pStyle w:val="3"/>
        <w:ind w:firstLine="562"/>
      </w:pPr>
      <w:r>
        <w:rPr>
          <w:rFonts w:hint="eastAsia"/>
        </w:rPr>
        <w:t>三、获取招标文件</w:t>
      </w:r>
      <w:bookmarkEnd w:id="3"/>
    </w:p>
    <w:p w14:paraId="7CA6045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1.时间：自招标文件公告发布之日起5个工作日。</w:t>
      </w:r>
    </w:p>
    <w:p w14:paraId="2950665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2.方式：凡有意参与投标的供应商须登录南通市公安局首页点击“依法公开”→政府采购栏，并自行在招标文件有效获取期内及时下载获取。</w:t>
      </w:r>
    </w:p>
    <w:p w14:paraId="6917D0B5">
      <w:pPr>
        <w:pStyle w:val="3"/>
        <w:ind w:firstLine="562"/>
      </w:pPr>
      <w:bookmarkStart w:id="4" w:name="_Toc28839"/>
      <w:r>
        <w:rPr>
          <w:rFonts w:hint="eastAsia"/>
        </w:rPr>
        <w:t>四、</w:t>
      </w:r>
      <w:bookmarkEnd w:id="4"/>
      <w:r>
        <w:rPr>
          <w:rFonts w:hint="eastAsia"/>
        </w:rPr>
        <w:t>提交投标文件截止时间、开标时间和地点</w:t>
      </w:r>
    </w:p>
    <w:p w14:paraId="7804AE6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cs="宋体"/>
          <w:b/>
          <w:bCs/>
          <w:iCs/>
          <w:sz w:val="24"/>
        </w:rPr>
        <w:t>提交投标文件截止时间及开标时间</w:t>
      </w:r>
      <w:r>
        <w:rPr>
          <w:rFonts w:hint="eastAsia" w:asciiTheme="minorEastAsia" w:hAnsiTheme="minorEastAsia" w:cstheme="minorEastAsia"/>
          <w:sz w:val="24"/>
        </w:rPr>
        <w:t>：</w:t>
      </w:r>
      <w:r>
        <w:rPr>
          <w:rFonts w:hint="eastAsia" w:asciiTheme="minorEastAsia" w:hAnsiTheme="minorEastAsia" w:cstheme="minorEastAsia"/>
          <w:sz w:val="24"/>
          <w:u w:val="single"/>
        </w:rPr>
        <w:t>2025年</w:t>
      </w:r>
      <w:r>
        <w:rPr>
          <w:rFonts w:asciiTheme="minorEastAsia" w:hAnsiTheme="minorEastAsia" w:cstheme="minorEastAsia"/>
          <w:sz w:val="24"/>
          <w:u w:val="single"/>
        </w:rPr>
        <w:t>11</w:t>
      </w:r>
      <w:r>
        <w:rPr>
          <w:rFonts w:hint="eastAsia" w:asciiTheme="minorEastAsia" w:hAnsiTheme="minorEastAsia" w:cstheme="minorEastAsia"/>
          <w:sz w:val="24"/>
          <w:u w:val="single"/>
        </w:rPr>
        <w:t>月</w:t>
      </w:r>
      <w:r>
        <w:rPr>
          <w:rFonts w:asciiTheme="minorEastAsia" w:hAnsiTheme="minorEastAsia" w:cstheme="minorEastAsia"/>
          <w:sz w:val="24"/>
          <w:u w:val="single"/>
        </w:rPr>
        <w:t>0</w:t>
      </w:r>
      <w:r>
        <w:rPr>
          <w:rFonts w:hint="eastAsia" w:asciiTheme="minorEastAsia" w:hAnsiTheme="minorEastAsia" w:cstheme="minorEastAsia"/>
          <w:sz w:val="24"/>
          <w:u w:val="single"/>
        </w:rPr>
        <w:t>4日14点00分</w:t>
      </w:r>
      <w:r>
        <w:rPr>
          <w:rFonts w:hint="eastAsia" w:asciiTheme="minorEastAsia" w:hAnsiTheme="minorEastAsia" w:cstheme="minorEastAsia"/>
          <w:sz w:val="24"/>
        </w:rPr>
        <w:t>（北京时间）</w:t>
      </w:r>
    </w:p>
    <w:p w14:paraId="049B7BA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rFonts w:hint="eastAsia" w:cs="宋体"/>
          <w:b/>
          <w:bCs/>
          <w:iCs/>
          <w:sz w:val="24"/>
        </w:rPr>
        <w:t>递交投标文件地点及开标地点</w:t>
      </w:r>
      <w:r>
        <w:rPr>
          <w:rFonts w:hint="eastAsia" w:asciiTheme="minorEastAsia" w:hAnsiTheme="minorEastAsia" w:cstheme="minorEastAsia"/>
          <w:sz w:val="24"/>
        </w:rPr>
        <w:t>：</w:t>
      </w:r>
      <w:r>
        <w:rPr>
          <w:rFonts w:hint="eastAsia"/>
          <w:sz w:val="24"/>
          <w:u w:val="single"/>
        </w:rPr>
        <w:t>南通市公安局南门群众接待室（2）（南通市青年中路99号）</w:t>
      </w:r>
      <w:r>
        <w:rPr>
          <w:rFonts w:hint="eastAsia" w:asciiTheme="minorEastAsia" w:hAnsiTheme="minorEastAsia" w:cstheme="minorEastAsia"/>
          <w:sz w:val="24"/>
        </w:rPr>
        <w:t>。</w:t>
      </w:r>
    </w:p>
    <w:p w14:paraId="2A2648AF">
      <w:pPr>
        <w:pStyle w:val="3"/>
        <w:ind w:firstLine="562"/>
      </w:pPr>
      <w:bookmarkStart w:id="5" w:name="_Toc28437"/>
      <w:r>
        <w:rPr>
          <w:rFonts w:hint="eastAsia"/>
        </w:rPr>
        <w:t>五、公告期限</w:t>
      </w:r>
      <w:bookmarkEnd w:id="5"/>
    </w:p>
    <w:p w14:paraId="388FAD6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招标公告及招标文件公告期限为自本公告发布之日起5个工作日。</w:t>
      </w:r>
    </w:p>
    <w:p w14:paraId="48D23AB1">
      <w:pPr>
        <w:pStyle w:val="3"/>
        <w:ind w:firstLine="562"/>
      </w:pPr>
      <w:bookmarkStart w:id="6" w:name="_Toc3840"/>
      <w:r>
        <w:rPr>
          <w:rFonts w:hint="eastAsia"/>
        </w:rPr>
        <w:t>六、其他补充事宜</w:t>
      </w:r>
      <w:bookmarkEnd w:id="6"/>
    </w:p>
    <w:p w14:paraId="53C0D42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 投标保证金：免收</w:t>
      </w:r>
    </w:p>
    <w:p w14:paraId="1EE4682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 项目演示、样品、答辩等：无。</w:t>
      </w:r>
    </w:p>
    <w:p w14:paraId="582C35E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 供应商（含潜在供应商）对采购方式、招标文件中采购需求、供应商资格条件、评标方法和评标标准、合同文本及资格审查结果的询问、质疑请向采购人提出，由采购人负责答复。供应商对其他事项的询问、质疑请向采购人提出，由采购人负责答复。</w:t>
      </w:r>
    </w:p>
    <w:p w14:paraId="4D0B52A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有关本次招标的事项若存在变动或修改，均以南通市公安局网站发布的更正或补充通知为准，敬请及时关注。</w:t>
      </w:r>
    </w:p>
    <w:p w14:paraId="72F07F7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AE0E08E">
      <w:pPr>
        <w:pStyle w:val="3"/>
        <w:ind w:firstLine="562"/>
      </w:pPr>
      <w:bookmarkStart w:id="7" w:name="_Toc1677"/>
      <w:r>
        <w:rPr>
          <w:rFonts w:hint="eastAsia"/>
        </w:rPr>
        <w:t>七、本次招标联系方式</w:t>
      </w:r>
      <w:bookmarkEnd w:id="7"/>
    </w:p>
    <w:p w14:paraId="1844522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1.采购人信息</w:t>
      </w:r>
    </w:p>
    <w:p w14:paraId="021FDD4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名称：</w:t>
      </w:r>
      <w:r>
        <w:rPr>
          <w:rFonts w:hint="eastAsia" w:ascii="Times New Roman" w:hAnsi="Times New Roman"/>
          <w:bCs/>
          <w:sz w:val="24"/>
        </w:rPr>
        <w:t>南通市公安局通州湾示范区分局</w:t>
      </w:r>
      <w:r>
        <w:rPr>
          <w:rFonts w:hint="eastAsia" w:asciiTheme="minorEastAsia" w:hAnsiTheme="minorEastAsia" w:cstheme="minorEastAsia"/>
          <w:sz w:val="24"/>
        </w:rPr>
        <w:t xml:space="preserve">         </w:t>
      </w:r>
    </w:p>
    <w:p w14:paraId="00BFF88E">
      <w:pPr>
        <w:spacing w:line="360" w:lineRule="auto"/>
        <w:ind w:firstLine="480" w:firstLineChars="200"/>
        <w:rPr>
          <w:rFonts w:ascii="Times New Roman" w:hAnsi="Times New Roman" w:eastAsia="宋体" w:cs="Times New Roman"/>
          <w:bCs/>
          <w:sz w:val="24"/>
        </w:rPr>
      </w:pPr>
      <w:r>
        <w:rPr>
          <w:rFonts w:hint="eastAsia" w:ascii="Times New Roman" w:hAnsi="Times New Roman"/>
          <w:sz w:val="24"/>
        </w:rPr>
        <w:t>地址：</w:t>
      </w:r>
      <w:r>
        <w:rPr>
          <w:rFonts w:hint="eastAsia" w:ascii="Times New Roman" w:hAnsi="Times New Roman" w:eastAsia="宋体" w:cs="Times New Roman"/>
          <w:bCs/>
          <w:sz w:val="24"/>
        </w:rPr>
        <w:t>南通市通州区金海路1号</w:t>
      </w:r>
    </w:p>
    <w:p w14:paraId="4386E233">
      <w:pPr>
        <w:spacing w:line="360" w:lineRule="auto"/>
        <w:ind w:firstLine="480" w:firstLineChars="200"/>
        <w:rPr>
          <w:rFonts w:ascii="Times New Roman" w:hAnsi="Times New Roman"/>
          <w:bCs/>
          <w:sz w:val="24"/>
        </w:rPr>
      </w:pPr>
      <w:r>
        <w:rPr>
          <w:rFonts w:hint="eastAsia" w:ascii="Times New Roman" w:hAnsi="Times New Roman"/>
          <w:sz w:val="24"/>
        </w:rPr>
        <w:t>联系人：陈先生</w:t>
      </w:r>
      <w:r>
        <w:rPr>
          <w:rFonts w:hint="eastAsia" w:ascii="Times New Roman" w:hAnsi="Times New Roman"/>
          <w:bCs/>
          <w:sz w:val="24"/>
        </w:rPr>
        <w:t xml:space="preserve"> </w:t>
      </w:r>
    </w:p>
    <w:p w14:paraId="575ECEAC">
      <w:pPr>
        <w:spacing w:line="360" w:lineRule="auto"/>
        <w:ind w:firstLine="480" w:firstLineChars="200"/>
        <w:rPr>
          <w:rFonts w:ascii="Times New Roman" w:hAnsi="Times New Roman"/>
          <w:bCs/>
          <w:sz w:val="24"/>
        </w:rPr>
      </w:pPr>
      <w:r>
        <w:rPr>
          <w:rFonts w:hint="eastAsia" w:ascii="Times New Roman" w:hAnsi="Times New Roman"/>
          <w:sz w:val="24"/>
        </w:rPr>
        <w:t>联系方式：18816260130</w:t>
      </w:r>
      <w:r>
        <w:rPr>
          <w:rFonts w:hint="eastAsia" w:ascii="Times New Roman" w:hAnsi="Times New Roman"/>
          <w:bCs/>
          <w:sz w:val="24"/>
        </w:rPr>
        <w:t xml:space="preserve"> </w:t>
      </w:r>
    </w:p>
    <w:p w14:paraId="61E8CE1E">
      <w:pPr>
        <w:spacing w:line="360" w:lineRule="auto"/>
        <w:ind w:firstLine="480" w:firstLineChars="200"/>
        <w:rPr>
          <w:rFonts w:ascii="Times New Roman" w:hAnsi="Times New Roman" w:cs="宋体"/>
          <w:bCs/>
          <w:sz w:val="24"/>
        </w:rPr>
      </w:pPr>
      <w:r>
        <w:rPr>
          <w:rFonts w:hint="eastAsia" w:ascii="Times New Roman" w:hAnsi="Times New Roman" w:cs="宋体"/>
          <w:bCs/>
          <w:sz w:val="24"/>
        </w:rPr>
        <w:t>2、采购代理机构信息</w:t>
      </w:r>
    </w:p>
    <w:p w14:paraId="4311ABC5">
      <w:pPr>
        <w:spacing w:line="360" w:lineRule="auto"/>
        <w:ind w:firstLine="480" w:firstLineChars="200"/>
        <w:rPr>
          <w:rFonts w:ascii="Times New Roman" w:hAnsi="Times New Roman" w:cs="宋体"/>
          <w:bCs/>
          <w:sz w:val="24"/>
        </w:rPr>
      </w:pPr>
      <w:r>
        <w:rPr>
          <w:rFonts w:hint="eastAsia" w:ascii="Times New Roman" w:hAnsi="Times New Roman" w:cs="宋体"/>
          <w:bCs/>
          <w:sz w:val="24"/>
        </w:rPr>
        <w:t>名称：宏信天德工程顾问有限公司</w:t>
      </w:r>
    </w:p>
    <w:p w14:paraId="56205B04">
      <w:pPr>
        <w:spacing w:line="360" w:lineRule="auto"/>
        <w:ind w:firstLine="480" w:firstLineChars="200"/>
        <w:textAlignment w:val="baseline"/>
        <w:rPr>
          <w:rFonts w:ascii="Times New Roman" w:hAnsi="Times New Roman"/>
          <w:sz w:val="24"/>
        </w:rPr>
      </w:pPr>
      <w:r>
        <w:rPr>
          <w:rFonts w:hint="eastAsia" w:ascii="Times New Roman" w:hAnsi="Times New Roman"/>
          <w:sz w:val="24"/>
        </w:rPr>
        <w:t>地址：南通市崇川区北大街108号金域商业中心1幢8楼北区</w:t>
      </w:r>
    </w:p>
    <w:p w14:paraId="017FFB87">
      <w:pPr>
        <w:spacing w:line="360" w:lineRule="auto"/>
        <w:ind w:firstLine="480" w:firstLineChars="200"/>
        <w:textAlignment w:val="baseline"/>
        <w:rPr>
          <w:rFonts w:ascii="Times New Roman" w:hAnsi="Times New Roman"/>
          <w:sz w:val="24"/>
        </w:rPr>
      </w:pPr>
      <w:r>
        <w:rPr>
          <w:rFonts w:hint="eastAsia" w:ascii="Times New Roman" w:hAnsi="Times New Roman"/>
          <w:sz w:val="24"/>
        </w:rPr>
        <w:t>联系人：董安国</w:t>
      </w:r>
    </w:p>
    <w:p w14:paraId="0CDCDF2A">
      <w:pPr>
        <w:spacing w:line="360" w:lineRule="auto"/>
        <w:ind w:firstLine="480" w:firstLineChars="200"/>
        <w:textAlignment w:val="baseline"/>
        <w:rPr>
          <w:rFonts w:ascii="Times New Roman" w:hAnsi="Times New Roman"/>
          <w:sz w:val="24"/>
        </w:rPr>
      </w:pPr>
      <w:r>
        <w:rPr>
          <w:rFonts w:hint="eastAsia" w:ascii="Times New Roman" w:hAnsi="Times New Roman"/>
          <w:sz w:val="24"/>
        </w:rPr>
        <w:t>联系方式：18912299056    邮箱： 812298892@qq.com</w:t>
      </w:r>
    </w:p>
    <w:p w14:paraId="5919C45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w:t>
      </w:r>
    </w:p>
    <w:p w14:paraId="3EA50656">
      <w:pPr>
        <w:rPr>
          <w:rFonts w:asciiTheme="minorEastAsia" w:hAnsiTheme="minorEastAsia" w:cstheme="minorEastAsia"/>
          <w:sz w:val="28"/>
          <w:szCs w:val="28"/>
        </w:rPr>
      </w:pPr>
      <w:r>
        <w:rPr>
          <w:rFonts w:hint="eastAsia" w:asciiTheme="minorEastAsia" w:hAnsiTheme="minorEastAsia" w:cstheme="minorEastAsia"/>
          <w:sz w:val="28"/>
          <w:szCs w:val="28"/>
        </w:rPr>
        <w:br w:type="page"/>
      </w:r>
    </w:p>
    <w:p w14:paraId="55296F2F">
      <w:pPr>
        <w:pStyle w:val="2"/>
        <w:spacing w:before="312" w:after="312"/>
      </w:pPr>
      <w:bookmarkStart w:id="8" w:name="_Toc24360"/>
      <w:r>
        <w:rPr>
          <w:rFonts w:hint="eastAsia"/>
        </w:rPr>
        <w:t>第二章  投标人须知</w:t>
      </w:r>
      <w:bookmarkEnd w:id="8"/>
    </w:p>
    <w:p w14:paraId="3258106D">
      <w:pPr>
        <w:pStyle w:val="3"/>
        <w:ind w:firstLine="562"/>
      </w:pPr>
      <w:bookmarkStart w:id="9" w:name="_Toc2051"/>
      <w:r>
        <w:rPr>
          <w:rFonts w:hint="eastAsia"/>
        </w:rPr>
        <w:t>一、总则</w:t>
      </w:r>
      <w:bookmarkEnd w:id="9"/>
    </w:p>
    <w:p w14:paraId="345B6F1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1、招标方式</w:t>
      </w:r>
    </w:p>
    <w:p w14:paraId="419741F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 本次招标采取公开招标方式，本招标文件仅适用于招标公告中所述项目。</w:t>
      </w:r>
    </w:p>
    <w:p w14:paraId="60CB6BE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2、合格的投标人</w:t>
      </w:r>
    </w:p>
    <w:p w14:paraId="1EB7D70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2.1满足招标公告中供应商的资格要求的规定。</w:t>
      </w:r>
    </w:p>
    <w:p w14:paraId="5243219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2.2 满足本文件实质性要求和条件的规定。</w:t>
      </w:r>
    </w:p>
    <w:p w14:paraId="702002E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3、适用法律</w:t>
      </w:r>
    </w:p>
    <w:p w14:paraId="12E8874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3.1 本次招标及由此产生的合同受中华人民共和国有关的法律法规制约和保护。</w:t>
      </w:r>
    </w:p>
    <w:p w14:paraId="2954996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4、投标费用</w:t>
      </w:r>
    </w:p>
    <w:p w14:paraId="3330B10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 投标人应自行承担所有与参加投标有关的费用，无论投标过程中的做法和结果如何，招标人及代理机构在任何情况下均无义务和责任承担这些费用。</w:t>
      </w:r>
    </w:p>
    <w:p w14:paraId="273D4FF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4.2</w:t>
      </w:r>
      <w:r>
        <w:rPr>
          <w:rFonts w:hint="eastAsia" w:ascii="Times New Roman" w:hAnsi="Times New Roman" w:cs="宋体"/>
          <w:sz w:val="24"/>
        </w:rPr>
        <w:t>本项目招标代理服务费由中标商支付，</w:t>
      </w:r>
      <w:r>
        <w:rPr>
          <w:rFonts w:hint="eastAsia" w:ascii="Times New Roman"/>
          <w:sz w:val="24"/>
        </w:rPr>
        <w:t>招标</w:t>
      </w:r>
      <w:r>
        <w:rPr>
          <w:rFonts w:hint="eastAsia" w:ascii="Times New Roman" w:hAnsi="Times New Roman" w:cs="宋体"/>
          <w:sz w:val="24"/>
        </w:rPr>
        <w:t>代理服务费应包含（分摊）在投标报价中，但不单独列出。</w:t>
      </w:r>
      <w:r>
        <w:rPr>
          <w:rFonts w:hint="eastAsia" w:ascii="Times New Roman" w:hAnsi="Times New Roman" w:eastAsia="宋体" w:cs="Times New Roman"/>
          <w:bCs/>
          <w:sz w:val="24"/>
        </w:rPr>
        <w:t>（中标人在领取中标通知书前向</w:t>
      </w:r>
      <w:r>
        <w:rPr>
          <w:rFonts w:hint="eastAsia" w:ascii="Times New Roman"/>
          <w:sz w:val="24"/>
        </w:rPr>
        <w:t>采购</w:t>
      </w:r>
      <w:r>
        <w:rPr>
          <w:rFonts w:hint="eastAsia" w:ascii="Times New Roman" w:hAnsi="Times New Roman" w:eastAsia="宋体" w:cs="Times New Roman"/>
          <w:bCs/>
          <w:sz w:val="24"/>
        </w:rPr>
        <w:t>代理人支付，</w:t>
      </w:r>
      <w:r>
        <w:rPr>
          <w:rFonts w:hint="eastAsia" w:ascii="Times New Roman" w:hAnsi="Times New Roman" w:cs="宋体"/>
          <w:sz w:val="24"/>
        </w:rPr>
        <w:t>采购代理</w:t>
      </w:r>
      <w:r>
        <w:rPr>
          <w:rFonts w:hint="eastAsia" w:ascii="Times New Roman" w:hAnsi="Times New Roman" w:eastAsia="宋体" w:cs="Times New Roman"/>
          <w:bCs/>
          <w:sz w:val="24"/>
        </w:rPr>
        <w:t>服务费的收费标准参照发改价格［2011］534号文件规定的收费标准的50%计算，不满2000元按2000元收取）</w:t>
      </w:r>
      <w:r>
        <w:rPr>
          <w:rFonts w:hint="eastAsia" w:asciiTheme="minorEastAsia" w:hAnsiTheme="minorEastAsia" w:cstheme="minorEastAsia"/>
          <w:sz w:val="24"/>
        </w:rPr>
        <w:t>。</w:t>
      </w:r>
    </w:p>
    <w:p w14:paraId="715543C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5、招标文件的约束力</w:t>
      </w:r>
    </w:p>
    <w:p w14:paraId="44FF3D2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5.1 投标人一旦参加本项目采购活动，即被认为接受了本招标文件的规定和约束。</w:t>
      </w:r>
    </w:p>
    <w:p w14:paraId="49F5CA38">
      <w:pPr>
        <w:pStyle w:val="3"/>
        <w:ind w:firstLine="562"/>
      </w:pPr>
      <w:bookmarkStart w:id="10" w:name="_Toc25630"/>
      <w:r>
        <w:rPr>
          <w:rFonts w:hint="eastAsia"/>
        </w:rPr>
        <w:t>二、招标文件</w:t>
      </w:r>
      <w:bookmarkEnd w:id="10"/>
    </w:p>
    <w:p w14:paraId="76B6A3F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6、招标文件构成</w:t>
      </w:r>
    </w:p>
    <w:p w14:paraId="2E81446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6.1 招标文件由以下部分组成：</w:t>
      </w:r>
    </w:p>
    <w:p w14:paraId="49608E4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sz w:val="24"/>
        </w:rPr>
        <w:t>招标公告（或</w:t>
      </w:r>
      <w:r>
        <w:rPr>
          <w:rFonts w:hint="eastAsia" w:asciiTheme="minorEastAsia" w:hAnsiTheme="minorEastAsia" w:cstheme="minorEastAsia"/>
          <w:sz w:val="24"/>
        </w:rPr>
        <w:t>投标邀请</w:t>
      </w:r>
      <w:r>
        <w:rPr>
          <w:rFonts w:hint="eastAsia"/>
          <w:sz w:val="24"/>
        </w:rPr>
        <w:t>）</w:t>
      </w:r>
    </w:p>
    <w:p w14:paraId="406A585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（2）投标人须知</w:t>
      </w:r>
    </w:p>
    <w:p w14:paraId="31873BD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（3）合同文本</w:t>
      </w:r>
    </w:p>
    <w:p w14:paraId="7302902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（4）采购需求</w:t>
      </w:r>
    </w:p>
    <w:p w14:paraId="7E45571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（5）评标方法与评标标准</w:t>
      </w:r>
    </w:p>
    <w:p w14:paraId="48CCDCA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（6）投标文件格式</w:t>
      </w:r>
    </w:p>
    <w:p w14:paraId="55E581F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请仔细检查招标文件是否齐全，如有缺漏请立即与采购人联系解决。</w:t>
      </w:r>
    </w:p>
    <w:p w14:paraId="1727C7A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C45187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7、招标文件的澄清</w:t>
      </w:r>
    </w:p>
    <w:p w14:paraId="73903EE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任何要求对招标文件进行澄清的投标人，应在投标截止期十日前按招标公告中的通讯地址，以书面形式通知采购人。采购人有权对发出的招标文件进行必要的澄清或修改。</w:t>
      </w:r>
    </w:p>
    <w:p w14:paraId="579E0BF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8、招标文件的修改</w:t>
      </w:r>
    </w:p>
    <w:p w14:paraId="2F0D370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8.1 在投标截止时间前，采购</w:t>
      </w:r>
      <w:bookmarkStart w:id="11" w:name="OLE_LINK1"/>
      <w:bookmarkStart w:id="12" w:name="OLE_LINK2"/>
      <w:r>
        <w:rPr>
          <w:rFonts w:hint="eastAsia" w:asciiTheme="minorEastAsia" w:hAnsiTheme="minorEastAsia" w:cstheme="minorEastAsia"/>
          <w:sz w:val="24"/>
        </w:rPr>
        <w:t>人可</w:t>
      </w:r>
      <w:bookmarkEnd w:id="11"/>
      <w:bookmarkEnd w:id="12"/>
      <w:r>
        <w:rPr>
          <w:rFonts w:hint="eastAsia" w:asciiTheme="minorEastAsia" w:hAnsiTheme="minorEastAsia" w:cstheme="minorEastAsia"/>
          <w:sz w:val="24"/>
        </w:rPr>
        <w:t>以对招标文件进行修改。</w:t>
      </w:r>
    </w:p>
    <w:p w14:paraId="21FFEB0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8.2 采购人有权按照法定的要求推迟投标截止日期和开标日期。</w:t>
      </w:r>
    </w:p>
    <w:p w14:paraId="1FA6BF89">
      <w:pPr>
        <w:spacing w:line="360" w:lineRule="auto"/>
        <w:ind w:firstLine="480" w:firstLineChars="200"/>
      </w:pPr>
      <w:r>
        <w:rPr>
          <w:rFonts w:hint="eastAsia" w:asciiTheme="minorEastAsia" w:hAnsiTheme="minorEastAsia" w:cstheme="minorEastAsia"/>
          <w:sz w:val="24"/>
        </w:rPr>
        <w:t>8.3 招标文件的修改将在</w:t>
      </w:r>
      <w:r>
        <w:rPr>
          <w:rFonts w:hint="eastAsia" w:asciiTheme="minorEastAsia" w:hAnsiTheme="minorEastAsia" w:cstheme="minorEastAsia"/>
          <w:b/>
          <w:bCs/>
          <w:sz w:val="24"/>
        </w:rPr>
        <w:t>南通市公安局官网</w:t>
      </w:r>
      <w:r>
        <w:rPr>
          <w:rFonts w:hint="eastAsia" w:asciiTheme="minorEastAsia" w:hAnsiTheme="minorEastAsia" w:cstheme="minorEastAsia"/>
          <w:sz w:val="24"/>
        </w:rPr>
        <w:t>公布，补充文件将作为招标文件的组成部分，并对投标人具有约束力。</w:t>
      </w:r>
    </w:p>
    <w:p w14:paraId="20D128F6">
      <w:pPr>
        <w:pStyle w:val="3"/>
        <w:ind w:firstLine="562"/>
      </w:pPr>
      <w:bookmarkStart w:id="13" w:name="_Toc16311"/>
      <w:r>
        <w:rPr>
          <w:rFonts w:hint="eastAsia"/>
        </w:rPr>
        <w:t>三、投标文件的编制</w:t>
      </w:r>
      <w:bookmarkEnd w:id="13"/>
    </w:p>
    <w:p w14:paraId="77DB219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9、投标文件的语言及度量衡单位</w:t>
      </w:r>
    </w:p>
    <w:p w14:paraId="3946E94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9.1 投标人提交的投标文件以及投标人与采购人就有关投标的所有来往通知、函件和文件均应使用简体中文。</w:t>
      </w:r>
    </w:p>
    <w:p w14:paraId="7E9241F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9.2 除技术性能另有规定外，投标文件所使用的度量衡单位，均须采用国家法定计量单位。</w:t>
      </w:r>
    </w:p>
    <w:p w14:paraId="38AD9D6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10、投标文件构成</w:t>
      </w:r>
    </w:p>
    <w:p w14:paraId="5D54BC48">
      <w:pPr>
        <w:adjustRightInd w:val="0"/>
        <w:snapToGrid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10.1投标文件的组成（分为纸质投标文件、电子投标文件）</w:t>
      </w:r>
    </w:p>
    <w:p w14:paraId="079BF9AD">
      <w:pPr>
        <w:adjustRightInd w:val="0"/>
        <w:snapToGrid w:val="0"/>
        <w:spacing w:line="360" w:lineRule="auto"/>
        <w:ind w:firstLine="482"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b/>
          <w:bCs/>
          <w:kern w:val="0"/>
          <w:sz w:val="24"/>
        </w:rPr>
        <w:t>10.1.1纸质投标文件分“资格审查文件”、“技术标文件”、“商务标文件”三部分内容。</w:t>
      </w:r>
      <w:r>
        <w:rPr>
          <w:rFonts w:hint="eastAsia" w:asciiTheme="majorEastAsia" w:hAnsiTheme="majorEastAsia" w:eastAsiaTheme="majorEastAsia" w:cstheme="majorEastAsia"/>
          <w:kern w:val="0"/>
          <w:sz w:val="24"/>
        </w:rPr>
        <w:t>每一部分内容均须提供“一份正本、两份副本”纸质投标文件，须分别单独牢固装订，不得相互混淆，文件自编目录并连续标注页码，不得将内容拆开。商务标文件不得出现于资格审查文件和技术标文件中。</w:t>
      </w:r>
    </w:p>
    <w:p w14:paraId="4479D6DC">
      <w:pPr>
        <w:adjustRightInd w:val="0"/>
        <w:snapToGrid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10.1.1.1纸质投标文件分三个密封袋（箱）提交。其中：</w:t>
      </w:r>
    </w:p>
    <w:p w14:paraId="6F8196B3">
      <w:pPr>
        <w:adjustRightInd w:val="0"/>
        <w:snapToGrid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资格审查文件的正、副本纸质投标文件密封在一个单独的密封袋内；</w:t>
      </w:r>
    </w:p>
    <w:p w14:paraId="1A132BB6">
      <w:pPr>
        <w:adjustRightInd w:val="0"/>
        <w:snapToGrid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技术标文件的正、副本纸质投标文件及图纸类（如需提供图纸等其他资料的话）等密封在一个单独的密封袋或密封箱内（如有A3大小的图纸类，可单独密封）；</w:t>
      </w:r>
    </w:p>
    <w:p w14:paraId="23B1E378">
      <w:pPr>
        <w:adjustRightInd w:val="0"/>
        <w:snapToGrid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商务标文件的正、副本纸质投标文件密封在一个单独的密封袋内。</w:t>
      </w:r>
    </w:p>
    <w:p w14:paraId="5D53992E">
      <w:pPr>
        <w:adjustRightInd w:val="0"/>
        <w:snapToGrid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10.1.1.2纸质投标文件须采用A4纸（图纸等除外），正、副本须打印并由法定代表人或授权人签字并加盖单位印章。文件内容中不得行间插字、涂改、增删，如修补错漏处，须由投标文件签署人签字并加盖公章。</w:t>
      </w:r>
    </w:p>
    <w:p w14:paraId="09166790">
      <w:pPr>
        <w:adjustRightInd w:val="0"/>
        <w:snapToGrid w:val="0"/>
        <w:spacing w:line="360" w:lineRule="auto"/>
        <w:ind w:firstLine="482" w:firstLineChars="200"/>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注：凡是投标文件中涉及投标人资信认证、人员证书、业绩荣誉等复印件，和要求法定代表人或授权委托人签字，和以投标人名称落款并注明需要盖章的，均需相应盖章或签字。否则视为未按照招标文件要求盖章或签字。</w:t>
      </w:r>
    </w:p>
    <w:p w14:paraId="20CF60F0">
      <w:pPr>
        <w:adjustRightInd w:val="0"/>
        <w:snapToGrid w:val="0"/>
        <w:spacing w:line="360" w:lineRule="auto"/>
        <w:ind w:firstLine="482" w:firstLineChars="200"/>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10.1.2电子投标文件（一份，单独密封提交）</w:t>
      </w:r>
    </w:p>
    <w:p w14:paraId="768E1779">
      <w:pPr>
        <w:adjustRightInd w:val="0"/>
        <w:snapToGrid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本项目要求提供电子投标文件一份，电子投标文件的内容为“资格审查文件”、“技术标文件”、“商务标文件”打印盖章（或电子签章）后的投标文件的扫描件（“资格审查文件”、“技术标文件”、“商务标文件”需分别逐页连续扫描为三个独立的PDF文件），可以采取U盘方式提交，需单独密封提交。</w:t>
      </w:r>
    </w:p>
    <w:p w14:paraId="3C253C6E">
      <w:pPr>
        <w:adjustRightInd w:val="0"/>
        <w:snapToGrid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电子投标文件内容应与提交的纸质投标文件内容一致。否则，由此产生的后果投标人自负。</w:t>
      </w:r>
    </w:p>
    <w:p w14:paraId="0785257A">
      <w:pPr>
        <w:adjustRightInd w:val="0"/>
        <w:snapToGrid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10.1.3投标文件密封后应标明投标文件项目名称、项目编号、边缝处加盖单位骑缝章或骑缝签字等关键信息，</w:t>
      </w:r>
      <w:r>
        <w:rPr>
          <w:rFonts w:hint="eastAsia" w:asciiTheme="majorEastAsia" w:hAnsiTheme="majorEastAsia" w:eastAsiaTheme="majorEastAsia" w:cstheme="majorEastAsia"/>
          <w:b/>
          <w:bCs/>
          <w:kern w:val="0"/>
          <w:sz w:val="24"/>
        </w:rPr>
        <w:t>密封完好以不泄露投标文件内容为主要判断依据</w:t>
      </w:r>
      <w:r>
        <w:rPr>
          <w:rFonts w:hint="eastAsia" w:asciiTheme="majorEastAsia" w:hAnsiTheme="majorEastAsia" w:eastAsiaTheme="majorEastAsia" w:cstheme="majorEastAsia"/>
          <w:kern w:val="0"/>
          <w:sz w:val="24"/>
        </w:rPr>
        <w:t>。</w:t>
      </w:r>
    </w:p>
    <w:p w14:paraId="1BD42CAB">
      <w:pPr>
        <w:spacing w:line="360" w:lineRule="auto"/>
        <w:ind w:firstLine="494" w:firstLineChars="206"/>
        <w:outlineLvl w:val="1"/>
        <w:rPr>
          <w:rFonts w:asciiTheme="minorEastAsia" w:hAnsiTheme="minorEastAsia" w:cstheme="minorEastAsia"/>
          <w:sz w:val="24"/>
        </w:rPr>
      </w:pPr>
      <w:r>
        <w:rPr>
          <w:rFonts w:hint="eastAsia" w:asciiTheme="majorEastAsia" w:hAnsiTheme="majorEastAsia" w:eastAsiaTheme="majorEastAsia" w:cstheme="majorEastAsia"/>
          <w:kern w:val="0"/>
          <w:sz w:val="24"/>
        </w:rPr>
        <w:t>10.1.4递交时间：投标人须在规定的投标文件接收截止时间前送达指定地点。投标人提交投标文件，即视为已响应参加采购活动。</w:t>
      </w:r>
    </w:p>
    <w:p w14:paraId="14B252A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11、证明投标人及投标标的符合招标文件规定的文件</w:t>
      </w:r>
    </w:p>
    <w:p w14:paraId="440BF7F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11.1 投标人应按照法律、法规、规章和规范性文件以及招标文件要求提交证明文件，证明其及投标标的符合招标文件规定。</w:t>
      </w:r>
    </w:p>
    <w:p w14:paraId="0872DB5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11.2招标文件对证明文件无明确形式要求的，证明文件可以以文字资料、图纸和数据等形式提交。</w:t>
      </w:r>
    </w:p>
    <w:p w14:paraId="47BC499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12、投标分项报价表</w:t>
      </w:r>
    </w:p>
    <w:p w14:paraId="14015CB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12.1 投标人应按照招标文件规定格式填报投标分项报价表。</w:t>
      </w:r>
    </w:p>
    <w:p w14:paraId="5729D0B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12.2投标货币。投标文件中的单价和总价无特殊规定的采用人民币报价，以元为单位标注。招标文件中另有规定的按规定执行。</w:t>
      </w:r>
    </w:p>
    <w:p w14:paraId="07AD90B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13、技术要求响应及偏离表、商务要求响应及偏离表</w:t>
      </w:r>
    </w:p>
    <w:p w14:paraId="4D6E32B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13.1 投标人需对招标文件中的技术要求与商务要求逐项作出响应或偏离，并说明原因。</w:t>
      </w:r>
    </w:p>
    <w:p w14:paraId="5696BF6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13.2 投标人可在投标文件中提供认为需要的其他技术文件或说明。</w:t>
      </w:r>
    </w:p>
    <w:p w14:paraId="1C5D329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14、投标函和开标一览表</w:t>
      </w:r>
    </w:p>
    <w:p w14:paraId="671ED91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14.1 投标人应按照招标文件中提供的格式完整、正确填写投标函、开标一览表。</w:t>
      </w:r>
    </w:p>
    <w:p w14:paraId="4B9426A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14.2 对于采用货币报价的项目，开标一览表中的投标总报价应与投标分项报价表中的投标总报价一致，如不一致，不作为无效投标处理，但评标时按开标一览表中价格为准。</w:t>
      </w:r>
    </w:p>
    <w:p w14:paraId="24C9007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15、投标有效期</w:t>
      </w:r>
    </w:p>
    <w:p w14:paraId="2D571FF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15.1 投标有效期为采购人规定的开标之日后九十（90）天。投标有效期比规定短的将被视为未实质性响应招标文件而予以拒绝。</w:t>
      </w:r>
    </w:p>
    <w:p w14:paraId="643F0D6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16、投标有效期的延长</w:t>
      </w:r>
    </w:p>
    <w:p w14:paraId="1696D99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16.1 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同时受投标有效期约束的所有权利与义务均延长至新的有效期。</w:t>
      </w:r>
    </w:p>
    <w:p w14:paraId="27357AA4">
      <w:pPr>
        <w:pStyle w:val="3"/>
        <w:ind w:firstLine="562"/>
      </w:pPr>
      <w:bookmarkStart w:id="14" w:name="_Toc16731"/>
      <w:r>
        <w:rPr>
          <w:rFonts w:hint="eastAsia"/>
        </w:rPr>
        <w:t>四、投标文件的递交</w:t>
      </w:r>
      <w:bookmarkEnd w:id="14"/>
    </w:p>
    <w:p w14:paraId="5520050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17、投标文件的递交</w:t>
      </w:r>
    </w:p>
    <w:p w14:paraId="5EB709D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17.1 投标人应在招标公告规定的投标截止时间前递交投标文件。</w:t>
      </w:r>
    </w:p>
    <w:p w14:paraId="2A22661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17.2 投标人递交投标文件的地点：见招标公告。</w:t>
      </w:r>
    </w:p>
    <w:p w14:paraId="2B798F5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17.3 除投标人须知前附表另有规定外，投标人所递交的投标文件不予退还。</w:t>
      </w:r>
    </w:p>
    <w:p w14:paraId="047E488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17.4 采购人可以按照规定，通过修改招标文件酌情延长投标截止时间，在此情况下，投标人的所有权利和义务以及投标人受制的截止时间均应以延长后新的截止时间为准。</w:t>
      </w:r>
    </w:p>
    <w:p w14:paraId="41F0C86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19、投标文件的拒收</w:t>
      </w:r>
    </w:p>
    <w:p w14:paraId="2E85B6F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19.1采购人拒绝接收在其规定的投标截止时间后上传的任何投标文件。</w:t>
      </w:r>
    </w:p>
    <w:p w14:paraId="2639624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20、投标文件的撤回和修改</w:t>
      </w:r>
    </w:p>
    <w:p w14:paraId="730D6DD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20.1 投标文件的撤回</w:t>
      </w:r>
    </w:p>
    <w:p w14:paraId="73734F70">
      <w:pPr>
        <w:spacing w:line="360" w:lineRule="auto"/>
        <w:ind w:firstLine="480" w:firstLineChars="200"/>
        <w:rPr>
          <w:sz w:val="24"/>
        </w:rPr>
      </w:pPr>
      <w:r>
        <w:rPr>
          <w:rFonts w:hint="eastAsia" w:asciiTheme="minorEastAsia" w:hAnsiTheme="minorEastAsia" w:cstheme="minorEastAsia"/>
          <w:sz w:val="24"/>
        </w:rPr>
        <w:t>20.1.1</w:t>
      </w:r>
      <w:r>
        <w:rPr>
          <w:rFonts w:hint="eastAsia"/>
          <w:sz w:val="24"/>
        </w:rPr>
        <w:t xml:space="preserve"> 在招标公告规定的投标截止时间前，投标人可以修改或撤回已递交的投标文件。</w:t>
      </w:r>
    </w:p>
    <w:p w14:paraId="357F8722">
      <w:pPr>
        <w:spacing w:line="360" w:lineRule="auto"/>
        <w:ind w:firstLine="480" w:firstLineChars="200"/>
        <w:rPr>
          <w:sz w:val="24"/>
        </w:rPr>
      </w:pPr>
      <w:r>
        <w:rPr>
          <w:rFonts w:hint="eastAsia" w:asciiTheme="minorEastAsia" w:hAnsiTheme="minorEastAsia" w:cstheme="minorEastAsia"/>
          <w:sz w:val="24"/>
        </w:rPr>
        <w:t>20.1.2</w:t>
      </w:r>
      <w:r>
        <w:rPr>
          <w:rFonts w:hint="eastAsia"/>
          <w:sz w:val="24"/>
        </w:rPr>
        <w:t>投标人修改或撤回投标文件的，必须在投标截止时间前重新递交投标文件，否则视为放弃投标，其责任由投标人自己承担。</w:t>
      </w:r>
    </w:p>
    <w:p w14:paraId="30F9D3E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20.1.3</w:t>
      </w:r>
      <w:r>
        <w:rPr>
          <w:rFonts w:hint="eastAsia"/>
          <w:sz w:val="24"/>
        </w:rPr>
        <w:t xml:space="preserve"> 修改的内容为投标文件的组成部分。修改的投标文件应按照本章规定进行编制、密封、标记和递交，并标明“修改”字样。</w:t>
      </w:r>
    </w:p>
    <w:p w14:paraId="6EB2351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20.1.4 在投标截止时间至招标文件中规定的投标有效期满之间的这段时间内，投标人不得撤回其投标。</w:t>
      </w:r>
    </w:p>
    <w:p w14:paraId="3D947764">
      <w:pPr>
        <w:pStyle w:val="3"/>
        <w:ind w:firstLine="562"/>
      </w:pPr>
      <w:bookmarkStart w:id="15" w:name="_Toc4757"/>
      <w:r>
        <w:rPr>
          <w:rFonts w:hint="eastAsia"/>
        </w:rPr>
        <w:t>五、开标与评标</w:t>
      </w:r>
      <w:bookmarkEnd w:id="15"/>
    </w:p>
    <w:p w14:paraId="178D2FF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21、开标</w:t>
      </w:r>
    </w:p>
    <w:p w14:paraId="636F729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21.1 采购人将在招标公告中规定的时间和地点组织公开开标。</w:t>
      </w:r>
    </w:p>
    <w:p w14:paraId="5374674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21.2开标仪式由采购人组织。</w:t>
      </w:r>
    </w:p>
    <w:p w14:paraId="6B1E23C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22、评标委员会</w:t>
      </w:r>
    </w:p>
    <w:p w14:paraId="2A640ED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22.1 开标后，采购人将立即组织评标委员会（以下简称评委会）进行评标。</w:t>
      </w:r>
    </w:p>
    <w:p w14:paraId="7FB2613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22.2 评委会由采购人代表和有关技术、经济等方面的专家组成，且人员构成符合政府采购有关规定。</w:t>
      </w:r>
    </w:p>
    <w:p w14:paraId="3111F01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22.3评委会独立工作，负责评审所有投标文件并确定中标侯选人。</w:t>
      </w:r>
    </w:p>
    <w:p w14:paraId="54D38FF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23、评标过程的保密与公正</w:t>
      </w:r>
    </w:p>
    <w:p w14:paraId="0B6F71B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23.1凡是与审查、澄清、评价和比较投标的有关资料以及授标建议等，</w:t>
      </w:r>
      <w:r>
        <w:rPr>
          <w:rFonts w:hint="eastAsia"/>
          <w:bCs/>
          <w:sz w:val="24"/>
        </w:rPr>
        <w:t>采购人、评委、代理机构</w:t>
      </w:r>
      <w:r>
        <w:rPr>
          <w:rFonts w:hint="eastAsia" w:asciiTheme="minorEastAsia" w:hAnsiTheme="minorEastAsia" w:cstheme="minorEastAsia"/>
          <w:sz w:val="24"/>
        </w:rPr>
        <w:t>均不得向投标人或与评标无关的其他人员透露。</w:t>
      </w:r>
    </w:p>
    <w:p w14:paraId="01360C6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23.2在评标过程中，投标人不得以任何行为影响评标过程，否则其投标文件将被作为无效投标文件。</w:t>
      </w:r>
    </w:p>
    <w:p w14:paraId="2CA413F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23.3 采购人和评标委员会不向未中标的投标人解释未中标原因，也不公布评标过程中的相关细节。</w:t>
      </w:r>
    </w:p>
    <w:p w14:paraId="5FBC7D0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24、投标文件的澄清</w:t>
      </w:r>
    </w:p>
    <w:p w14:paraId="1983831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24.1评标期间，评委会对投标文件中含义不明确、同类问题表述不一致或者有明显文字和计算错误的内容 ，有权要求投标人作出必要的澄清、说明或者补正。</w:t>
      </w:r>
    </w:p>
    <w:p w14:paraId="7CB5BFF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投标人的澄清、说明或者补正不得超出投标文件的范围或者改变投标文件的实质性内容。</w:t>
      </w:r>
    </w:p>
    <w:p w14:paraId="34E336D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评标委员会并非对每个投标人都做澄清要求。</w:t>
      </w:r>
    </w:p>
    <w:p w14:paraId="26DBDF9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24.2接到评委会澄清要求的投标人应派人按评委会通知的时间和地点做出书面澄清，书面澄清的内容须由投标人法人或授权代表签署，并作为投标文件的补充部分，但投标的价格和实质性的内容不得做任何更改。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083FA21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24.3 接到评委会澄清要求的投标人如未按规定做出澄清，其风险由投标人自行承担。</w:t>
      </w:r>
    </w:p>
    <w:p w14:paraId="0FB7C5F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25、对投标文件的初审</w:t>
      </w:r>
    </w:p>
    <w:p w14:paraId="65FA911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25.1投标文件初审分为资格审查和符合性审查。</w:t>
      </w:r>
    </w:p>
    <w:p w14:paraId="5B47814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25.1.1 资格审查：依据法律法规和招标文件的规定，由采购人对投标文件中的资格证明文件进行审查。资格审查的结论，采购人以书面形式向评委会进行反馈。</w:t>
      </w:r>
    </w:p>
    <w:p w14:paraId="72C203A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接受联合体的项目，两个以上的自然人、法人或者其他组织组成一个联合体，以一个供应商的身份共同参加政府采购活动的,联合体成员存在不良信用记录的，视同联合体存在不良应用记录。</w:t>
      </w:r>
    </w:p>
    <w:p w14:paraId="33107F2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25.1.2 符合性审查：依据招标文件的规定，由评委会从投标文件的有效性、完整性和对招标文件的响应程度进行审查，以确定是否对招标文件的实质性要求作出响应。</w:t>
      </w:r>
    </w:p>
    <w:p w14:paraId="38407DE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25.1.3 未通过资格审查或符合性审查的投标人，采购人将告知未通过资格审查或符合性审查的原因，评标结束后，采购人将不再告知未通过资格审查和符合性审查的原因。</w:t>
      </w:r>
    </w:p>
    <w:p w14:paraId="0C7FF1B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25.2在详细评标之前，评委会将首先审查每份投标文件是否实质性响应了招标文件的要求。实质性响应的投标应该是与招标文件要求的全部条款、条件和规格相符，没有重大偏离或保留的投标。</w:t>
      </w:r>
    </w:p>
    <w:p w14:paraId="41B51C7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所谓重大偏离或保留是指与招标文件规定的实质性要求存在负偏离，或者在实质上与招标文件不一致，而且限制了合同中买方和采购人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74AB8A3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25.3如果投标文件实质上没有响应招标文件的要求，评委会将予以拒绝，投标人不得通过修改或撤销不合要求的偏离或保留而使其投标成为实质性响应的投标。</w:t>
      </w:r>
    </w:p>
    <w:p w14:paraId="0E85933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25.4评委会将对确定为实质性响应的投标进行进一步审核，确定其是否有计算上或累加上的算术错误，修正错误的原则如下：</w:t>
      </w:r>
    </w:p>
    <w:p w14:paraId="51FE532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（1）投标文件中开标一览表内容与投标文件中相应内容不一致的，以开标一览表为准。</w:t>
      </w:r>
    </w:p>
    <w:p w14:paraId="69E2106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（2）大写金额和小写金额不一致的，以大写金额为准。</w:t>
      </w:r>
    </w:p>
    <w:p w14:paraId="2A3FC30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（3）单价金额小数点或者百分比有明显错位的，以开标一览表的总价为准，并修改单价。</w:t>
      </w:r>
    </w:p>
    <w:p w14:paraId="5A9FB28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（4）总价金额与按单价汇总金额不一致的，以单价金额计算结果为准。</w:t>
      </w:r>
    </w:p>
    <w:p w14:paraId="37B2E25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同时出现两种以上错误的，按照前款规定的顺序修正。</w:t>
      </w:r>
    </w:p>
    <w:p w14:paraId="3CDA27F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25.5 评委会将按上述修正错误的方法调整投标文件中的投标报价，并告知投标人，调整后的价格应对投标人具有约束力。如果投标人不接受修正后的价格，则其投标将被拒绝。</w:t>
      </w:r>
    </w:p>
    <w:p w14:paraId="6720A62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25.6</w:t>
      </w:r>
      <w:r>
        <w:rPr>
          <w:rFonts w:hint="eastAsia"/>
          <w:bCs/>
          <w:sz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r>
        <w:rPr>
          <w:rFonts w:hint="eastAsia" w:asciiTheme="minorEastAsia" w:hAnsiTheme="minorEastAsia" w:cstheme="minorEastAsia"/>
          <w:sz w:val="24"/>
        </w:rPr>
        <w:t>。</w:t>
      </w:r>
    </w:p>
    <w:p w14:paraId="02A0480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26、无效投标条款和废标条款</w:t>
      </w:r>
    </w:p>
    <w:p w14:paraId="355568B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26.1无效投标条款</w:t>
      </w:r>
    </w:p>
    <w:p w14:paraId="72DDAC4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26.1.1 </w:t>
      </w:r>
      <w:r>
        <w:rPr>
          <w:rFonts w:hint="eastAsia"/>
          <w:bCs/>
          <w:sz w:val="24"/>
        </w:rPr>
        <w:t>未按要求交纳投标保证金的（如有）</w:t>
      </w:r>
      <w:r>
        <w:rPr>
          <w:rFonts w:hint="eastAsia" w:asciiTheme="minorEastAsia" w:hAnsiTheme="minorEastAsia" w:cstheme="minorEastAsia"/>
          <w:sz w:val="24"/>
        </w:rPr>
        <w:t>。</w:t>
      </w:r>
    </w:p>
    <w:p w14:paraId="08D35FD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26.1.2</w:t>
      </w:r>
      <w:r>
        <w:rPr>
          <w:rFonts w:hint="eastAsia"/>
          <w:bCs/>
          <w:sz w:val="24"/>
        </w:rPr>
        <w:t>未按照招标文件规定要求密封、签署、盖章的</w:t>
      </w:r>
      <w:r>
        <w:rPr>
          <w:rFonts w:hint="eastAsia" w:asciiTheme="minorEastAsia" w:hAnsiTheme="minorEastAsia" w:cstheme="minorEastAsia"/>
          <w:sz w:val="24"/>
        </w:rPr>
        <w:t>。</w:t>
      </w:r>
    </w:p>
    <w:p w14:paraId="7B087C5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26.1.3同一投标人提交两个（含两个）以上不同的投标报价的。</w:t>
      </w:r>
    </w:p>
    <w:p w14:paraId="63845B5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26.1.4投标人不具备招标文件中规定资格要求的。</w:t>
      </w:r>
    </w:p>
    <w:p w14:paraId="0E0E749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26.1.5投标人的报价超过了采购预算或最高限价的。</w:t>
      </w:r>
    </w:p>
    <w:p w14:paraId="2195320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26.1.6未通过符合性审查的。</w:t>
      </w:r>
    </w:p>
    <w:p w14:paraId="49E970B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26.1.7不符合招标文件中规定的实质性要求和条件的（本招标文件中</w:t>
      </w:r>
      <w:r>
        <w:rPr>
          <w:rFonts w:hint="eastAsia" w:ascii="宋体" w:hAnsi="宋体"/>
          <w:b/>
          <w:sz w:val="24"/>
        </w:rPr>
        <w:t>标注为“★”项</w:t>
      </w:r>
      <w:r>
        <w:rPr>
          <w:rFonts w:hint="eastAsia" w:asciiTheme="minorEastAsia" w:hAnsiTheme="minorEastAsia" w:cstheme="minorEastAsia"/>
          <w:sz w:val="24"/>
        </w:rPr>
        <w:t>为实质性要求和条件）。</w:t>
      </w:r>
    </w:p>
    <w:p w14:paraId="1B17544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199A04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26.1.9 投标文件含有采购人不能接受的附加条件的。</w:t>
      </w:r>
    </w:p>
    <w:p w14:paraId="4A5D902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26.1.10评标委员会认为投标人的报价明显低于其他通过符合性审查投标人的报价，</w:t>
      </w:r>
      <w:r>
        <w:rPr>
          <w:rFonts w:hint="eastAsia"/>
          <w:sz w:val="24"/>
        </w:rPr>
        <w:t>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Theme="minorEastAsia" w:hAnsiTheme="minorEastAsia" w:cstheme="minorEastAsia"/>
          <w:sz w:val="24"/>
        </w:rPr>
        <w:t>。</w:t>
      </w:r>
    </w:p>
    <w:p w14:paraId="24495AE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26.1.11 投标文件未按照招标文件要求加盖公章的。</w:t>
      </w:r>
    </w:p>
    <w:p w14:paraId="1144E04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26.1.12投标人的商务技术部分得分相差异常悬殊，评标委员会一致认为得分畸低者有可能影响产品质量或者不能诚信履约的。</w:t>
      </w:r>
    </w:p>
    <w:p w14:paraId="73D3FDE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26.1.13其他法律、法规及本招标文件规定的属无效投标的情形。</w:t>
      </w:r>
    </w:p>
    <w:p w14:paraId="7C75679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26.2废标条款</w:t>
      </w:r>
    </w:p>
    <w:p w14:paraId="09119C1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26.2.1符合专业条件的供应商或者对招标文件作实质响应的供应商不足三家的。26.2.2出现影响采购公正的违法、违规行为的。</w:t>
      </w:r>
    </w:p>
    <w:p w14:paraId="14C6BE2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26.2.3因重大变故，采购任务取消的。</w:t>
      </w:r>
    </w:p>
    <w:p w14:paraId="1B82C20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26.2.4评标委员会认定招标文件存在歧义、重大缺陷导致评审工作无法进行。</w:t>
      </w:r>
    </w:p>
    <w:p w14:paraId="2056954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26.3 投标截止时间结束后参加投标的供应商不足三家的处理：</w:t>
      </w:r>
    </w:p>
    <w:p w14:paraId="52D5960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26.3.1如出现投标截止时间结束后参加投标的供应商或者在评标期间对招标文件做出实质响应的供应商不足三家情况，按政府采购相关规定执行。</w:t>
      </w:r>
    </w:p>
    <w:p w14:paraId="1D253F42">
      <w:pPr>
        <w:pStyle w:val="3"/>
        <w:ind w:firstLine="562"/>
      </w:pPr>
      <w:bookmarkStart w:id="16" w:name="_Toc8743"/>
      <w:r>
        <w:rPr>
          <w:rFonts w:hint="eastAsia"/>
        </w:rPr>
        <w:t>六、定标</w:t>
      </w:r>
      <w:bookmarkEnd w:id="16"/>
    </w:p>
    <w:p w14:paraId="7641D2F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27、确定中标单位</w:t>
      </w:r>
    </w:p>
    <w:p w14:paraId="08C3880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27.1中标候选人的选取原则和数量见招标文件第五章规定。 </w:t>
      </w:r>
    </w:p>
    <w:p w14:paraId="2EA59F1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27.2 采购人应根据评委会推荐的中标候选人确定中标人。</w:t>
      </w:r>
    </w:p>
    <w:p w14:paraId="7A17706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27.3 采购人将在“南通市公安局网站”发布中标公告，公告期限为1个工作日。</w:t>
      </w:r>
    </w:p>
    <w:p w14:paraId="667E42C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27.4  若有充分证据证明，中标人出现下列情况之一的，一经查实，将被取消中标资格：</w:t>
      </w:r>
    </w:p>
    <w:p w14:paraId="0FED295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27.4.1提供虚假材料谋取中标的。</w:t>
      </w:r>
    </w:p>
    <w:p w14:paraId="4A0F1C6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27.4.2向采购人行贿或者提供其他不正当利益的。</w:t>
      </w:r>
    </w:p>
    <w:p w14:paraId="0A9D1CD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27.4.3属于本文件规定的无效条件，但在评标过程中又未被评委会发现的。</w:t>
      </w:r>
    </w:p>
    <w:p w14:paraId="7BDF807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27.4.4与采购人或者其他供应商恶意串通的。</w:t>
      </w:r>
    </w:p>
    <w:p w14:paraId="39EB7BB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27.4.5采取不正当手段诋毁、排挤其他供应商的。</w:t>
      </w:r>
    </w:p>
    <w:p w14:paraId="15873AE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27.5 有下列情形之一的，视为投标人串通投标，投标无效：</w:t>
      </w:r>
    </w:p>
    <w:p w14:paraId="2825C02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27.5.1不同投标人的投标文件由同一单位或者个人编制。</w:t>
      </w:r>
    </w:p>
    <w:p w14:paraId="2CA3231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27.5.2不同投标人委托同一单位或者个人办理投标事宜。</w:t>
      </w:r>
    </w:p>
    <w:p w14:paraId="726EF9A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27.5.3 不同投标人的投标文件载明的项目管理成员或者联系人员为同一人。</w:t>
      </w:r>
    </w:p>
    <w:p w14:paraId="4E07DBA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27.5.4不同投标人的投标文件异常一致或者投标报价呈规律性差异。</w:t>
      </w:r>
    </w:p>
    <w:p w14:paraId="773EF94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28、质疑处理</w:t>
      </w:r>
    </w:p>
    <w:p w14:paraId="32B8D65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28.1 提出质疑的供应商应当是参与所质疑项目采购活动的供应商。潜在供应商依法获取其可质疑的采购文件的，可以对采购文件提出质疑。</w:t>
      </w:r>
    </w:p>
    <w:p w14:paraId="5BE072E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28.2供应商认为采购文件、采购过程和采购结果使自己的权益受到损害的，可以在知道或应知其权益受到损害之日起七个工作日内，以书面形式根据下述28.4条款的规定向采购人提出质疑。上述应知其权益受到损害之日，是指：</w:t>
      </w:r>
    </w:p>
    <w:p w14:paraId="6CC1F10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28.2.1对可以质疑的采购文件提出质疑的，为收到采购文件之日或者采购文件公告期限届满之日；</w:t>
      </w:r>
    </w:p>
    <w:p w14:paraId="638E702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28.2.2对采购过程提出质疑的，为各采购程序环节结束之日；</w:t>
      </w:r>
    </w:p>
    <w:p w14:paraId="44C43A0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28.2.3对中标或者成交结果提出质疑的，为中标或者成交结果公告期限届满之日。</w:t>
      </w:r>
    </w:p>
    <w:p w14:paraId="4645947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供应商应当在法定质疑期内一次性提出针对同一采购程序环节的质疑。供应商如在法定期限内对同一采购程序环节提出多次质疑的，采购人将只对供应商第一次质疑作出答复。</w:t>
      </w:r>
    </w:p>
    <w:p w14:paraId="4E5AD20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28.3质疑函必须按照本招标文件中《质疑函范本》要求的格式和内容进行填写。供应商如组成联合体参加投标，则《质疑函范本》中要求签字、盖章、加盖公章之处，联合体各方均须按要求签字、盖章、加盖公章。</w:t>
      </w:r>
    </w:p>
    <w:p w14:paraId="3EC7306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28.4供应商（含潜在供应商）对采购方式、采购需求、供应商资格条件及审查结果、评标方法和评标标准、合同文本的询问、质疑请向采购人提出，由采购人负责答复。供应商对除上述事项以外其他事项的询问、质疑请向采购人提出，由采购人负责答复。</w:t>
      </w:r>
    </w:p>
    <w:p w14:paraId="45A98B8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采购人只接收以纸质原件形式送达的质疑,建议供应商尽量通过邮寄方式提交质疑（采购人不接受未填写快递运单的快件）。</w:t>
      </w:r>
    </w:p>
    <w:p w14:paraId="0ABAF4B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28.5 以下情形的质疑不予受理</w:t>
      </w:r>
    </w:p>
    <w:p w14:paraId="4B67709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28.5.1 内容不符合《政府采购质疑和投诉办法》第十二条规定的质疑。</w:t>
      </w:r>
    </w:p>
    <w:p w14:paraId="09F6A91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28.5.2 超出政府采购法定期限的质疑。</w:t>
      </w:r>
    </w:p>
    <w:p w14:paraId="778202B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28.5.3 以传真、电子邮件等方式递交的非原件形式的质疑。</w:t>
      </w:r>
    </w:p>
    <w:p w14:paraId="2077FFA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28.5.4 未参加投标活动的供应商或在投标活动中自身权益未受到损害的供应商所提出的质疑。</w:t>
      </w:r>
    </w:p>
    <w:p w14:paraId="35DF151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28.5.5供应商组成联合体参加投标，联合体中任何一方或多方未按要求签字、盖章、加盖公章的质疑。</w:t>
      </w:r>
    </w:p>
    <w:p w14:paraId="06AB6E1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28.6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E04EB0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29、中标通知书</w:t>
      </w:r>
    </w:p>
    <w:p w14:paraId="1A92A98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29.l 中标结果确定后，采购人或代理机构将向中标人发出中标通知书。</w:t>
      </w:r>
    </w:p>
    <w:p w14:paraId="6E2E9D1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29.2中标通知书将是合同的一个组成部分。对采购人和中标人均具有法律效力。中标通知书发出后，采购人改变中标结果的，或者中标人放弃中标项目的，应当依法承担法律责任。</w:t>
      </w:r>
    </w:p>
    <w:p w14:paraId="022F6A6A">
      <w:pPr>
        <w:pStyle w:val="3"/>
        <w:ind w:firstLine="562"/>
      </w:pPr>
      <w:bookmarkStart w:id="17" w:name="_Toc6306"/>
      <w:r>
        <w:rPr>
          <w:rFonts w:hint="eastAsia"/>
        </w:rPr>
        <w:t>七、授予合同</w:t>
      </w:r>
      <w:bookmarkEnd w:id="17"/>
    </w:p>
    <w:p w14:paraId="1EA95B2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30. 签订合同</w:t>
      </w:r>
    </w:p>
    <w:p w14:paraId="43A2CA2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30.l中标人应当在中标通知书发出之日起三十日内，按照招标文件确定的事项与采购人签订政府采购合同。</w:t>
      </w:r>
    </w:p>
    <w:p w14:paraId="2D49FF2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30.2 招标文件、中标人的投标文件及招标过程中有关澄清、承诺文件均应作为合同附件。</w:t>
      </w:r>
    </w:p>
    <w:p w14:paraId="2CBFDB1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30.3 签订合同后，中标人不得将合同标的进行转包。未经采购人同意，中标人也不得采用分包的形式履行合同，否则采购人有权终止合同。转包或分包造成采购人损失的，中标人应承担相应赔偿责任。</w:t>
      </w:r>
    </w:p>
    <w:p w14:paraId="23B970C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31、服务（包含与服务相关的货物）的追加</w:t>
      </w:r>
    </w:p>
    <w:p w14:paraId="2504ED7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341B655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32、履约保证金的收取与退还</w:t>
      </w:r>
    </w:p>
    <w:p w14:paraId="6FFCD4A5">
      <w:pPr>
        <w:spacing w:line="360" w:lineRule="auto"/>
        <w:ind w:firstLine="494" w:firstLineChars="206"/>
        <w:textAlignment w:val="baseline"/>
        <w:rPr>
          <w:rFonts w:cs="宋体"/>
          <w:bCs/>
          <w:sz w:val="24"/>
        </w:rPr>
      </w:pPr>
      <w:r>
        <w:rPr>
          <w:rFonts w:hint="eastAsia" w:cs="宋体"/>
          <w:bCs/>
          <w:sz w:val="24"/>
        </w:rPr>
        <w:t>本项目不收取履约保证金。</w:t>
      </w:r>
    </w:p>
    <w:p w14:paraId="7E078E40">
      <w:pPr>
        <w:spacing w:line="360" w:lineRule="auto"/>
        <w:ind w:firstLine="480" w:firstLineChars="200"/>
        <w:rPr>
          <w:rFonts w:asciiTheme="minorEastAsia" w:hAnsiTheme="minorEastAsia" w:cstheme="minorEastAsia"/>
          <w:sz w:val="24"/>
        </w:rPr>
      </w:pPr>
    </w:p>
    <w:p w14:paraId="54832213">
      <w:pPr>
        <w:spacing w:line="360" w:lineRule="auto"/>
        <w:ind w:firstLine="480" w:firstLineChars="200"/>
        <w:rPr>
          <w:rFonts w:asciiTheme="minorEastAsia" w:hAnsiTheme="minorEastAsia" w:cstheme="minorEastAsia"/>
          <w:sz w:val="24"/>
        </w:rPr>
      </w:pPr>
    </w:p>
    <w:p w14:paraId="30A3B6FB">
      <w:pPr>
        <w:spacing w:line="360" w:lineRule="auto"/>
        <w:ind w:firstLine="480" w:firstLineChars="200"/>
        <w:rPr>
          <w:rFonts w:asciiTheme="minorEastAsia" w:hAnsiTheme="minorEastAsia" w:cstheme="minorEastAsia"/>
          <w:sz w:val="24"/>
        </w:rPr>
      </w:pPr>
    </w:p>
    <w:p w14:paraId="6223DBD3">
      <w:pPr>
        <w:rPr>
          <w:rFonts w:asciiTheme="minorEastAsia" w:hAnsiTheme="minorEastAsia" w:cstheme="minorEastAsia"/>
          <w:sz w:val="28"/>
          <w:szCs w:val="28"/>
        </w:rPr>
      </w:pPr>
      <w:r>
        <w:rPr>
          <w:rFonts w:hint="eastAsia" w:asciiTheme="minorEastAsia" w:hAnsiTheme="minorEastAsia" w:cstheme="minorEastAsia"/>
          <w:sz w:val="28"/>
          <w:szCs w:val="28"/>
        </w:rPr>
        <w:br w:type="page"/>
      </w:r>
    </w:p>
    <w:p w14:paraId="2C97F253">
      <w:pPr>
        <w:pStyle w:val="2"/>
        <w:spacing w:before="312" w:after="312"/>
      </w:pPr>
      <w:bookmarkStart w:id="18" w:name="_Toc30920"/>
      <w:r>
        <w:rPr>
          <w:rFonts w:hint="eastAsia"/>
        </w:rPr>
        <w:t>第三章  合同文本</w:t>
      </w:r>
      <w:bookmarkEnd w:id="18"/>
    </w:p>
    <w:p w14:paraId="13A97038">
      <w:pPr>
        <w:spacing w:line="360" w:lineRule="auto"/>
        <w:jc w:val="center"/>
        <w:rPr>
          <w:rFonts w:ascii="Times New Roman" w:hAnsi="Times New Roman" w:cs="宋体"/>
          <w:b/>
          <w:bCs/>
          <w:sz w:val="28"/>
          <w:szCs w:val="44"/>
        </w:rPr>
      </w:pPr>
      <w:r>
        <w:rPr>
          <w:rFonts w:hint="eastAsia" w:ascii="Times New Roman" w:hAnsi="Times New Roman" w:cs="宋体"/>
          <w:b/>
          <w:bCs/>
          <w:sz w:val="28"/>
          <w:szCs w:val="44"/>
        </w:rPr>
        <w:t>南通市公安局通州湾示范区分局执法记录仪改造项目</w:t>
      </w:r>
    </w:p>
    <w:p w14:paraId="58B5ECE5">
      <w:pPr>
        <w:spacing w:before="120" w:line="360" w:lineRule="auto"/>
        <w:ind w:left="960"/>
        <w:rPr>
          <w:rFonts w:ascii="宋体" w:hAnsi="宋体" w:cs="宋体"/>
          <w:sz w:val="24"/>
        </w:rPr>
      </w:pPr>
    </w:p>
    <w:p w14:paraId="78AAFEEC">
      <w:pPr>
        <w:spacing w:before="120" w:line="360" w:lineRule="auto"/>
        <w:ind w:left="960"/>
        <w:rPr>
          <w:rFonts w:ascii="宋体" w:hAnsi="宋体" w:cs="宋体"/>
          <w:sz w:val="24"/>
        </w:rPr>
      </w:pPr>
    </w:p>
    <w:p w14:paraId="3838E137">
      <w:pPr>
        <w:spacing w:before="120" w:line="360" w:lineRule="auto"/>
        <w:ind w:left="960"/>
        <w:rPr>
          <w:rFonts w:ascii="宋体" w:hAnsi="宋体" w:cs="宋体"/>
          <w:sz w:val="24"/>
        </w:rPr>
      </w:pPr>
      <w:r>
        <w:rPr>
          <w:rFonts w:hint="eastAsia" w:ascii="宋体" w:hAnsi="宋体" w:cs="宋体"/>
          <w:sz w:val="24"/>
        </w:rPr>
        <w:t>项目名称：</w:t>
      </w:r>
    </w:p>
    <w:p w14:paraId="451F6869">
      <w:pPr>
        <w:spacing w:before="120" w:line="360" w:lineRule="auto"/>
        <w:rPr>
          <w:rFonts w:ascii="宋体" w:hAnsi="宋体" w:cs="宋体"/>
          <w:sz w:val="24"/>
        </w:rPr>
      </w:pPr>
    </w:p>
    <w:p w14:paraId="48B0B00B">
      <w:pPr>
        <w:spacing w:before="120" w:line="360" w:lineRule="auto"/>
        <w:rPr>
          <w:rFonts w:ascii="宋体" w:hAnsi="宋体" w:cs="宋体"/>
          <w:sz w:val="24"/>
        </w:rPr>
      </w:pPr>
    </w:p>
    <w:p w14:paraId="2420C887">
      <w:pPr>
        <w:spacing w:line="360" w:lineRule="auto"/>
        <w:rPr>
          <w:rFonts w:ascii="宋体" w:hAnsi="宋体" w:cs="宋体"/>
          <w:sz w:val="24"/>
        </w:rPr>
      </w:pPr>
    </w:p>
    <w:p w14:paraId="4B423AAF">
      <w:pPr>
        <w:spacing w:before="120" w:line="360" w:lineRule="auto"/>
        <w:ind w:left="960"/>
        <w:rPr>
          <w:rFonts w:ascii="宋体" w:hAnsi="宋体" w:eastAsia="宋体" w:cs="宋体"/>
          <w:sz w:val="24"/>
          <w:u w:val="single"/>
        </w:rPr>
      </w:pPr>
      <w:r>
        <w:rPr>
          <w:rFonts w:hint="eastAsia" w:ascii="宋体" w:hAnsi="宋体" w:cs="宋体"/>
          <w:sz w:val="24"/>
        </w:rPr>
        <w:t>甲    方：</w:t>
      </w:r>
      <w:r>
        <w:rPr>
          <w:rFonts w:hint="eastAsia" w:ascii="宋体" w:hAnsi="宋体" w:cs="宋体"/>
          <w:sz w:val="24"/>
          <w:u w:val="single"/>
        </w:rPr>
        <w:t>南通市公安局通州湾示范区分局</w:t>
      </w:r>
    </w:p>
    <w:p w14:paraId="38110CCC">
      <w:pPr>
        <w:spacing w:before="120" w:line="360" w:lineRule="auto"/>
        <w:rPr>
          <w:rFonts w:ascii="宋体" w:hAnsi="宋体" w:cs="宋体"/>
          <w:sz w:val="24"/>
        </w:rPr>
      </w:pPr>
    </w:p>
    <w:p w14:paraId="2DF437FE">
      <w:pPr>
        <w:spacing w:before="120" w:line="360" w:lineRule="auto"/>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p>
    <w:p w14:paraId="7ECA8D28">
      <w:pPr>
        <w:spacing w:before="120" w:line="360" w:lineRule="auto"/>
        <w:rPr>
          <w:rFonts w:ascii="宋体" w:hAnsi="宋体" w:cs="宋体"/>
          <w:sz w:val="24"/>
        </w:rPr>
      </w:pPr>
    </w:p>
    <w:p w14:paraId="15A100B5">
      <w:pPr>
        <w:spacing w:before="120" w:line="360" w:lineRule="auto"/>
        <w:ind w:firstLine="960" w:firstLineChars="400"/>
        <w:rPr>
          <w:rFonts w:ascii="宋体" w:hAnsi="宋体" w:cs="宋体"/>
          <w:sz w:val="24"/>
          <w:u w:val="single"/>
        </w:rPr>
      </w:pPr>
      <w:r>
        <w:rPr>
          <w:rFonts w:hint="eastAsia" w:ascii="宋体" w:hAnsi="宋体" w:cs="宋体"/>
          <w:sz w:val="24"/>
        </w:rPr>
        <w:t>签 订 地：</w:t>
      </w:r>
      <w:r>
        <w:rPr>
          <w:rFonts w:hint="eastAsia" w:ascii="宋体" w:hAnsi="宋体" w:cs="宋体"/>
          <w:sz w:val="24"/>
          <w:u w:val="single"/>
        </w:rPr>
        <w:t xml:space="preserve">              </w:t>
      </w:r>
    </w:p>
    <w:p w14:paraId="42A3B4F4">
      <w:pPr>
        <w:spacing w:before="120" w:line="360" w:lineRule="auto"/>
        <w:rPr>
          <w:rFonts w:ascii="宋体" w:hAnsi="宋体" w:cs="宋体"/>
          <w:sz w:val="24"/>
        </w:rPr>
      </w:pPr>
    </w:p>
    <w:p w14:paraId="63A98236">
      <w:pPr>
        <w:spacing w:before="120" w:line="360" w:lineRule="auto"/>
        <w:ind w:firstLine="960" w:firstLineChars="400"/>
        <w:rPr>
          <w:rFonts w:ascii="宋体" w:hAnsi="宋体" w:cs="宋体"/>
          <w:sz w:val="24"/>
        </w:rPr>
      </w:pPr>
      <w:r>
        <w:rPr>
          <w:rFonts w:hint="eastAsia" w:ascii="宋体" w:hAnsi="宋体" w:cs="宋体"/>
          <w:sz w:val="24"/>
        </w:rPr>
        <w:t>签订日期：</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6835363">
      <w:pPr>
        <w:spacing w:before="120" w:line="360" w:lineRule="auto"/>
        <w:ind w:firstLine="960" w:firstLineChars="400"/>
        <w:rPr>
          <w:rFonts w:ascii="宋体" w:hAnsi="宋体" w:cs="宋体"/>
          <w:sz w:val="24"/>
        </w:rPr>
      </w:pPr>
    </w:p>
    <w:p w14:paraId="2C72E6F3">
      <w:pPr>
        <w:spacing w:before="120" w:line="360" w:lineRule="auto"/>
        <w:jc w:val="center"/>
        <w:rPr>
          <w:rFonts w:ascii="宋体" w:hAnsi="宋体" w:cs="宋体"/>
          <w:sz w:val="28"/>
          <w:szCs w:val="28"/>
          <w:u w:val="single"/>
          <w:lang w:val="zh-CN"/>
        </w:rPr>
      </w:pPr>
      <w:r>
        <w:rPr>
          <w:rFonts w:ascii="Times New Roman" w:hAnsi="宋体" w:cs="宋体"/>
          <w:b/>
        </w:rPr>
        <w:br w:type="page"/>
      </w:r>
      <w:r>
        <w:rPr>
          <w:rFonts w:hint="eastAsia" w:ascii="Times New Roman" w:hAnsi="宋体" w:cs="宋体"/>
          <w:b/>
          <w:sz w:val="28"/>
          <w:szCs w:val="28"/>
        </w:rPr>
        <w:t>第一部分 合同书</w:t>
      </w:r>
    </w:p>
    <w:p w14:paraId="2F661FC2">
      <w:pPr>
        <w:spacing w:line="360" w:lineRule="auto"/>
        <w:rPr>
          <w:rFonts w:ascii="宋体" w:hAnsi="宋体" w:cs="宋体"/>
          <w:sz w:val="24"/>
          <w:u w:val="single"/>
          <w:lang w:val="zh-CN"/>
        </w:rPr>
      </w:pPr>
    </w:p>
    <w:p w14:paraId="14C66623">
      <w:pPr>
        <w:spacing w:line="360" w:lineRule="auto"/>
        <w:ind w:firstLine="480" w:firstLineChars="200"/>
        <w:rPr>
          <w:rFonts w:ascii="宋体" w:hAnsi="宋体" w:cs="宋体"/>
          <w:sz w:val="24"/>
        </w:rPr>
      </w:pPr>
      <w:r>
        <w:rPr>
          <w:rFonts w:hint="eastAsia" w:ascii="宋体" w:hAnsi="宋体" w:cs="宋体"/>
          <w:sz w:val="24"/>
          <w:u w:val="single"/>
          <w:lang w:val="zh-CN"/>
        </w:rPr>
        <w:t xml:space="preserve"> 202</w:t>
      </w:r>
      <w:r>
        <w:rPr>
          <w:rFonts w:hint="eastAsia" w:ascii="宋体" w:hAnsi="宋体" w:cs="宋体"/>
          <w:sz w:val="24"/>
          <w:u w:val="single"/>
        </w:rPr>
        <w:t>5</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南通市公安局通州湾示范区分局</w:t>
      </w:r>
      <w:r>
        <w:rPr>
          <w:rFonts w:hint="eastAsia" w:ascii="宋体" w:hAnsi="宋体" w:cs="宋体"/>
          <w:sz w:val="24"/>
        </w:rPr>
        <w:t>以</w:t>
      </w:r>
      <w:r>
        <w:rPr>
          <w:rFonts w:hint="eastAsia" w:ascii="宋体" w:hAnsi="宋体" w:cs="宋体"/>
          <w:sz w:val="24"/>
          <w:u w:val="single"/>
        </w:rPr>
        <w:t>公开招标方式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评标小组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为该项目中标供应商。现于中标通知书发出之日起十个工作日内，按照采购文件确定的事项签订本合同。</w:t>
      </w:r>
    </w:p>
    <w:p w14:paraId="4F6070D8">
      <w:pPr>
        <w:spacing w:line="360" w:lineRule="auto"/>
        <w:ind w:firstLine="480" w:firstLineChars="200"/>
        <w:rPr>
          <w:rFonts w:ascii="宋体" w:hAnsi="宋体" w:cs="宋体"/>
          <w:sz w:val="24"/>
        </w:rPr>
      </w:pPr>
      <w:r>
        <w:rPr>
          <w:rFonts w:hint="eastAsia" w:ascii="宋体" w:hAnsi="宋体" w:cs="宋体"/>
          <w:sz w:val="24"/>
          <w:lang w:val="zh-CN"/>
        </w:rPr>
        <w:t>根据《中华人民共和国</w:t>
      </w:r>
      <w:r>
        <w:rPr>
          <w:rFonts w:hint="eastAsia" w:ascii="宋体" w:hAnsi="宋体" w:cs="宋体"/>
          <w:sz w:val="24"/>
        </w:rPr>
        <w:t>民法典</w:t>
      </w:r>
      <w:r>
        <w:rPr>
          <w:rFonts w:hint="eastAsia" w:ascii="宋体" w:hAnsi="宋体" w:cs="宋体"/>
          <w:sz w:val="24"/>
          <w:lang w:val="zh-CN"/>
        </w:rPr>
        <w:t>》等相关法律法规之规定，按照平等、自愿、公平和诚实信用的原则，经</w:t>
      </w:r>
      <w:r>
        <w:rPr>
          <w:rFonts w:hint="eastAsia" w:ascii="宋体" w:hAnsi="宋体" w:cs="宋体"/>
          <w:sz w:val="24"/>
          <w:u w:val="single"/>
        </w:rPr>
        <w:t>南通市公安局通州湾示范区分局</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748361A">
      <w:pPr>
        <w:spacing w:line="360" w:lineRule="auto"/>
        <w:ind w:firstLine="482" w:firstLineChars="200"/>
        <w:outlineLvl w:val="0"/>
        <w:rPr>
          <w:rFonts w:ascii="宋体" w:hAnsi="宋体" w:cs="宋体"/>
          <w:sz w:val="24"/>
        </w:rPr>
      </w:pPr>
      <w:bookmarkStart w:id="19" w:name="_Toc28855"/>
      <w:bookmarkStart w:id="20" w:name="_Toc19273"/>
      <w:bookmarkStart w:id="21" w:name="_Toc15367"/>
      <w:bookmarkStart w:id="22" w:name="_Toc20421"/>
      <w:bookmarkStart w:id="23" w:name="_Toc22967"/>
      <w:r>
        <w:rPr>
          <w:rFonts w:hint="eastAsia" w:ascii="宋体" w:hAnsi="宋体" w:cs="宋体"/>
          <w:b/>
          <w:sz w:val="24"/>
        </w:rPr>
        <w:t>1.1 合同组成部分</w:t>
      </w:r>
      <w:bookmarkEnd w:id="19"/>
      <w:bookmarkEnd w:id="20"/>
      <w:bookmarkEnd w:id="21"/>
      <w:bookmarkEnd w:id="22"/>
      <w:bookmarkEnd w:id="23"/>
    </w:p>
    <w:p w14:paraId="5ABB998D">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34DC2D">
      <w:pPr>
        <w:spacing w:line="360" w:lineRule="auto"/>
        <w:ind w:firstLine="480" w:firstLineChars="200"/>
        <w:rPr>
          <w:rFonts w:ascii="宋体" w:hAnsi="宋体" w:cs="宋体"/>
          <w:sz w:val="24"/>
        </w:rPr>
      </w:pPr>
      <w:r>
        <w:rPr>
          <w:rFonts w:hint="eastAsia" w:ascii="宋体" w:hAnsi="宋体" w:cs="宋体"/>
          <w:sz w:val="24"/>
        </w:rPr>
        <w:t>1.1.1 本合同及其补充合同、变更协议；</w:t>
      </w:r>
    </w:p>
    <w:p w14:paraId="50F8B9CD">
      <w:pPr>
        <w:spacing w:line="360" w:lineRule="auto"/>
        <w:ind w:firstLine="480" w:firstLineChars="200"/>
        <w:rPr>
          <w:rFonts w:ascii="宋体" w:hAnsi="宋体" w:cs="宋体"/>
          <w:sz w:val="24"/>
        </w:rPr>
      </w:pPr>
      <w:r>
        <w:rPr>
          <w:rFonts w:hint="eastAsia" w:ascii="宋体" w:hAnsi="宋体" w:cs="宋体"/>
          <w:sz w:val="24"/>
        </w:rPr>
        <w:t>1.1.2 中标（成交）通知书；</w:t>
      </w:r>
    </w:p>
    <w:p w14:paraId="5CDE1313">
      <w:pPr>
        <w:spacing w:line="360" w:lineRule="auto"/>
        <w:ind w:firstLine="480" w:firstLineChars="200"/>
        <w:rPr>
          <w:rFonts w:ascii="宋体" w:hAnsi="宋体" w:cs="宋体"/>
          <w:sz w:val="24"/>
        </w:rPr>
      </w:pPr>
      <w:r>
        <w:rPr>
          <w:rFonts w:hint="eastAsia" w:ascii="宋体" w:hAnsi="宋体" w:cs="宋体"/>
          <w:sz w:val="24"/>
        </w:rPr>
        <w:t>1.1.3 投标（响应）文件（含澄清或者说明文件）；</w:t>
      </w:r>
    </w:p>
    <w:p w14:paraId="2094A7B8">
      <w:pPr>
        <w:spacing w:line="360" w:lineRule="auto"/>
        <w:ind w:firstLine="480" w:firstLineChars="200"/>
        <w:rPr>
          <w:rFonts w:ascii="宋体" w:hAnsi="宋体" w:cs="宋体"/>
          <w:sz w:val="24"/>
        </w:rPr>
      </w:pPr>
      <w:r>
        <w:rPr>
          <w:rFonts w:hint="eastAsia" w:ascii="宋体" w:hAnsi="宋体" w:cs="宋体"/>
          <w:sz w:val="24"/>
        </w:rPr>
        <w:t>1.1.4 招标（采购）文件（含澄清或者修改文件）；</w:t>
      </w:r>
    </w:p>
    <w:p w14:paraId="521A758E">
      <w:pPr>
        <w:spacing w:line="360" w:lineRule="auto"/>
        <w:ind w:firstLine="480" w:firstLineChars="200"/>
        <w:rPr>
          <w:rFonts w:ascii="宋体" w:hAnsi="宋体" w:cs="宋体"/>
          <w:sz w:val="24"/>
        </w:rPr>
      </w:pPr>
      <w:r>
        <w:rPr>
          <w:rFonts w:hint="eastAsia" w:ascii="宋体" w:hAnsi="宋体" w:cs="宋体"/>
          <w:sz w:val="24"/>
        </w:rPr>
        <w:t>1.1.5 其他相关采购文件。</w:t>
      </w:r>
    </w:p>
    <w:p w14:paraId="2FDFBFF2">
      <w:pPr>
        <w:spacing w:line="360" w:lineRule="auto"/>
        <w:ind w:firstLine="482" w:firstLineChars="200"/>
        <w:outlineLvl w:val="0"/>
        <w:rPr>
          <w:rFonts w:ascii="宋体" w:hAnsi="宋体" w:cs="宋体"/>
          <w:b/>
          <w:sz w:val="24"/>
        </w:rPr>
      </w:pPr>
      <w:bookmarkStart w:id="24" w:name="_Toc18585"/>
      <w:bookmarkStart w:id="25" w:name="_Toc6311"/>
      <w:bookmarkStart w:id="26" w:name="_Toc6773"/>
      <w:bookmarkStart w:id="27" w:name="_Toc2918"/>
      <w:bookmarkStart w:id="28" w:name="_Toc22185"/>
      <w:r>
        <w:rPr>
          <w:rFonts w:hint="eastAsia" w:ascii="宋体" w:hAnsi="宋体" w:cs="宋体"/>
          <w:b/>
          <w:sz w:val="24"/>
        </w:rPr>
        <w:t>1.2 标的</w:t>
      </w:r>
      <w:bookmarkEnd w:id="24"/>
      <w:bookmarkEnd w:id="25"/>
      <w:bookmarkEnd w:id="26"/>
      <w:bookmarkEnd w:id="27"/>
      <w:bookmarkEnd w:id="28"/>
    </w:p>
    <w:p w14:paraId="26CB570B">
      <w:pPr>
        <w:spacing w:line="360" w:lineRule="auto"/>
        <w:ind w:firstLine="480" w:firstLineChars="200"/>
        <w:rPr>
          <w:rFonts w:ascii="宋体" w:hAnsi="宋体" w:cs="宋体"/>
          <w:sz w:val="24"/>
          <w:u w:val="single"/>
        </w:rPr>
      </w:pPr>
      <w:r>
        <w:rPr>
          <w:rFonts w:hint="eastAsia" w:ascii="宋体" w:hAnsi="宋体" w:cs="宋体"/>
          <w:sz w:val="24"/>
        </w:rPr>
        <w:t>1.2.1 标的名称：；</w:t>
      </w:r>
    </w:p>
    <w:p w14:paraId="30B23491">
      <w:pPr>
        <w:spacing w:line="360" w:lineRule="auto"/>
        <w:ind w:firstLine="480" w:firstLineChars="200"/>
        <w:rPr>
          <w:rFonts w:ascii="宋体" w:hAnsi="宋体" w:eastAsia="宋体" w:cs="宋体"/>
          <w:sz w:val="24"/>
        </w:rPr>
      </w:pPr>
      <w:r>
        <w:rPr>
          <w:rFonts w:hint="eastAsia" w:ascii="宋体" w:hAnsi="宋体" w:cs="宋体"/>
          <w:sz w:val="24"/>
        </w:rPr>
        <w:t>1.2.2 标的数量：</w:t>
      </w:r>
      <w:r>
        <w:rPr>
          <w:rFonts w:hint="eastAsia" w:ascii="宋体" w:hAnsi="宋体" w:cs="宋体"/>
          <w:sz w:val="24"/>
          <w:u w:val="single"/>
        </w:rPr>
        <w:t>见采购清单</w:t>
      </w:r>
    </w:p>
    <w:p w14:paraId="5F2A75DE">
      <w:pPr>
        <w:spacing w:line="360" w:lineRule="auto"/>
        <w:ind w:firstLine="480" w:firstLineChars="200"/>
        <w:rPr>
          <w:rFonts w:ascii="宋体" w:hAnsi="宋体" w:cs="宋体"/>
          <w:sz w:val="24"/>
        </w:rPr>
      </w:pPr>
      <w:r>
        <w:rPr>
          <w:rFonts w:hint="eastAsia" w:ascii="宋体" w:hAnsi="宋体" w:cs="宋体"/>
          <w:sz w:val="24"/>
        </w:rPr>
        <w:t>1.2.3 标的质量：</w:t>
      </w:r>
      <w:r>
        <w:rPr>
          <w:rFonts w:hint="eastAsia" w:ascii="宋体" w:hAnsi="宋体" w:cs="宋体"/>
          <w:sz w:val="24"/>
          <w:u w:val="single"/>
        </w:rPr>
        <w:t>合格</w:t>
      </w:r>
      <w:r>
        <w:rPr>
          <w:rFonts w:hint="eastAsia" w:ascii="宋体" w:hAnsi="宋体" w:cs="宋体"/>
          <w:sz w:val="24"/>
        </w:rPr>
        <w:t>。</w:t>
      </w:r>
    </w:p>
    <w:p w14:paraId="02A898B0">
      <w:pPr>
        <w:spacing w:line="360" w:lineRule="auto"/>
        <w:ind w:firstLine="482" w:firstLineChars="200"/>
        <w:outlineLvl w:val="0"/>
        <w:rPr>
          <w:rFonts w:ascii="宋体" w:hAnsi="宋体" w:cs="宋体"/>
          <w:b/>
          <w:sz w:val="24"/>
        </w:rPr>
      </w:pPr>
      <w:bookmarkStart w:id="29" w:name="_Toc5635"/>
      <w:bookmarkStart w:id="30" w:name="_Toc21124"/>
      <w:bookmarkStart w:id="31" w:name="_Toc4929"/>
      <w:bookmarkStart w:id="32" w:name="_Toc13918"/>
      <w:bookmarkStart w:id="33" w:name="_Toc1386"/>
      <w:r>
        <w:rPr>
          <w:rFonts w:hint="eastAsia" w:ascii="宋体" w:hAnsi="宋体" w:cs="宋体"/>
          <w:b/>
          <w:sz w:val="24"/>
        </w:rPr>
        <w:t>1.3 价款</w:t>
      </w:r>
      <w:bookmarkEnd w:id="29"/>
      <w:bookmarkEnd w:id="30"/>
      <w:bookmarkEnd w:id="31"/>
      <w:bookmarkEnd w:id="32"/>
      <w:bookmarkEnd w:id="33"/>
    </w:p>
    <w:p w14:paraId="439EBCE9">
      <w:pPr>
        <w:spacing w:line="360" w:lineRule="auto"/>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rPr>
        <w:t>元）。</w:t>
      </w:r>
    </w:p>
    <w:p w14:paraId="625F99E9">
      <w:pPr>
        <w:spacing w:line="360" w:lineRule="auto"/>
        <w:ind w:firstLine="480" w:firstLineChars="200"/>
        <w:rPr>
          <w:rFonts w:ascii="宋体" w:hAnsi="宋体" w:cs="宋体"/>
          <w:sz w:val="24"/>
        </w:rPr>
      </w:pPr>
      <w:bookmarkStart w:id="34" w:name="_Toc3654"/>
      <w:bookmarkStart w:id="35" w:name="_Toc30506"/>
      <w:bookmarkStart w:id="36" w:name="_Toc30158"/>
      <w:bookmarkStart w:id="37" w:name="_Toc14993"/>
      <w:bookmarkStart w:id="38" w:name="_Toc26916"/>
      <w:r>
        <w:rPr>
          <w:rFonts w:hint="eastAsia" w:ascii="宋体" w:hAnsi="宋体" w:cs="宋体"/>
          <w:sz w:val="24"/>
        </w:rPr>
        <w:t>合同价包含但不限于以下费用：服务费、研发费、维护费、人员薪酬、利润、税费等一切费用。甲方不再另行支付其他费用。</w:t>
      </w:r>
    </w:p>
    <w:p w14:paraId="078E42AC">
      <w:pPr>
        <w:spacing w:line="360" w:lineRule="auto"/>
        <w:ind w:firstLine="482" w:firstLineChars="200"/>
        <w:outlineLvl w:val="0"/>
        <w:rPr>
          <w:rFonts w:ascii="宋体" w:hAnsi="宋体" w:cs="宋体"/>
          <w:b/>
          <w:sz w:val="24"/>
        </w:rPr>
      </w:pPr>
      <w:r>
        <w:rPr>
          <w:rFonts w:hint="eastAsia" w:ascii="宋体" w:hAnsi="宋体" w:cs="宋体"/>
          <w:b/>
          <w:sz w:val="24"/>
        </w:rPr>
        <w:t>1.4 付款方式和发票开具方式</w:t>
      </w:r>
      <w:bookmarkEnd w:id="34"/>
      <w:bookmarkEnd w:id="35"/>
      <w:bookmarkEnd w:id="36"/>
      <w:bookmarkEnd w:id="37"/>
      <w:bookmarkEnd w:id="38"/>
    </w:p>
    <w:p w14:paraId="1FA56F08">
      <w:pPr>
        <w:spacing w:line="360" w:lineRule="auto"/>
        <w:ind w:firstLine="480" w:firstLineChars="200"/>
        <w:rPr>
          <w:rFonts w:ascii="宋体" w:hAnsi="宋体" w:cs="宋体"/>
          <w:sz w:val="24"/>
        </w:rPr>
      </w:pPr>
      <w:r>
        <w:rPr>
          <w:rFonts w:hint="eastAsia" w:ascii="宋体" w:hAnsi="宋体" w:cs="宋体"/>
          <w:sz w:val="24"/>
        </w:rPr>
        <w:t>1.4.1付款方式：</w:t>
      </w:r>
      <w:r>
        <w:rPr>
          <w:rFonts w:hint="eastAsia" w:ascii="宋体" w:hAnsi="宋体"/>
          <w:sz w:val="24"/>
          <w:u w:val="single"/>
        </w:rPr>
        <w:t>银行转账（收款名：       账号：      开户行：    ）</w:t>
      </w:r>
      <w:r>
        <w:rPr>
          <w:rFonts w:hint="eastAsia" w:ascii="宋体" w:hAnsi="宋体" w:cs="宋体"/>
          <w:sz w:val="24"/>
        </w:rPr>
        <w:t>；</w:t>
      </w:r>
    </w:p>
    <w:p w14:paraId="48C999B6">
      <w:pPr>
        <w:spacing w:line="360" w:lineRule="auto"/>
        <w:ind w:firstLine="480" w:firstLineChars="200"/>
        <w:rPr>
          <w:rFonts w:ascii="宋体" w:hAnsi="宋体" w:cs="宋体"/>
          <w:sz w:val="24"/>
        </w:rPr>
      </w:pPr>
      <w:r>
        <w:rPr>
          <w:rFonts w:hint="eastAsia" w:ascii="宋体" w:hAnsi="宋体" w:cs="宋体"/>
          <w:sz w:val="24"/>
        </w:rPr>
        <w:t>1.4.2 发票开具方式：</w:t>
      </w:r>
      <w:r>
        <w:rPr>
          <w:rFonts w:hint="eastAsia" w:ascii="宋体" w:hAnsi="宋体"/>
          <w:sz w:val="24"/>
          <w:u w:val="single"/>
        </w:rPr>
        <w:t>纸质税务发票或电子税务发票，且须符合甲方财务制度规定</w:t>
      </w:r>
      <w:r>
        <w:rPr>
          <w:rFonts w:hint="eastAsia" w:ascii="宋体" w:hAnsi="宋体" w:cs="宋体"/>
          <w:sz w:val="24"/>
        </w:rPr>
        <w:t>。</w:t>
      </w:r>
    </w:p>
    <w:p w14:paraId="3A6FA1AA">
      <w:pPr>
        <w:spacing w:line="360" w:lineRule="auto"/>
        <w:ind w:firstLine="482" w:firstLineChars="200"/>
        <w:outlineLvl w:val="0"/>
        <w:rPr>
          <w:rFonts w:ascii="宋体" w:hAnsi="宋体" w:cs="宋体"/>
          <w:b/>
          <w:sz w:val="24"/>
        </w:rPr>
      </w:pPr>
      <w:bookmarkStart w:id="39" w:name="_Toc4760"/>
      <w:bookmarkStart w:id="40" w:name="_Toc3625"/>
      <w:bookmarkStart w:id="41" w:name="_Toc8772"/>
      <w:bookmarkStart w:id="42" w:name="_Toc31421"/>
      <w:bookmarkStart w:id="43" w:name="_Toc11108"/>
      <w:r>
        <w:rPr>
          <w:rFonts w:hint="eastAsia" w:ascii="宋体" w:hAnsi="宋体" w:cs="宋体"/>
          <w:b/>
          <w:sz w:val="24"/>
        </w:rPr>
        <w:t>1.5 履行期限、地点和方式</w:t>
      </w:r>
      <w:bookmarkEnd w:id="39"/>
      <w:bookmarkEnd w:id="40"/>
      <w:bookmarkEnd w:id="41"/>
      <w:bookmarkEnd w:id="42"/>
      <w:bookmarkEnd w:id="43"/>
    </w:p>
    <w:p w14:paraId="1F524371">
      <w:pPr>
        <w:spacing w:line="360" w:lineRule="auto"/>
        <w:ind w:firstLine="480" w:firstLineChars="200"/>
        <w:rPr>
          <w:rFonts w:ascii="宋体" w:hAnsi="宋体" w:cs="宋体"/>
          <w:sz w:val="24"/>
          <w:u w:val="single"/>
        </w:rPr>
      </w:pPr>
      <w:r>
        <w:rPr>
          <w:rFonts w:hint="eastAsia" w:ascii="宋体" w:hAnsi="宋体" w:cs="宋体"/>
          <w:sz w:val="24"/>
        </w:rPr>
        <w:t>1.5.1 履行期限：</w:t>
      </w:r>
      <w:r>
        <w:rPr>
          <w:rFonts w:hint="eastAsia" w:ascii="宋体" w:hAnsi="宋体" w:cs="宋体"/>
          <w:sz w:val="24"/>
          <w:u w:val="single"/>
        </w:rPr>
        <w:t>自合同签订之日30日历天内改造完成，并交付采购人使用。</w:t>
      </w:r>
      <w:r>
        <w:rPr>
          <w:rFonts w:hint="eastAsia" w:ascii="宋体" w:hAnsi="宋体" w:cs="宋体"/>
          <w:sz w:val="24"/>
        </w:rPr>
        <w:t>；</w:t>
      </w:r>
    </w:p>
    <w:p w14:paraId="1F5F64FD">
      <w:pPr>
        <w:spacing w:line="360" w:lineRule="auto"/>
        <w:ind w:firstLine="480" w:firstLineChars="200"/>
        <w:rPr>
          <w:rFonts w:ascii="宋体" w:hAnsi="宋体" w:cs="宋体"/>
          <w:sz w:val="24"/>
        </w:rPr>
      </w:pPr>
      <w:r>
        <w:rPr>
          <w:rFonts w:hint="eastAsia" w:ascii="宋体" w:hAnsi="宋体" w:cs="宋体"/>
          <w:sz w:val="24"/>
        </w:rPr>
        <w:t>1.5.2 履行地点：</w:t>
      </w:r>
      <w:r>
        <w:rPr>
          <w:rFonts w:hint="eastAsia" w:ascii="宋体" w:hAnsi="宋体"/>
          <w:sz w:val="24"/>
          <w:u w:val="single"/>
        </w:rPr>
        <w:t>甲方指定地点</w:t>
      </w:r>
      <w:r>
        <w:rPr>
          <w:rFonts w:hint="eastAsia" w:ascii="宋体" w:hAnsi="宋体" w:cs="宋体"/>
          <w:sz w:val="24"/>
        </w:rPr>
        <w:t>；</w:t>
      </w:r>
    </w:p>
    <w:p w14:paraId="570E0513">
      <w:pPr>
        <w:spacing w:line="360" w:lineRule="auto"/>
        <w:ind w:firstLine="480" w:firstLineChars="200"/>
        <w:rPr>
          <w:rFonts w:ascii="宋体" w:hAnsi="宋体" w:cs="宋体"/>
          <w:sz w:val="24"/>
        </w:rPr>
      </w:pPr>
      <w:r>
        <w:rPr>
          <w:rFonts w:hint="eastAsia" w:ascii="宋体" w:hAnsi="宋体" w:cs="宋体"/>
          <w:sz w:val="24"/>
        </w:rPr>
        <w:t>1.5.3 履行方式：</w:t>
      </w:r>
      <w:r>
        <w:rPr>
          <w:rFonts w:hint="eastAsia" w:ascii="宋体" w:hAnsi="宋体"/>
          <w:sz w:val="24"/>
          <w:u w:val="single"/>
        </w:rPr>
        <w:t>按甲方要求</w:t>
      </w:r>
      <w:r>
        <w:rPr>
          <w:rFonts w:hint="eastAsia" w:ascii="宋体" w:hAnsi="宋体" w:cs="宋体"/>
          <w:sz w:val="24"/>
        </w:rPr>
        <w:t>。</w:t>
      </w:r>
    </w:p>
    <w:p w14:paraId="2EB1A147">
      <w:pPr>
        <w:spacing w:line="360" w:lineRule="auto"/>
        <w:ind w:firstLine="482" w:firstLineChars="200"/>
        <w:outlineLvl w:val="0"/>
        <w:rPr>
          <w:rFonts w:ascii="宋体" w:hAnsi="宋体" w:cs="宋体"/>
          <w:sz w:val="24"/>
          <w:u w:val="single"/>
        </w:rPr>
      </w:pPr>
      <w:bookmarkStart w:id="44" w:name="_Toc24662"/>
      <w:bookmarkStart w:id="45" w:name="_Toc3079"/>
      <w:bookmarkStart w:id="46" w:name="_Toc2375"/>
      <w:bookmarkStart w:id="47" w:name="_Toc8586"/>
      <w:bookmarkStart w:id="48" w:name="_Toc5698"/>
      <w:r>
        <w:rPr>
          <w:rFonts w:hint="eastAsia" w:ascii="宋体" w:hAnsi="宋体" w:cs="宋体"/>
          <w:b/>
          <w:sz w:val="24"/>
        </w:rPr>
        <w:t>1.6 违约责任</w:t>
      </w:r>
      <w:bookmarkEnd w:id="44"/>
      <w:bookmarkEnd w:id="45"/>
      <w:bookmarkEnd w:id="46"/>
      <w:bookmarkEnd w:id="47"/>
      <w:bookmarkEnd w:id="48"/>
    </w:p>
    <w:p w14:paraId="5C45387A">
      <w:pPr>
        <w:spacing w:line="360" w:lineRule="auto"/>
        <w:ind w:firstLine="480" w:firstLineChars="200"/>
        <w:rPr>
          <w:rFonts w:ascii="宋体" w:hAnsi="宋体" w:cs="宋体"/>
          <w:sz w:val="24"/>
        </w:rPr>
      </w:pPr>
      <w:r>
        <w:rPr>
          <w:rFonts w:hint="eastAsia" w:ascii="宋体" w:hAnsi="宋体" w:cs="宋体"/>
          <w:sz w:val="24"/>
        </w:rPr>
        <w:t>1.6.1</w:t>
      </w:r>
      <w:r>
        <w:rPr>
          <w:rFonts w:ascii="宋体" w:hAnsi="宋体"/>
          <w:snapToGrid w:val="0"/>
          <w:sz w:val="24"/>
        </w:rPr>
        <w:t>除不可抗力外，如果乙方没有按照本合同约定的期限</w:t>
      </w:r>
      <w:r>
        <w:rPr>
          <w:rFonts w:hint="eastAsia" w:ascii="宋体" w:hAnsi="宋体"/>
          <w:snapToGrid w:val="0"/>
          <w:sz w:val="24"/>
        </w:rPr>
        <w:t>、</w:t>
      </w:r>
      <w:r>
        <w:rPr>
          <w:rFonts w:ascii="宋体" w:hAnsi="宋体"/>
          <w:snapToGrid w:val="0"/>
          <w:sz w:val="24"/>
        </w:rPr>
        <w:t>地点和方式</w:t>
      </w:r>
      <w:r>
        <w:rPr>
          <w:rFonts w:hint="eastAsia" w:ascii="宋体" w:hAnsi="宋体"/>
          <w:snapToGrid w:val="0"/>
          <w:sz w:val="24"/>
        </w:rPr>
        <w:t>履行</w:t>
      </w:r>
      <w:r>
        <w:rPr>
          <w:rFonts w:ascii="宋体" w:hAnsi="宋体"/>
          <w:snapToGrid w:val="0"/>
          <w:sz w:val="24"/>
        </w:rPr>
        <w:t>，那么甲方可要求乙方支付违约金</w:t>
      </w:r>
      <w:r>
        <w:rPr>
          <w:rFonts w:hint="eastAsia" w:ascii="宋体" w:hAnsi="宋体"/>
          <w:snapToGrid w:val="0"/>
          <w:sz w:val="24"/>
        </w:rPr>
        <w:t>，</w:t>
      </w:r>
      <w:r>
        <w:rPr>
          <w:rFonts w:ascii="宋体" w:hAnsi="宋体"/>
          <w:snapToGrid w:val="0"/>
          <w:sz w:val="24"/>
        </w:rPr>
        <w:t>违约金按每迟延</w:t>
      </w:r>
      <w:r>
        <w:rPr>
          <w:rFonts w:hint="eastAsia" w:ascii="宋体" w:hAnsi="宋体"/>
          <w:snapToGrid w:val="0"/>
          <w:sz w:val="24"/>
        </w:rPr>
        <w:t>履行</w:t>
      </w:r>
      <w:r>
        <w:rPr>
          <w:rFonts w:ascii="宋体" w:hAnsi="宋体"/>
          <w:snapToGrid w:val="0"/>
          <w:sz w:val="24"/>
        </w:rPr>
        <w:t>一日的应提供而未</w:t>
      </w:r>
      <w:r>
        <w:rPr>
          <w:rFonts w:hint="eastAsia" w:ascii="宋体" w:hAnsi="宋体"/>
          <w:snapToGrid w:val="0"/>
          <w:sz w:val="24"/>
        </w:rPr>
        <w:t>提供</w:t>
      </w:r>
      <w:r>
        <w:rPr>
          <w:rFonts w:ascii="宋体" w:hAnsi="宋体"/>
          <w:snapToGrid w:val="0"/>
          <w:sz w:val="24"/>
        </w:rPr>
        <w:t>服务价格的</w:t>
      </w:r>
      <w:r>
        <w:rPr>
          <w:rFonts w:hint="eastAsia" w:ascii="宋体" w:hAnsi="宋体"/>
          <w:snapToGrid w:val="0"/>
          <w:sz w:val="24"/>
          <w:u w:val="single"/>
        </w:rPr>
        <w:t>1</w:t>
      </w:r>
      <w:r>
        <w:rPr>
          <w:rFonts w:ascii="宋体" w:hAnsi="宋体"/>
          <w:snapToGrid w:val="0"/>
          <w:sz w:val="24"/>
        </w:rPr>
        <w:t>%计算</w:t>
      </w:r>
      <w:r>
        <w:rPr>
          <w:rFonts w:hint="eastAsia" w:ascii="宋体" w:hAnsi="宋体"/>
          <w:snapToGrid w:val="0"/>
          <w:sz w:val="24"/>
        </w:rPr>
        <w:t>，</w:t>
      </w:r>
      <w:r>
        <w:rPr>
          <w:rFonts w:ascii="宋体" w:hAnsi="宋体"/>
          <w:snapToGrid w:val="0"/>
          <w:sz w:val="24"/>
        </w:rPr>
        <w:t>最高限额为</w:t>
      </w:r>
      <w:r>
        <w:rPr>
          <w:rFonts w:hint="eastAsia" w:ascii="宋体" w:hAnsi="宋体"/>
          <w:snapToGrid w:val="0"/>
          <w:sz w:val="24"/>
        </w:rPr>
        <w:t>本</w:t>
      </w:r>
      <w:r>
        <w:rPr>
          <w:rFonts w:ascii="宋体" w:hAnsi="宋体"/>
          <w:snapToGrid w:val="0"/>
          <w:sz w:val="24"/>
        </w:rPr>
        <w:t>合同总价的</w:t>
      </w:r>
      <w:r>
        <w:rPr>
          <w:rFonts w:hint="eastAsia" w:ascii="宋体" w:hAnsi="宋体"/>
          <w:snapToGrid w:val="0"/>
          <w:sz w:val="24"/>
          <w:u w:val="single"/>
        </w:rPr>
        <w:t>10</w:t>
      </w:r>
      <w:r>
        <w:rPr>
          <w:rFonts w:ascii="宋体" w:hAnsi="宋体"/>
          <w:snapToGrid w:val="0"/>
          <w:sz w:val="24"/>
        </w:rPr>
        <w:t>%</w:t>
      </w:r>
      <w:r>
        <w:rPr>
          <w:rFonts w:hint="eastAsia" w:ascii="宋体" w:hAnsi="宋体"/>
          <w:snapToGrid w:val="0"/>
          <w:sz w:val="24"/>
        </w:rPr>
        <w:t>；</w:t>
      </w:r>
      <w:r>
        <w:rPr>
          <w:rFonts w:ascii="宋体" w:hAnsi="宋体"/>
          <w:snapToGrid w:val="0"/>
          <w:sz w:val="24"/>
        </w:rPr>
        <w:t>迟延</w:t>
      </w:r>
      <w:r>
        <w:rPr>
          <w:rFonts w:hint="eastAsia" w:ascii="宋体" w:hAnsi="宋体"/>
          <w:snapToGrid w:val="0"/>
          <w:sz w:val="24"/>
        </w:rPr>
        <w:t>履行</w:t>
      </w:r>
      <w:r>
        <w:rPr>
          <w:rFonts w:ascii="宋体" w:hAnsi="宋体"/>
          <w:snapToGrid w:val="0"/>
          <w:sz w:val="24"/>
        </w:rPr>
        <w:t>的违约金计算数额达到前述最高限额之日起</w:t>
      </w:r>
      <w:r>
        <w:rPr>
          <w:rFonts w:hint="eastAsia" w:ascii="宋体" w:hAnsi="宋体"/>
          <w:snapToGrid w:val="0"/>
          <w:sz w:val="24"/>
        </w:rPr>
        <w:t>，</w:t>
      </w:r>
      <w:r>
        <w:rPr>
          <w:rFonts w:ascii="宋体" w:hAnsi="宋体"/>
          <w:snapToGrid w:val="0"/>
          <w:sz w:val="24"/>
        </w:rPr>
        <w:t>甲方有权在要求乙方支付违约金的同时</w:t>
      </w:r>
      <w:r>
        <w:rPr>
          <w:rFonts w:hint="eastAsia" w:ascii="宋体" w:hAnsi="宋体"/>
          <w:snapToGrid w:val="0"/>
          <w:sz w:val="24"/>
        </w:rPr>
        <w:t>，书面通知乙方</w:t>
      </w:r>
      <w:r>
        <w:rPr>
          <w:rFonts w:ascii="宋体" w:hAnsi="宋体"/>
          <w:snapToGrid w:val="0"/>
          <w:sz w:val="24"/>
        </w:rPr>
        <w:t>解除本合同</w:t>
      </w:r>
      <w:r>
        <w:rPr>
          <w:rFonts w:hint="eastAsia" w:ascii="宋体" w:hAnsi="宋体"/>
          <w:snapToGrid w:val="0"/>
          <w:sz w:val="24"/>
        </w:rPr>
        <w:t>；</w:t>
      </w:r>
    </w:p>
    <w:p w14:paraId="6C3D8653">
      <w:pPr>
        <w:spacing w:line="360" w:lineRule="auto"/>
        <w:ind w:firstLine="480" w:firstLineChars="200"/>
        <w:rPr>
          <w:rFonts w:ascii="宋体" w:hAnsi="宋体" w:cs="宋体"/>
          <w:sz w:val="24"/>
        </w:rPr>
      </w:pPr>
      <w:r>
        <w:rPr>
          <w:rFonts w:hint="eastAsia" w:ascii="宋体" w:hAnsi="宋体" w:cs="宋体"/>
          <w:sz w:val="24"/>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B652D55">
      <w:pPr>
        <w:spacing w:line="360" w:lineRule="auto"/>
        <w:ind w:firstLine="480" w:firstLineChars="200"/>
        <w:rPr>
          <w:rFonts w:ascii="宋体" w:hAnsi="宋体" w:cs="宋体"/>
          <w:sz w:val="24"/>
        </w:rPr>
      </w:pPr>
      <w:r>
        <w:rPr>
          <w:rFonts w:hint="eastAsia" w:ascii="宋体" w:hAnsi="宋体" w:cs="宋体"/>
          <w:sz w:val="24"/>
        </w:rPr>
        <w:t>1.6.3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088D295">
      <w:pPr>
        <w:spacing w:line="360" w:lineRule="auto"/>
        <w:ind w:firstLine="480" w:firstLineChars="200"/>
        <w:rPr>
          <w:rFonts w:ascii="宋体" w:hAnsi="宋体" w:cs="宋体"/>
          <w:sz w:val="24"/>
        </w:rPr>
      </w:pPr>
      <w:r>
        <w:rPr>
          <w:rFonts w:hint="eastAsia" w:ascii="宋体" w:hAnsi="宋体" w:cs="宋体"/>
          <w:sz w:val="24"/>
        </w:rPr>
        <w:t>1.6.4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1FEFBFC">
      <w:pPr>
        <w:spacing w:line="360" w:lineRule="auto"/>
        <w:ind w:firstLine="480" w:firstLineChars="200"/>
        <w:rPr>
          <w:rFonts w:ascii="宋体" w:hAnsi="宋体" w:cs="宋体"/>
          <w:sz w:val="24"/>
        </w:rPr>
      </w:pPr>
      <w:r>
        <w:rPr>
          <w:rFonts w:hint="eastAsia" w:ascii="宋体" w:hAnsi="宋体" w:cs="宋体"/>
          <w:sz w:val="24"/>
        </w:rPr>
        <w:t>1.6.5 如果出现监督管理部门在处理投诉事项期间，书面通知甲方暂停采购活动的情形，或者询问或质疑事项可能影响中标（成交）结果的，导致甲方中止履行合同的情形，均不视为甲方违约。</w:t>
      </w:r>
    </w:p>
    <w:p w14:paraId="45ED8470">
      <w:pPr>
        <w:spacing w:line="360" w:lineRule="auto"/>
        <w:ind w:firstLine="480" w:firstLineChars="200"/>
        <w:rPr>
          <w:rFonts w:ascii="宋体" w:hAnsi="宋体" w:cs="宋体"/>
          <w:sz w:val="24"/>
        </w:rPr>
      </w:pPr>
      <w:r>
        <w:rPr>
          <w:rFonts w:hint="eastAsia" w:ascii="宋体" w:hAnsi="宋体" w:cs="宋体"/>
          <w:sz w:val="24"/>
        </w:rPr>
        <w:t>1.6.6 一方违约，除应向守约方承担违约责任外，还应赔偿守约方因维护权益产生的包括但不限于诉讼费、保全费、律师费、诉讼保全责任险保险费等在内的一切损失。</w:t>
      </w:r>
    </w:p>
    <w:p w14:paraId="56205844">
      <w:pPr>
        <w:spacing w:line="360" w:lineRule="auto"/>
        <w:ind w:firstLine="482" w:firstLineChars="200"/>
        <w:outlineLvl w:val="0"/>
        <w:rPr>
          <w:rFonts w:ascii="宋体" w:hAnsi="宋体" w:cs="宋体"/>
          <w:b/>
          <w:sz w:val="24"/>
        </w:rPr>
      </w:pPr>
      <w:bookmarkStart w:id="49" w:name="_Toc32454"/>
      <w:bookmarkStart w:id="50" w:name="_Toc9497"/>
      <w:bookmarkStart w:id="51" w:name="_Toc26807"/>
      <w:bookmarkStart w:id="52" w:name="_Toc18683"/>
      <w:bookmarkStart w:id="53" w:name="_Toc30329"/>
      <w:r>
        <w:rPr>
          <w:rFonts w:hint="eastAsia" w:ascii="宋体" w:hAnsi="宋体" w:cs="宋体"/>
          <w:b/>
          <w:sz w:val="24"/>
        </w:rPr>
        <w:t>1.7 合同争议的解决</w:t>
      </w:r>
      <w:bookmarkEnd w:id="49"/>
      <w:bookmarkEnd w:id="50"/>
      <w:bookmarkEnd w:id="51"/>
      <w:bookmarkEnd w:id="52"/>
      <w:bookmarkEnd w:id="53"/>
    </w:p>
    <w:p w14:paraId="708A0CBD">
      <w:pPr>
        <w:spacing w:line="360" w:lineRule="auto"/>
        <w:ind w:firstLine="480" w:firstLineChars="200"/>
        <w:rPr>
          <w:rFonts w:ascii="宋体" w:hAnsi="宋体"/>
          <w:sz w:val="24"/>
        </w:rPr>
      </w:pPr>
      <w:r>
        <w:rPr>
          <w:rFonts w:hint="eastAsia" w:ascii="宋体" w:hAnsi="宋体"/>
          <w:sz w:val="24"/>
        </w:rPr>
        <w:t>本合</w:t>
      </w:r>
      <w:r>
        <w:rPr>
          <w:rFonts w:ascii="宋体" w:hAnsi="宋体"/>
          <w:sz w:val="24"/>
        </w:rPr>
        <w:t>同履行过程中发生的任何争议，双方当事人均可</w:t>
      </w:r>
      <w:r>
        <w:rPr>
          <w:rFonts w:hint="eastAsia" w:ascii="宋体" w:hAnsi="宋体"/>
          <w:sz w:val="24"/>
        </w:rPr>
        <w:t>通过和解或者调解解决；不愿和解、调解或者和解、调解不成的，可以选择下列第</w:t>
      </w:r>
      <w:r>
        <w:rPr>
          <w:rFonts w:hint="eastAsia" w:ascii="宋体" w:hAnsi="宋体"/>
          <w:sz w:val="24"/>
          <w:u w:val="single"/>
        </w:rPr>
        <w:t xml:space="preserve"> 2 </w:t>
      </w:r>
      <w:r>
        <w:rPr>
          <w:rFonts w:hint="eastAsia" w:ascii="宋体" w:hAnsi="宋体"/>
          <w:sz w:val="24"/>
        </w:rPr>
        <w:t>种方式解决：</w:t>
      </w:r>
    </w:p>
    <w:p w14:paraId="1FB50350">
      <w:pPr>
        <w:spacing w:line="360" w:lineRule="auto"/>
        <w:ind w:firstLine="480" w:firstLineChars="200"/>
        <w:rPr>
          <w:rFonts w:ascii="宋体" w:hAnsi="宋体"/>
          <w:sz w:val="24"/>
        </w:rPr>
      </w:pPr>
      <w:r>
        <w:rPr>
          <w:rFonts w:hint="eastAsia" w:ascii="宋体" w:hAnsi="宋体"/>
          <w:sz w:val="24"/>
        </w:rPr>
        <w:t>1.7.1 将争议提交</w:t>
      </w:r>
      <w:r>
        <w:rPr>
          <w:rFonts w:hint="eastAsia" w:ascii="宋体" w:hAnsi="宋体"/>
          <w:sz w:val="24"/>
          <w:u w:val="single"/>
        </w:rPr>
        <w:t xml:space="preserve"> 南通市 </w:t>
      </w:r>
      <w:r>
        <w:rPr>
          <w:rFonts w:hint="eastAsia" w:ascii="宋体" w:hAnsi="宋体"/>
          <w:sz w:val="24"/>
        </w:rPr>
        <w:t>仲裁委员会依申请仲裁时其现行有效的仲裁规则裁决；</w:t>
      </w:r>
    </w:p>
    <w:p w14:paraId="39DE8702">
      <w:pPr>
        <w:spacing w:line="360" w:lineRule="auto"/>
        <w:ind w:firstLine="480" w:firstLineChars="200"/>
        <w:rPr>
          <w:rFonts w:ascii="宋体" w:hAnsi="宋体" w:cs="宋体"/>
          <w:sz w:val="24"/>
        </w:rPr>
      </w:pPr>
      <w:r>
        <w:rPr>
          <w:rFonts w:hint="eastAsia" w:ascii="宋体" w:hAnsi="宋体"/>
          <w:sz w:val="24"/>
        </w:rPr>
        <w:t>1.7.2 向</w:t>
      </w:r>
      <w:r>
        <w:rPr>
          <w:rFonts w:hint="eastAsia" w:ascii="宋体" w:hAnsi="宋体"/>
          <w:sz w:val="24"/>
          <w:u w:val="single"/>
        </w:rPr>
        <w:t xml:space="preserve">  合同签订地 </w:t>
      </w:r>
      <w:r>
        <w:rPr>
          <w:rFonts w:hint="eastAsia" w:ascii="宋体" w:hAnsi="宋体"/>
          <w:sz w:val="24"/>
        </w:rPr>
        <w:t>人民法院起诉。</w:t>
      </w:r>
    </w:p>
    <w:p w14:paraId="042EDE57">
      <w:pPr>
        <w:spacing w:line="360" w:lineRule="auto"/>
        <w:ind w:firstLine="482" w:firstLineChars="200"/>
        <w:outlineLvl w:val="0"/>
        <w:rPr>
          <w:rFonts w:ascii="宋体" w:hAnsi="宋体" w:cs="宋体"/>
          <w:b/>
          <w:sz w:val="24"/>
        </w:rPr>
      </w:pPr>
      <w:bookmarkStart w:id="54" w:name="_Toc15827"/>
      <w:bookmarkStart w:id="55" w:name="_Toc23784"/>
      <w:bookmarkStart w:id="56" w:name="_Toc16417"/>
      <w:bookmarkStart w:id="57" w:name="_Toc12273"/>
      <w:bookmarkStart w:id="58" w:name="_Toc26227"/>
      <w:r>
        <w:rPr>
          <w:rFonts w:hint="eastAsia" w:ascii="宋体" w:hAnsi="宋体" w:cs="宋体"/>
          <w:b/>
          <w:sz w:val="24"/>
        </w:rPr>
        <w:t>1.8 合同生效</w:t>
      </w:r>
      <w:bookmarkEnd w:id="54"/>
      <w:bookmarkEnd w:id="55"/>
      <w:bookmarkEnd w:id="56"/>
      <w:bookmarkEnd w:id="57"/>
      <w:bookmarkEnd w:id="58"/>
    </w:p>
    <w:p w14:paraId="015C22D9">
      <w:pPr>
        <w:spacing w:line="360" w:lineRule="auto"/>
        <w:ind w:firstLine="480" w:firstLineChars="200"/>
        <w:rPr>
          <w:rFonts w:ascii="宋体" w:hAnsi="宋体" w:cs="宋体"/>
          <w:sz w:val="24"/>
        </w:rPr>
      </w:pPr>
      <w:r>
        <w:rPr>
          <w:rFonts w:hint="eastAsia" w:ascii="宋体" w:hAnsi="宋体" w:cs="宋体"/>
          <w:sz w:val="24"/>
        </w:rPr>
        <w:t>本合同自双方签字盖章后生效。</w:t>
      </w:r>
    </w:p>
    <w:p w14:paraId="3598FB99">
      <w:pPr>
        <w:widowControl/>
        <w:spacing w:line="360" w:lineRule="auto"/>
        <w:jc w:val="left"/>
        <w:rPr>
          <w:rFonts w:ascii="宋体" w:hAnsi="宋体" w:cs="宋体"/>
          <w:b/>
          <w:sz w:val="24"/>
          <w:lang w:val="zh-CN"/>
        </w:rPr>
      </w:pPr>
    </w:p>
    <w:p w14:paraId="704CEB9A">
      <w:pPr>
        <w:autoSpaceDE w:val="0"/>
        <w:autoSpaceDN w:val="0"/>
        <w:adjustRightInd w:val="0"/>
        <w:spacing w:line="360" w:lineRule="auto"/>
        <w:ind w:firstLine="241" w:firstLineChars="100"/>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2CA9D6A3">
      <w:pPr>
        <w:autoSpaceDE w:val="0"/>
        <w:autoSpaceDN w:val="0"/>
        <w:adjustRightInd w:val="0"/>
        <w:spacing w:line="360" w:lineRule="auto"/>
        <w:rPr>
          <w:rFonts w:ascii="宋体" w:hAnsi="宋体" w:cs="宋体"/>
          <w:sz w:val="24"/>
          <w:lang w:val="zh-CN"/>
        </w:rPr>
      </w:pPr>
    </w:p>
    <w:p w14:paraId="13F5717A">
      <w:pPr>
        <w:autoSpaceDE w:val="0"/>
        <w:autoSpaceDN w:val="0"/>
        <w:adjustRightInd w:val="0"/>
        <w:spacing w:line="360" w:lineRule="auto"/>
        <w:ind w:firstLine="240" w:firstLineChars="100"/>
        <w:rPr>
          <w:rFonts w:ascii="宋体" w:hAnsi="宋体" w:cs="宋体"/>
          <w:sz w:val="24"/>
          <w:lang w:val="zh-CN"/>
        </w:rPr>
      </w:pPr>
      <w:r>
        <w:rPr>
          <w:rFonts w:hint="eastAsia" w:ascii="宋体" w:hAnsi="宋体" w:cs="宋体"/>
          <w:sz w:val="24"/>
          <w:lang w:val="zh-CN"/>
        </w:rPr>
        <w:t>住所：                                   住所：</w:t>
      </w:r>
    </w:p>
    <w:p w14:paraId="60FC0EAA">
      <w:pPr>
        <w:autoSpaceDE w:val="0"/>
        <w:autoSpaceDN w:val="0"/>
        <w:adjustRightInd w:val="0"/>
        <w:spacing w:line="360" w:lineRule="auto"/>
        <w:ind w:firstLine="240" w:firstLineChars="100"/>
        <w:rPr>
          <w:rFonts w:ascii="宋体" w:hAnsi="宋体" w:cs="宋体"/>
          <w:sz w:val="24"/>
          <w:lang w:val="zh-CN"/>
        </w:rPr>
      </w:pPr>
      <w:r>
        <w:rPr>
          <w:rFonts w:hint="eastAsia" w:ascii="宋体" w:hAnsi="宋体" w:cs="宋体"/>
          <w:sz w:val="24"/>
          <w:lang w:val="zh-CN"/>
        </w:rPr>
        <w:t>法定代表人或授权代表（签字）：           法定代表人或授权代表（签字）:</w:t>
      </w:r>
    </w:p>
    <w:p w14:paraId="2B97FE49">
      <w:pPr>
        <w:autoSpaceDE w:val="0"/>
        <w:autoSpaceDN w:val="0"/>
        <w:adjustRightInd w:val="0"/>
        <w:spacing w:line="360" w:lineRule="auto"/>
        <w:ind w:firstLine="240" w:firstLineChars="100"/>
        <w:rPr>
          <w:rFonts w:ascii="宋体" w:hAnsi="宋体" w:cs="宋体"/>
          <w:sz w:val="24"/>
          <w:lang w:val="zh-CN"/>
        </w:rPr>
      </w:pPr>
      <w:r>
        <w:rPr>
          <w:rFonts w:hint="eastAsia" w:ascii="宋体" w:hAnsi="宋体" w:cs="宋体"/>
          <w:sz w:val="24"/>
          <w:lang w:val="zh-CN"/>
        </w:rPr>
        <w:t>联系人：                                 联系人：</w:t>
      </w:r>
    </w:p>
    <w:p w14:paraId="695CAC64">
      <w:pPr>
        <w:autoSpaceDE w:val="0"/>
        <w:autoSpaceDN w:val="0"/>
        <w:adjustRightInd w:val="0"/>
        <w:spacing w:line="360" w:lineRule="auto"/>
        <w:ind w:firstLine="240" w:firstLineChars="100"/>
        <w:rPr>
          <w:rFonts w:ascii="宋体" w:hAnsi="宋体" w:cs="宋体"/>
          <w:sz w:val="24"/>
          <w:lang w:val="zh-CN"/>
        </w:rPr>
      </w:pPr>
      <w:r>
        <w:rPr>
          <w:rFonts w:hint="eastAsia" w:ascii="宋体" w:hAnsi="宋体" w:cs="宋体"/>
          <w:sz w:val="24"/>
          <w:lang w:val="zh-CN"/>
        </w:rPr>
        <w:t>约定送达地址：                           约定送达地址：</w:t>
      </w:r>
    </w:p>
    <w:p w14:paraId="20BC880A">
      <w:pPr>
        <w:autoSpaceDE w:val="0"/>
        <w:autoSpaceDN w:val="0"/>
        <w:adjustRightInd w:val="0"/>
        <w:spacing w:line="360" w:lineRule="auto"/>
        <w:ind w:firstLine="240" w:firstLineChars="100"/>
        <w:rPr>
          <w:rFonts w:ascii="宋体" w:hAnsi="宋体" w:cs="宋体"/>
          <w:sz w:val="24"/>
          <w:lang w:val="zh-CN"/>
        </w:rPr>
      </w:pPr>
      <w:r>
        <w:rPr>
          <w:rFonts w:hint="eastAsia" w:ascii="宋体" w:hAnsi="宋体" w:cs="宋体"/>
          <w:sz w:val="24"/>
          <w:lang w:val="zh-CN"/>
        </w:rPr>
        <w:t>邮政编码：                               邮政编码：</w:t>
      </w:r>
    </w:p>
    <w:p w14:paraId="53E7BD1B">
      <w:pPr>
        <w:autoSpaceDE w:val="0"/>
        <w:autoSpaceDN w:val="0"/>
        <w:adjustRightInd w:val="0"/>
        <w:spacing w:line="360" w:lineRule="auto"/>
        <w:ind w:firstLine="240" w:firstLineChars="100"/>
        <w:rPr>
          <w:rFonts w:ascii="宋体" w:hAnsi="宋体" w:cs="宋体"/>
          <w:sz w:val="24"/>
          <w:lang w:val="zh-CN"/>
        </w:rPr>
      </w:pPr>
      <w:r>
        <w:rPr>
          <w:rFonts w:hint="eastAsia" w:ascii="宋体" w:hAnsi="宋体" w:cs="宋体"/>
          <w:sz w:val="24"/>
          <w:lang w:val="zh-CN"/>
        </w:rPr>
        <w:t xml:space="preserve">电话:                                    电话: </w:t>
      </w:r>
    </w:p>
    <w:p w14:paraId="7653FC6F">
      <w:pPr>
        <w:autoSpaceDE w:val="0"/>
        <w:autoSpaceDN w:val="0"/>
        <w:adjustRightInd w:val="0"/>
        <w:spacing w:line="360" w:lineRule="auto"/>
        <w:ind w:firstLine="240" w:firstLineChars="100"/>
        <w:rPr>
          <w:rFonts w:ascii="宋体" w:hAnsi="宋体" w:cs="宋体"/>
          <w:sz w:val="24"/>
          <w:lang w:val="zh-CN"/>
        </w:rPr>
      </w:pPr>
      <w:r>
        <w:rPr>
          <w:rFonts w:hint="eastAsia" w:ascii="宋体" w:hAnsi="宋体" w:cs="宋体"/>
          <w:sz w:val="24"/>
          <w:lang w:val="zh-CN"/>
        </w:rPr>
        <w:t>传真:                                    传真:</w:t>
      </w:r>
    </w:p>
    <w:p w14:paraId="33E26612">
      <w:pPr>
        <w:autoSpaceDE w:val="0"/>
        <w:autoSpaceDN w:val="0"/>
        <w:adjustRightInd w:val="0"/>
        <w:spacing w:line="360" w:lineRule="auto"/>
        <w:ind w:firstLine="240" w:firstLineChars="100"/>
        <w:rPr>
          <w:rFonts w:ascii="宋体" w:hAnsi="宋体" w:cs="宋体"/>
          <w:sz w:val="24"/>
        </w:rPr>
      </w:pPr>
      <w:r>
        <w:rPr>
          <w:rFonts w:hint="eastAsia" w:ascii="宋体" w:hAnsi="宋体" w:cs="宋体"/>
          <w:sz w:val="24"/>
          <w:lang w:val="zh-CN"/>
        </w:rPr>
        <w:t>电子邮箱：                               电子邮箱：</w:t>
      </w:r>
    </w:p>
    <w:p w14:paraId="77754E55">
      <w:pPr>
        <w:autoSpaceDE w:val="0"/>
        <w:autoSpaceDN w:val="0"/>
        <w:adjustRightInd w:val="0"/>
        <w:spacing w:line="360" w:lineRule="auto"/>
        <w:ind w:firstLine="240" w:firstLineChars="100"/>
        <w:rPr>
          <w:rFonts w:ascii="宋体" w:hAnsi="宋体" w:cs="宋体"/>
          <w:sz w:val="24"/>
        </w:rPr>
      </w:pPr>
      <w:r>
        <w:rPr>
          <w:rFonts w:hint="eastAsia" w:ascii="宋体" w:hAnsi="宋体" w:cs="宋体"/>
          <w:sz w:val="24"/>
        </w:rPr>
        <w:t xml:space="preserve">开户银行：                               开户银行： </w:t>
      </w:r>
    </w:p>
    <w:p w14:paraId="28E81EEB">
      <w:pPr>
        <w:autoSpaceDE w:val="0"/>
        <w:autoSpaceDN w:val="0"/>
        <w:adjustRightInd w:val="0"/>
        <w:spacing w:line="360" w:lineRule="auto"/>
        <w:ind w:firstLine="240" w:firstLineChars="100"/>
        <w:rPr>
          <w:rFonts w:ascii="宋体" w:hAnsi="宋体" w:cs="宋体"/>
          <w:sz w:val="24"/>
        </w:rPr>
      </w:pPr>
      <w:r>
        <w:rPr>
          <w:rFonts w:hint="eastAsia" w:ascii="宋体" w:hAnsi="宋体" w:cs="宋体"/>
          <w:sz w:val="24"/>
        </w:rPr>
        <w:t xml:space="preserve">开户名称：                               开户名称： </w:t>
      </w:r>
    </w:p>
    <w:p w14:paraId="39FAD968">
      <w:pPr>
        <w:autoSpaceDE w:val="0"/>
        <w:autoSpaceDN w:val="0"/>
        <w:adjustRightInd w:val="0"/>
        <w:spacing w:line="360" w:lineRule="auto"/>
        <w:ind w:firstLine="240" w:firstLineChars="100"/>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7310B8E8">
      <w:pPr>
        <w:autoSpaceDE w:val="0"/>
        <w:autoSpaceDN w:val="0"/>
        <w:adjustRightInd w:val="0"/>
        <w:spacing w:line="360" w:lineRule="auto"/>
        <w:ind w:firstLine="200"/>
        <w:jc w:val="center"/>
        <w:rPr>
          <w:rFonts w:ascii="Times New Roman" w:hAnsi="宋体" w:cs="宋体"/>
          <w:b/>
          <w:sz w:val="28"/>
          <w:szCs w:val="28"/>
        </w:rPr>
      </w:pPr>
      <w:bookmarkStart w:id="59" w:name="_Toc331685783"/>
      <w:r>
        <w:rPr>
          <w:rFonts w:hint="eastAsia" w:ascii="宋体" w:hAnsi="宋体" w:cs="宋体"/>
          <w:b/>
          <w:sz w:val="24"/>
        </w:rPr>
        <w:br w:type="page"/>
      </w:r>
      <w:r>
        <w:rPr>
          <w:rFonts w:hint="eastAsia" w:ascii="Times New Roman" w:hAnsi="宋体" w:cs="宋体"/>
          <w:b/>
          <w:sz w:val="28"/>
          <w:szCs w:val="28"/>
        </w:rPr>
        <w:t>第二部分 合同一般条款</w:t>
      </w:r>
      <w:bookmarkEnd w:id="59"/>
    </w:p>
    <w:p w14:paraId="531479E4">
      <w:pPr>
        <w:snapToGrid w:val="0"/>
        <w:spacing w:line="360" w:lineRule="auto"/>
        <w:ind w:firstLine="482" w:firstLineChars="200"/>
        <w:outlineLvl w:val="0"/>
        <w:rPr>
          <w:rFonts w:ascii="宋体" w:hAnsi="宋体" w:cs="宋体"/>
          <w:b/>
          <w:sz w:val="24"/>
        </w:rPr>
      </w:pPr>
      <w:bookmarkStart w:id="60" w:name="_Ref467379101"/>
      <w:bookmarkStart w:id="61" w:name="_Ref467379225"/>
      <w:bookmarkStart w:id="62" w:name="_Toc31297"/>
      <w:bookmarkStart w:id="63" w:name="_Ref467379094"/>
      <w:bookmarkStart w:id="64" w:name="_Ref467378463"/>
      <w:bookmarkStart w:id="65" w:name="_Toc5228"/>
      <w:bookmarkStart w:id="66" w:name="_Toc14021"/>
      <w:bookmarkStart w:id="67" w:name="_Toc25079"/>
      <w:bookmarkStart w:id="68" w:name="_Toc19680"/>
      <w:bookmarkStart w:id="69" w:name="_Ref467378404"/>
      <w:bookmarkStart w:id="70" w:name="_Toc487900349"/>
      <w:bookmarkStart w:id="71" w:name="_Toc259093669"/>
      <w:bookmarkStart w:id="72" w:name="_Ref467379195"/>
      <w:bookmarkStart w:id="73" w:name="_Ref467379109"/>
      <w:bookmarkStart w:id="74" w:name="_Ref467378499"/>
      <w:bookmarkStart w:id="75" w:name="_Toc279701240"/>
      <w:bookmarkStart w:id="76" w:name="_Ref467379214"/>
      <w:bookmarkStart w:id="77" w:name="_Ref467379205"/>
      <w:r>
        <w:rPr>
          <w:rFonts w:hint="eastAsia" w:ascii="宋体" w:hAnsi="宋体" w:cs="宋体"/>
          <w:b/>
          <w:sz w:val="24"/>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5445609">
      <w:pPr>
        <w:snapToGrid w:val="0"/>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6EBEC448">
      <w:pPr>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.1</w:t>
      </w:r>
      <w:r>
        <w:rPr>
          <w:rFonts w:ascii="宋体" w:hAnsi="宋体" w:cs="宋体"/>
          <w:sz w:val="24"/>
        </w:rPr>
        <w:t xml:space="preserve"> “合同”系指采购人和中标</w:t>
      </w:r>
      <w:r>
        <w:rPr>
          <w:rFonts w:hint="eastAsia" w:ascii="宋体" w:hAnsi="宋体" w:cs="宋体"/>
          <w:sz w:val="24"/>
        </w:rPr>
        <w:t>（成交）</w:t>
      </w:r>
      <w:r>
        <w:rPr>
          <w:rFonts w:ascii="宋体" w:hAnsi="宋体" w:cs="宋体"/>
          <w:sz w:val="24"/>
        </w:rPr>
        <w:t>供应商签订的载明双方当事人所达成的协议，并包括所有的附件、附录和构成合同的其他文件。</w:t>
      </w:r>
    </w:p>
    <w:p w14:paraId="6EDB033E">
      <w:pPr>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1.2 “合同价”系指根据合同约定，中标</w:t>
      </w:r>
      <w:r>
        <w:rPr>
          <w:rFonts w:hint="eastAsia" w:ascii="宋体" w:hAnsi="宋体" w:cs="宋体"/>
          <w:sz w:val="24"/>
        </w:rPr>
        <w:t>（成交）</w:t>
      </w:r>
      <w:r>
        <w:rPr>
          <w:rFonts w:ascii="宋体" w:hAnsi="宋体" w:cs="宋体"/>
          <w:sz w:val="24"/>
        </w:rPr>
        <w:t>供应商在完全履行合同义务后</w:t>
      </w:r>
      <w:r>
        <w:rPr>
          <w:rFonts w:hint="eastAsia" w:ascii="宋体" w:hAnsi="宋体" w:cs="宋体"/>
          <w:sz w:val="24"/>
        </w:rPr>
        <w:t>，</w:t>
      </w:r>
      <w:r>
        <w:rPr>
          <w:rFonts w:ascii="宋体" w:hAnsi="宋体" w:cs="宋体"/>
          <w:sz w:val="24"/>
        </w:rPr>
        <w:t>采购人应支付给中标</w:t>
      </w:r>
      <w:r>
        <w:rPr>
          <w:rFonts w:hint="eastAsia" w:ascii="宋体" w:hAnsi="宋体" w:cs="宋体"/>
          <w:sz w:val="24"/>
        </w:rPr>
        <w:t>（成交）</w:t>
      </w:r>
      <w:r>
        <w:rPr>
          <w:rFonts w:ascii="宋体" w:hAnsi="宋体" w:cs="宋体"/>
          <w:sz w:val="24"/>
        </w:rPr>
        <w:t>供应商的价格。</w:t>
      </w:r>
    </w:p>
    <w:p w14:paraId="6522C171">
      <w:pPr>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1.3 “</w:t>
      </w:r>
      <w:r>
        <w:rPr>
          <w:rFonts w:hint="eastAsia" w:ascii="宋体" w:hAnsi="宋体" w:cs="宋体"/>
          <w:sz w:val="24"/>
        </w:rPr>
        <w:t>服务</w:t>
      </w:r>
      <w:r>
        <w:rPr>
          <w:rFonts w:ascii="宋体" w:hAnsi="宋体" w:cs="宋体"/>
          <w:sz w:val="24"/>
        </w:rPr>
        <w:t>”系指</w:t>
      </w:r>
      <w:r>
        <w:rPr>
          <w:rFonts w:hint="eastAsia" w:ascii="宋体" w:hAnsi="宋体" w:cs="宋体"/>
          <w:sz w:val="24"/>
        </w:rPr>
        <w:t>中标（成交）供应商</w:t>
      </w:r>
      <w:r>
        <w:rPr>
          <w:rFonts w:ascii="宋体" w:hAnsi="宋体" w:cs="宋体"/>
          <w:sz w:val="24"/>
        </w:rPr>
        <w:t>根据合同约定应向采购人</w:t>
      </w:r>
      <w:r>
        <w:rPr>
          <w:rFonts w:hint="eastAsia" w:ascii="宋体" w:hAnsi="宋体" w:cs="宋体"/>
          <w:sz w:val="24"/>
        </w:rPr>
        <w:t>履行</w:t>
      </w:r>
      <w:r>
        <w:rPr>
          <w:rFonts w:ascii="宋体" w:hAnsi="宋体" w:cs="宋体"/>
          <w:sz w:val="24"/>
        </w:rPr>
        <w:t>的</w:t>
      </w:r>
      <w:r>
        <w:rPr>
          <w:rFonts w:hint="eastAsia" w:ascii="宋体" w:hAnsi="宋体" w:cs="宋体"/>
          <w:sz w:val="24"/>
        </w:rPr>
        <w:t>除货物和工程以外的其他政府采购对象，包括采购人自身需要的服务和向社会公众提供的公共服务。</w:t>
      </w:r>
    </w:p>
    <w:p w14:paraId="04E2715B">
      <w:pPr>
        <w:snapToGrid w:val="0"/>
        <w:spacing w:line="360" w:lineRule="auto"/>
        <w:ind w:firstLine="480" w:firstLineChars="200"/>
        <w:rPr>
          <w:rFonts w:ascii="宋体" w:hAnsi="宋体" w:cs="宋体"/>
          <w:sz w:val="24"/>
        </w:rPr>
      </w:pPr>
      <w:bookmarkStart w:id="78" w:name="_Ref467378840"/>
      <w:r>
        <w:rPr>
          <w:rFonts w:hint="eastAsia" w:ascii="宋体" w:hAnsi="宋体" w:cs="宋体"/>
          <w:sz w:val="24"/>
        </w:rPr>
        <w:t>2.</w:t>
      </w:r>
      <w:r>
        <w:rPr>
          <w:rFonts w:ascii="宋体" w:hAnsi="宋体" w:cs="宋体"/>
          <w:sz w:val="24"/>
        </w:rPr>
        <w:t>1.</w:t>
      </w:r>
      <w:r>
        <w:rPr>
          <w:rFonts w:hint="eastAsia" w:ascii="宋体" w:hAnsi="宋体" w:cs="宋体"/>
          <w:sz w:val="24"/>
        </w:rPr>
        <w:t>4</w:t>
      </w:r>
      <w:r>
        <w:rPr>
          <w:rFonts w:ascii="宋体" w:hAnsi="宋体" w:cs="宋体"/>
          <w:sz w:val="24"/>
        </w:rPr>
        <w:t xml:space="preserve"> “</w:t>
      </w:r>
      <w:r>
        <w:rPr>
          <w:rFonts w:hint="eastAsia" w:ascii="宋体" w:hAnsi="宋体" w:cs="宋体"/>
          <w:sz w:val="24"/>
        </w:rPr>
        <w:t>甲方</w:t>
      </w:r>
      <w:r>
        <w:rPr>
          <w:rFonts w:ascii="宋体" w:hAnsi="宋体" w:cs="宋体"/>
          <w:sz w:val="24"/>
        </w:rPr>
        <w:t>”系指与</w:t>
      </w:r>
      <w:r>
        <w:rPr>
          <w:rFonts w:hint="eastAsia" w:ascii="宋体" w:hAnsi="宋体" w:cs="宋体"/>
          <w:sz w:val="24"/>
        </w:rPr>
        <w:t>中标（成交）供应商</w:t>
      </w:r>
      <w:r>
        <w:rPr>
          <w:rFonts w:ascii="宋体" w:hAnsi="宋体" w:cs="宋体"/>
          <w:sz w:val="24"/>
        </w:rPr>
        <w:t>签署合同的采购人</w:t>
      </w:r>
      <w:bookmarkEnd w:id="78"/>
      <w:r>
        <w:rPr>
          <w:rFonts w:hint="eastAsia" w:ascii="宋体" w:hAnsi="宋体" w:cs="宋体"/>
          <w:sz w:val="24"/>
        </w:rPr>
        <w:t>；采购人委托采购代理机构代表其与乙方签订合同的，采购人的授权委托书作为合同附件。</w:t>
      </w:r>
    </w:p>
    <w:p w14:paraId="5B1E3E38">
      <w:pPr>
        <w:snapToGrid w:val="0"/>
        <w:spacing w:line="360" w:lineRule="auto"/>
        <w:ind w:firstLine="480" w:firstLineChars="200"/>
        <w:rPr>
          <w:rFonts w:ascii="宋体" w:hAnsi="宋体" w:cs="宋体"/>
          <w:sz w:val="24"/>
        </w:rPr>
      </w:pPr>
      <w:bookmarkStart w:id="79" w:name="_Ref467379400"/>
      <w:r>
        <w:rPr>
          <w:rFonts w:hint="eastAsia" w:ascii="宋体" w:hAnsi="宋体" w:cs="宋体"/>
          <w:sz w:val="24"/>
        </w:rPr>
        <w:t>2.</w:t>
      </w:r>
      <w:r>
        <w:rPr>
          <w:rFonts w:ascii="宋体" w:hAnsi="宋体" w:cs="宋体"/>
          <w:sz w:val="24"/>
        </w:rPr>
        <w:t>1.</w:t>
      </w:r>
      <w:r>
        <w:rPr>
          <w:rFonts w:hint="eastAsia" w:ascii="宋体" w:hAnsi="宋体" w:cs="宋体"/>
          <w:sz w:val="24"/>
        </w:rPr>
        <w:t>5</w:t>
      </w:r>
      <w:r>
        <w:rPr>
          <w:rFonts w:ascii="宋体" w:hAnsi="宋体" w:cs="宋体"/>
          <w:sz w:val="24"/>
        </w:rPr>
        <w:t xml:space="preserve"> “乙方”系指根据合同约定提供服务的中标</w:t>
      </w:r>
      <w:r>
        <w:rPr>
          <w:rFonts w:hint="eastAsia" w:ascii="宋体" w:hAnsi="宋体" w:cs="宋体"/>
          <w:sz w:val="24"/>
        </w:rPr>
        <w:t>（成交）</w:t>
      </w:r>
      <w:r>
        <w:rPr>
          <w:rFonts w:ascii="宋体" w:hAnsi="宋体" w:cs="宋体"/>
          <w:sz w:val="24"/>
        </w:rPr>
        <w:t>供应商</w:t>
      </w:r>
      <w:bookmarkEnd w:id="79"/>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6366478">
      <w:pPr>
        <w:snapToGrid w:val="0"/>
        <w:spacing w:line="360" w:lineRule="auto"/>
        <w:ind w:firstLine="480" w:firstLineChars="200"/>
        <w:rPr>
          <w:rFonts w:ascii="宋体" w:hAnsi="宋体" w:cs="宋体"/>
          <w:sz w:val="24"/>
        </w:rPr>
      </w:pPr>
      <w:bookmarkStart w:id="80" w:name="_Ref467379436"/>
      <w:r>
        <w:rPr>
          <w:rFonts w:hint="eastAsia" w:ascii="宋体" w:hAnsi="宋体" w:cs="宋体"/>
          <w:sz w:val="24"/>
        </w:rPr>
        <w:t>2.</w:t>
      </w:r>
      <w:r>
        <w:rPr>
          <w:rFonts w:ascii="宋体" w:hAnsi="宋体" w:cs="宋体"/>
          <w:sz w:val="24"/>
        </w:rPr>
        <w:t>1.</w:t>
      </w:r>
      <w:r>
        <w:rPr>
          <w:rFonts w:hint="eastAsia" w:ascii="宋体" w:hAnsi="宋体" w:cs="宋体"/>
          <w:sz w:val="24"/>
        </w:rPr>
        <w:t>6</w:t>
      </w:r>
      <w:r>
        <w:rPr>
          <w:rFonts w:ascii="宋体" w:hAnsi="宋体" w:cs="宋体"/>
          <w:sz w:val="24"/>
        </w:rPr>
        <w:t xml:space="preserve"> “现场”系指合同约定提供服务的地点。</w:t>
      </w:r>
      <w:bookmarkEnd w:id="80"/>
    </w:p>
    <w:p w14:paraId="65ED6725">
      <w:pPr>
        <w:snapToGrid w:val="0"/>
        <w:spacing w:line="360" w:lineRule="auto"/>
        <w:ind w:firstLine="482" w:firstLineChars="200"/>
        <w:outlineLvl w:val="0"/>
        <w:rPr>
          <w:rFonts w:ascii="宋体" w:hAnsi="宋体" w:cs="宋体"/>
          <w:b/>
          <w:sz w:val="24"/>
        </w:rPr>
      </w:pPr>
      <w:bookmarkStart w:id="81" w:name="_Toc31402"/>
      <w:bookmarkStart w:id="82" w:name="_Toc16752"/>
      <w:bookmarkStart w:id="83" w:name="_Toc23289"/>
      <w:bookmarkStart w:id="84" w:name="_Toc19539"/>
      <w:bookmarkStart w:id="85" w:name="_Toc487900350"/>
      <w:bookmarkStart w:id="86" w:name="_Toc279701241"/>
      <w:bookmarkStart w:id="87" w:name="_Toc259093670"/>
      <w:bookmarkStart w:id="88" w:name="_Toc3769"/>
      <w:r>
        <w:rPr>
          <w:rFonts w:hint="eastAsia" w:ascii="宋体" w:hAnsi="宋体" w:cs="宋体"/>
          <w:b/>
          <w:sz w:val="24"/>
        </w:rPr>
        <w:t>2.2 技术规范</w:t>
      </w:r>
      <w:bookmarkEnd w:id="81"/>
      <w:bookmarkEnd w:id="82"/>
      <w:bookmarkEnd w:id="83"/>
      <w:bookmarkEnd w:id="84"/>
      <w:bookmarkEnd w:id="85"/>
      <w:bookmarkEnd w:id="86"/>
      <w:bookmarkEnd w:id="87"/>
      <w:bookmarkEnd w:id="88"/>
    </w:p>
    <w:p w14:paraId="22FF156E">
      <w:pPr>
        <w:snapToGrid w:val="0"/>
        <w:spacing w:line="360" w:lineRule="auto"/>
        <w:ind w:firstLine="480" w:firstLineChars="200"/>
        <w:rPr>
          <w:rFonts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CEEAFA3">
      <w:pPr>
        <w:snapToGrid w:val="0"/>
        <w:spacing w:line="360" w:lineRule="auto"/>
        <w:ind w:firstLine="482" w:firstLineChars="200"/>
        <w:outlineLvl w:val="0"/>
        <w:rPr>
          <w:rFonts w:ascii="宋体" w:hAnsi="宋体" w:cs="宋体"/>
          <w:b/>
          <w:sz w:val="24"/>
        </w:rPr>
      </w:pPr>
      <w:bookmarkStart w:id="89" w:name="_Toc13673"/>
      <w:bookmarkStart w:id="90" w:name="_Toc12412"/>
      <w:bookmarkStart w:id="91" w:name="_Toc9161"/>
      <w:bookmarkStart w:id="92" w:name="_Toc259093671"/>
      <w:bookmarkStart w:id="93" w:name="_Toc4133"/>
      <w:bookmarkStart w:id="94" w:name="_Toc279701242"/>
      <w:bookmarkStart w:id="95" w:name="_Toc27945"/>
      <w:bookmarkStart w:id="96" w:name="_Toc487900351"/>
      <w:r>
        <w:rPr>
          <w:rFonts w:hint="eastAsia" w:ascii="宋体" w:hAnsi="宋体" w:cs="宋体"/>
          <w:b/>
          <w:sz w:val="24"/>
        </w:rPr>
        <w:t>2.3 知识产权</w:t>
      </w:r>
      <w:bookmarkEnd w:id="89"/>
      <w:bookmarkEnd w:id="90"/>
      <w:bookmarkEnd w:id="91"/>
      <w:bookmarkEnd w:id="92"/>
      <w:bookmarkEnd w:id="93"/>
      <w:bookmarkEnd w:id="94"/>
      <w:bookmarkEnd w:id="95"/>
      <w:bookmarkEnd w:id="96"/>
    </w:p>
    <w:p w14:paraId="476557BE">
      <w:pPr>
        <w:snapToGrid w:val="0"/>
        <w:spacing w:line="360" w:lineRule="auto"/>
        <w:ind w:firstLine="480" w:firstLineChars="200"/>
        <w:rPr>
          <w:rFonts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1A7CB066">
      <w:pPr>
        <w:snapToGrid w:val="0"/>
        <w:spacing w:line="360" w:lineRule="auto"/>
        <w:ind w:firstLine="480" w:firstLineChars="200"/>
        <w:rPr>
          <w:rFonts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iCs/>
          <w:sz w:val="24"/>
          <w:u w:val="single"/>
        </w:rPr>
        <w:t>合同专用条款</w:t>
      </w:r>
      <w:r>
        <w:rPr>
          <w:rFonts w:hint="eastAsia" w:ascii="宋体" w:hAnsi="宋体" w:cs="宋体"/>
          <w:sz w:val="24"/>
        </w:rPr>
        <w:t>。</w:t>
      </w:r>
    </w:p>
    <w:p w14:paraId="6149B8DE">
      <w:pPr>
        <w:snapToGrid w:val="0"/>
        <w:spacing w:line="360" w:lineRule="auto"/>
        <w:ind w:firstLine="482" w:firstLineChars="200"/>
        <w:rPr>
          <w:rFonts w:ascii="宋体" w:hAnsi="宋体" w:cs="宋体"/>
          <w:b/>
          <w:sz w:val="24"/>
        </w:rPr>
      </w:pPr>
      <w:r>
        <w:rPr>
          <w:rFonts w:hint="eastAsia" w:ascii="宋体" w:hAnsi="宋体" w:cs="宋体"/>
          <w:b/>
          <w:sz w:val="24"/>
        </w:rPr>
        <w:t>2.4 履约检查和问题反馈</w:t>
      </w:r>
    </w:p>
    <w:p w14:paraId="42B54559">
      <w:pPr>
        <w:snapToGrid w:val="0"/>
        <w:spacing w:line="360" w:lineRule="auto"/>
        <w:ind w:firstLine="480" w:firstLineChars="200"/>
        <w:rPr>
          <w:rFonts w:ascii="宋体" w:hAnsi="宋体" w:cs="宋体"/>
          <w:sz w:val="24"/>
        </w:rPr>
      </w:pPr>
      <w:bookmarkStart w:id="97" w:name="_Ref467379657"/>
      <w:r>
        <w:rPr>
          <w:rFonts w:hint="eastAsia" w:ascii="宋体" w:hAnsi="宋体" w:cs="宋体"/>
          <w:sz w:val="24"/>
        </w:rPr>
        <w:t>2.4.1</w:t>
      </w:r>
      <w:bookmarkEnd w:id="97"/>
      <w:bookmarkStart w:id="98" w:name="_Toc186431854"/>
      <w:bookmarkStart w:id="99" w:name="_Ref467379793"/>
      <w:bookmarkStart w:id="100" w:name="_Toc259093676"/>
      <w:bookmarkStart w:id="101" w:name="_Toc487900357"/>
      <w:bookmarkStart w:id="102" w:name="_Toc279701247"/>
      <w:bookmarkStart w:id="103" w:name="_Ref467379807"/>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1C4315CE">
      <w:pPr>
        <w:snapToGrid w:val="0"/>
        <w:spacing w:line="360" w:lineRule="auto"/>
        <w:ind w:firstLine="480" w:firstLineChars="200"/>
        <w:rPr>
          <w:rFonts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98"/>
      <w:bookmarkStart w:id="104" w:name="_Toc186431855"/>
      <w:r>
        <w:rPr>
          <w:rFonts w:hint="eastAsia" w:ascii="宋体" w:hAnsi="宋体" w:cs="宋体"/>
          <w:sz w:val="24"/>
        </w:rPr>
        <w:t>。</w:t>
      </w:r>
      <w:bookmarkEnd w:id="104"/>
      <w:bookmarkStart w:id="105" w:name="_Toc22011"/>
      <w:bookmarkStart w:id="106" w:name="_Toc31233"/>
      <w:bookmarkStart w:id="107" w:name="_Toc32670"/>
      <w:bookmarkStart w:id="108" w:name="_Toc26555"/>
      <w:bookmarkStart w:id="109" w:name="_Toc15447"/>
    </w:p>
    <w:p w14:paraId="2EE854DE">
      <w:pPr>
        <w:snapToGrid w:val="0"/>
        <w:spacing w:line="360" w:lineRule="auto"/>
        <w:ind w:firstLine="482" w:firstLineChars="200"/>
        <w:outlineLvl w:val="0"/>
        <w:rPr>
          <w:rFonts w:ascii="宋体" w:hAnsi="宋体" w:cs="宋体"/>
          <w:b/>
          <w:sz w:val="24"/>
        </w:rPr>
      </w:pPr>
      <w:r>
        <w:rPr>
          <w:rFonts w:hint="eastAsia" w:ascii="宋体" w:hAnsi="宋体" w:cs="宋体"/>
          <w:b/>
          <w:sz w:val="24"/>
        </w:rPr>
        <w:t>2.5 结算方式和付款条件</w:t>
      </w:r>
      <w:bookmarkEnd w:id="99"/>
      <w:bookmarkEnd w:id="100"/>
      <w:bookmarkEnd w:id="101"/>
      <w:bookmarkEnd w:id="102"/>
      <w:bookmarkEnd w:id="103"/>
      <w:bookmarkEnd w:id="105"/>
      <w:bookmarkEnd w:id="106"/>
      <w:bookmarkEnd w:id="107"/>
      <w:bookmarkEnd w:id="108"/>
      <w:bookmarkEnd w:id="109"/>
    </w:p>
    <w:p w14:paraId="3E905E32">
      <w:pPr>
        <w:snapToGrid w:val="0"/>
        <w:spacing w:line="360" w:lineRule="auto"/>
        <w:ind w:firstLine="480" w:firstLineChars="200"/>
        <w:rPr>
          <w:rFonts w:ascii="宋体" w:hAnsi="宋体" w:cs="宋体"/>
          <w:sz w:val="24"/>
        </w:rPr>
      </w:pPr>
      <w:r>
        <w:rPr>
          <w:rFonts w:hint="eastAsia" w:ascii="宋体" w:hAnsi="宋体" w:cs="宋体"/>
          <w:sz w:val="24"/>
        </w:rPr>
        <w:t>详见</w:t>
      </w:r>
      <w:r>
        <w:rPr>
          <w:rFonts w:hint="eastAsia" w:ascii="宋体" w:hAnsi="宋体" w:cs="宋体"/>
          <w:b/>
          <w:iCs/>
          <w:sz w:val="24"/>
          <w:u w:val="single"/>
        </w:rPr>
        <w:t>合同专用条款</w:t>
      </w:r>
      <w:r>
        <w:rPr>
          <w:rFonts w:hint="eastAsia" w:ascii="宋体" w:hAnsi="宋体" w:cs="宋体"/>
          <w:sz w:val="24"/>
        </w:rPr>
        <w:t>。</w:t>
      </w:r>
    </w:p>
    <w:p w14:paraId="1433DD5E">
      <w:pPr>
        <w:snapToGrid w:val="0"/>
        <w:spacing w:line="360" w:lineRule="auto"/>
        <w:ind w:firstLine="482" w:firstLineChars="200"/>
        <w:outlineLvl w:val="0"/>
        <w:rPr>
          <w:rFonts w:ascii="宋体" w:hAnsi="宋体" w:cs="宋体"/>
          <w:b/>
          <w:sz w:val="24"/>
        </w:rPr>
      </w:pPr>
      <w:bookmarkStart w:id="110" w:name="_Toc259093677"/>
      <w:bookmarkStart w:id="111" w:name="_Ref467379852"/>
      <w:bookmarkStart w:id="112" w:name="_Ref467379863"/>
      <w:bookmarkStart w:id="113" w:name="_Ref467379923"/>
      <w:bookmarkStart w:id="114" w:name="_Toc279701248"/>
      <w:bookmarkStart w:id="115" w:name="_Toc487900358"/>
      <w:bookmarkStart w:id="116" w:name="_Toc30507"/>
      <w:bookmarkStart w:id="117" w:name="_Toc13467"/>
      <w:bookmarkStart w:id="118" w:name="_Toc18990"/>
      <w:bookmarkStart w:id="119" w:name="_Toc13154"/>
      <w:bookmarkStart w:id="120" w:name="_Toc16163"/>
      <w:r>
        <w:rPr>
          <w:rFonts w:hint="eastAsia" w:ascii="宋体" w:hAnsi="宋体" w:cs="宋体"/>
          <w:b/>
          <w:sz w:val="24"/>
        </w:rPr>
        <w:t>2.6 技术资料</w:t>
      </w:r>
      <w:bookmarkEnd w:id="110"/>
      <w:bookmarkEnd w:id="111"/>
      <w:bookmarkEnd w:id="112"/>
      <w:bookmarkEnd w:id="113"/>
      <w:bookmarkEnd w:id="114"/>
      <w:bookmarkEnd w:id="115"/>
      <w:r>
        <w:rPr>
          <w:rFonts w:hint="eastAsia" w:ascii="宋体" w:hAnsi="宋体" w:cs="宋体"/>
          <w:b/>
          <w:sz w:val="24"/>
        </w:rPr>
        <w:t>和保密义务</w:t>
      </w:r>
      <w:bookmarkEnd w:id="116"/>
      <w:bookmarkEnd w:id="117"/>
      <w:bookmarkEnd w:id="118"/>
      <w:bookmarkEnd w:id="119"/>
      <w:bookmarkEnd w:id="120"/>
    </w:p>
    <w:p w14:paraId="15E22E9D">
      <w:pPr>
        <w:snapToGrid w:val="0"/>
        <w:spacing w:line="360" w:lineRule="auto"/>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14:paraId="444B1460">
      <w:pPr>
        <w:snapToGrid w:val="0"/>
        <w:spacing w:line="360" w:lineRule="auto"/>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14:paraId="688D11AF">
      <w:pPr>
        <w:snapToGrid w:val="0"/>
        <w:spacing w:line="360" w:lineRule="auto"/>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490C78B">
      <w:pPr>
        <w:snapToGrid w:val="0"/>
        <w:spacing w:line="360" w:lineRule="auto"/>
        <w:ind w:firstLine="482" w:firstLineChars="200"/>
        <w:outlineLvl w:val="0"/>
        <w:rPr>
          <w:rFonts w:ascii="宋体" w:hAnsi="宋体" w:cs="宋体"/>
          <w:b/>
          <w:sz w:val="24"/>
        </w:rPr>
      </w:pPr>
      <w:bookmarkStart w:id="121" w:name="_Toc19069"/>
      <w:bookmarkStart w:id="122" w:name="_Toc279701252"/>
      <w:bookmarkStart w:id="123" w:name="_Toc487900362"/>
      <w:bookmarkStart w:id="124" w:name="_Toc259093681"/>
      <w:r>
        <w:rPr>
          <w:rFonts w:hint="eastAsia" w:ascii="宋体" w:hAnsi="宋体" w:cs="宋体"/>
          <w:b/>
          <w:sz w:val="24"/>
        </w:rPr>
        <w:t>2.7 质量保证</w:t>
      </w:r>
      <w:bookmarkEnd w:id="121"/>
    </w:p>
    <w:p w14:paraId="2FAE4592">
      <w:pPr>
        <w:snapToGrid w:val="0"/>
        <w:spacing w:line="360" w:lineRule="auto"/>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14:paraId="7660531E">
      <w:pPr>
        <w:snapToGrid w:val="0"/>
        <w:spacing w:line="360" w:lineRule="auto"/>
        <w:ind w:firstLine="480" w:firstLineChars="200"/>
        <w:rPr>
          <w:rFonts w:ascii="宋体" w:hAnsi="宋体" w:cs="宋体"/>
          <w:sz w:val="24"/>
        </w:rPr>
      </w:pPr>
      <w:r>
        <w:rPr>
          <w:rFonts w:hint="eastAsia" w:ascii="宋体" w:hAnsi="宋体" w:cs="宋体"/>
          <w:sz w:val="24"/>
        </w:rPr>
        <w:t>2.7.2 乙方应保证履行合同的人员数量和素质、软件的配置、场地、环境和设施等满足全面履行合同的要求，并应接受甲方的监督检查。</w:t>
      </w:r>
    </w:p>
    <w:p w14:paraId="625FFFA0">
      <w:pPr>
        <w:snapToGrid w:val="0"/>
        <w:spacing w:line="360" w:lineRule="auto"/>
        <w:ind w:firstLine="482" w:firstLineChars="200"/>
        <w:outlineLvl w:val="0"/>
        <w:rPr>
          <w:rFonts w:ascii="宋体" w:hAnsi="宋体" w:cs="宋体"/>
          <w:b/>
          <w:sz w:val="24"/>
        </w:rPr>
      </w:pPr>
      <w:bookmarkStart w:id="125" w:name="_Toc22267"/>
      <w:r>
        <w:rPr>
          <w:rFonts w:hint="eastAsia" w:ascii="宋体" w:hAnsi="宋体" w:cs="宋体"/>
          <w:b/>
          <w:sz w:val="24"/>
        </w:rPr>
        <w:t>2.8 延迟</w:t>
      </w:r>
      <w:bookmarkEnd w:id="122"/>
      <w:bookmarkEnd w:id="123"/>
      <w:bookmarkEnd w:id="124"/>
      <w:r>
        <w:rPr>
          <w:rFonts w:hint="eastAsia" w:ascii="宋体" w:hAnsi="宋体" w:cs="宋体"/>
          <w:b/>
          <w:sz w:val="24"/>
        </w:rPr>
        <w:t>履行</w:t>
      </w:r>
      <w:bookmarkEnd w:id="125"/>
    </w:p>
    <w:p w14:paraId="599249C9">
      <w:pPr>
        <w:snapToGrid w:val="0"/>
        <w:spacing w:line="360" w:lineRule="auto"/>
        <w:ind w:firstLine="480" w:firstLineChars="200"/>
        <w:rPr>
          <w:rFonts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C39630B">
      <w:pPr>
        <w:snapToGrid w:val="0"/>
        <w:spacing w:line="360" w:lineRule="auto"/>
        <w:ind w:firstLine="482" w:firstLineChars="200"/>
        <w:outlineLvl w:val="0"/>
        <w:rPr>
          <w:rFonts w:ascii="宋体" w:hAnsi="宋体" w:cs="宋体"/>
          <w:b/>
          <w:sz w:val="24"/>
        </w:rPr>
      </w:pPr>
      <w:bookmarkStart w:id="126" w:name="_Toc10611"/>
      <w:bookmarkStart w:id="127" w:name="_Toc279701254"/>
      <w:bookmarkStart w:id="128" w:name="_Ref467378121"/>
      <w:bookmarkStart w:id="129" w:name="_Toc487900364"/>
      <w:bookmarkStart w:id="130" w:name="_Toc259093683"/>
      <w:r>
        <w:rPr>
          <w:rFonts w:hint="eastAsia" w:ascii="宋体" w:hAnsi="宋体" w:cs="宋体"/>
          <w:b/>
          <w:sz w:val="24"/>
        </w:rPr>
        <w:t>2.9 合同变更</w:t>
      </w:r>
      <w:bookmarkEnd w:id="126"/>
    </w:p>
    <w:p w14:paraId="0B64828F">
      <w:pPr>
        <w:snapToGrid w:val="0"/>
        <w:spacing w:line="360" w:lineRule="auto"/>
        <w:ind w:firstLine="480" w:firstLineChars="200"/>
        <w:rPr>
          <w:rFonts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4B7F3F59">
      <w:pPr>
        <w:snapToGrid w:val="0"/>
        <w:spacing w:line="360" w:lineRule="auto"/>
        <w:ind w:firstLine="480" w:firstLineChars="200"/>
        <w:rPr>
          <w:rFonts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131" w:name="_Toc487900369"/>
      <w:bookmarkStart w:id="132" w:name="_Toc279701259"/>
      <w:bookmarkStart w:id="133" w:name="_Toc259093688"/>
    </w:p>
    <w:p w14:paraId="6311B50F">
      <w:pPr>
        <w:snapToGrid w:val="0"/>
        <w:spacing w:line="360" w:lineRule="auto"/>
        <w:ind w:firstLine="482" w:firstLineChars="200"/>
        <w:outlineLvl w:val="0"/>
        <w:rPr>
          <w:rFonts w:ascii="宋体" w:hAnsi="宋体" w:cs="宋体"/>
          <w:b/>
          <w:sz w:val="24"/>
        </w:rPr>
      </w:pPr>
      <w:bookmarkStart w:id="134" w:name="_Toc21830"/>
      <w:bookmarkStart w:id="135" w:name="_Toc26689"/>
      <w:bookmarkStart w:id="136" w:name="_Toc23368"/>
      <w:bookmarkStart w:id="137" w:name="_Toc42"/>
      <w:bookmarkStart w:id="138" w:name="_Toc10663"/>
      <w:r>
        <w:rPr>
          <w:rFonts w:hint="eastAsia" w:ascii="宋体" w:hAnsi="宋体" w:cs="宋体"/>
          <w:b/>
          <w:sz w:val="24"/>
        </w:rPr>
        <w:t>2.10 合同转让</w:t>
      </w:r>
      <w:bookmarkEnd w:id="131"/>
      <w:bookmarkEnd w:id="132"/>
      <w:bookmarkEnd w:id="133"/>
      <w:r>
        <w:rPr>
          <w:rFonts w:hint="eastAsia" w:ascii="宋体" w:hAnsi="宋体" w:cs="宋体"/>
          <w:b/>
          <w:sz w:val="24"/>
        </w:rPr>
        <w:t>和分包</w:t>
      </w:r>
      <w:bookmarkEnd w:id="134"/>
      <w:bookmarkEnd w:id="135"/>
      <w:bookmarkEnd w:id="136"/>
      <w:bookmarkEnd w:id="137"/>
      <w:bookmarkEnd w:id="138"/>
    </w:p>
    <w:p w14:paraId="3274499A">
      <w:pPr>
        <w:snapToGrid w:val="0"/>
        <w:spacing w:line="360" w:lineRule="auto"/>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078E5EF">
      <w:pPr>
        <w:snapToGrid w:val="0"/>
        <w:spacing w:line="360" w:lineRule="auto"/>
        <w:ind w:firstLine="482" w:firstLineChars="200"/>
        <w:outlineLvl w:val="0"/>
        <w:rPr>
          <w:rFonts w:ascii="宋体" w:hAnsi="宋体" w:cs="宋体"/>
          <w:b/>
          <w:sz w:val="24"/>
        </w:rPr>
      </w:pPr>
      <w:bookmarkStart w:id="139" w:name="_Toc4720"/>
      <w:bookmarkStart w:id="140" w:name="_Toc26633"/>
      <w:bookmarkStart w:id="141" w:name="_Toc32494"/>
      <w:bookmarkStart w:id="142" w:name="_Toc25571"/>
      <w:bookmarkStart w:id="143" w:name="_Toc14371"/>
      <w:r>
        <w:rPr>
          <w:rFonts w:hint="eastAsia" w:ascii="宋体" w:hAnsi="宋体" w:cs="宋体"/>
          <w:b/>
          <w:sz w:val="24"/>
        </w:rPr>
        <w:t>2.11 不可抗力</w:t>
      </w:r>
      <w:bookmarkEnd w:id="139"/>
      <w:bookmarkEnd w:id="140"/>
      <w:bookmarkEnd w:id="141"/>
      <w:bookmarkEnd w:id="142"/>
      <w:bookmarkEnd w:id="143"/>
    </w:p>
    <w:p w14:paraId="77BB35F6">
      <w:pPr>
        <w:snapToGrid w:val="0"/>
        <w:spacing w:line="360" w:lineRule="auto"/>
        <w:ind w:firstLine="480" w:firstLineChars="200"/>
        <w:rPr>
          <w:rFonts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14:paraId="008423C4">
      <w:pPr>
        <w:snapToGrid w:val="0"/>
        <w:spacing w:line="360" w:lineRule="auto"/>
        <w:ind w:firstLine="480" w:firstLineChars="200"/>
        <w:rPr>
          <w:rFonts w:ascii="宋体" w:hAnsi="宋体" w:cs="宋体"/>
          <w:sz w:val="24"/>
        </w:rPr>
      </w:pPr>
      <w:r>
        <w:rPr>
          <w:rFonts w:hint="eastAsia" w:ascii="宋体" w:hAnsi="宋体" w:cs="宋体"/>
          <w:sz w:val="24"/>
        </w:rPr>
        <w:t>2.11.2 因不可抗力致使不能实现合同目的的，当事人可以解除合同；</w:t>
      </w:r>
    </w:p>
    <w:p w14:paraId="408452C9">
      <w:pPr>
        <w:snapToGrid w:val="0"/>
        <w:spacing w:line="360" w:lineRule="auto"/>
        <w:ind w:firstLine="480" w:firstLineChars="200"/>
        <w:rPr>
          <w:rFonts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iCs/>
          <w:sz w:val="24"/>
          <w:u w:val="single"/>
        </w:rPr>
        <w:t>合同专用条款</w:t>
      </w:r>
      <w:r>
        <w:rPr>
          <w:rFonts w:hint="eastAsia" w:ascii="宋体" w:hAnsi="宋体" w:cs="宋体"/>
          <w:sz w:val="24"/>
        </w:rPr>
        <w:t>约定时间内以书面形式变更合同；</w:t>
      </w:r>
    </w:p>
    <w:p w14:paraId="3A18F1FB">
      <w:pPr>
        <w:snapToGrid w:val="0"/>
        <w:spacing w:line="360" w:lineRule="auto"/>
        <w:ind w:firstLine="480" w:firstLineChars="200"/>
        <w:rPr>
          <w:rFonts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iCs/>
          <w:sz w:val="24"/>
          <w:u w:val="single"/>
        </w:rPr>
        <w:t>合同专用条款</w:t>
      </w:r>
      <w:r>
        <w:rPr>
          <w:rFonts w:hint="eastAsia" w:ascii="宋体" w:hAnsi="宋体" w:cs="宋体"/>
          <w:sz w:val="24"/>
        </w:rPr>
        <w:t>约定时间内以书面形式通知对方当事人，并在</w:t>
      </w:r>
      <w:r>
        <w:rPr>
          <w:rFonts w:hint="eastAsia" w:ascii="宋体" w:hAnsi="宋体" w:cs="宋体"/>
          <w:b/>
          <w:iCs/>
          <w:sz w:val="24"/>
          <w:u w:val="single"/>
        </w:rPr>
        <w:t>合同专用条款</w:t>
      </w:r>
      <w:r>
        <w:rPr>
          <w:rFonts w:hint="eastAsia" w:ascii="宋体" w:hAnsi="宋体" w:cs="宋体"/>
          <w:sz w:val="24"/>
        </w:rPr>
        <w:t>约定时间内，将有关部门出具的证明文件送达对方当事人。</w:t>
      </w:r>
    </w:p>
    <w:p w14:paraId="66C4567F">
      <w:pPr>
        <w:snapToGrid w:val="0"/>
        <w:spacing w:line="360" w:lineRule="auto"/>
        <w:ind w:firstLine="482" w:firstLineChars="200"/>
        <w:outlineLvl w:val="0"/>
        <w:rPr>
          <w:rFonts w:ascii="宋体" w:hAnsi="宋体" w:cs="宋体"/>
          <w:b/>
          <w:sz w:val="24"/>
        </w:rPr>
      </w:pPr>
      <w:bookmarkStart w:id="144" w:name="_Toc487900365"/>
      <w:bookmarkStart w:id="145" w:name="_Toc23854"/>
      <w:bookmarkStart w:id="146" w:name="_Toc24465"/>
      <w:bookmarkStart w:id="147" w:name="_Toc25783"/>
      <w:bookmarkStart w:id="148" w:name="_Toc14115"/>
      <w:bookmarkStart w:id="149" w:name="_Toc3638"/>
      <w:bookmarkStart w:id="150" w:name="_Toc279701255"/>
      <w:bookmarkStart w:id="151" w:name="_Toc259093684"/>
      <w:r>
        <w:rPr>
          <w:rFonts w:hint="eastAsia" w:ascii="宋体" w:hAnsi="宋体" w:cs="宋体"/>
          <w:b/>
          <w:sz w:val="24"/>
        </w:rPr>
        <w:t>2.12 税费</w:t>
      </w:r>
      <w:bookmarkEnd w:id="144"/>
      <w:bookmarkEnd w:id="145"/>
      <w:bookmarkEnd w:id="146"/>
      <w:bookmarkEnd w:id="147"/>
      <w:bookmarkEnd w:id="148"/>
      <w:bookmarkEnd w:id="149"/>
      <w:bookmarkEnd w:id="150"/>
      <w:bookmarkEnd w:id="151"/>
    </w:p>
    <w:p w14:paraId="31DEBA29">
      <w:pPr>
        <w:snapToGrid w:val="0"/>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与合同有关的一切税费，均按照中华人民共和国法律的相关规定缴纳。</w:t>
      </w:r>
    </w:p>
    <w:p w14:paraId="6511A001">
      <w:pPr>
        <w:snapToGrid w:val="0"/>
        <w:spacing w:line="360" w:lineRule="auto"/>
        <w:ind w:firstLine="482" w:firstLineChars="200"/>
        <w:outlineLvl w:val="0"/>
        <w:rPr>
          <w:rFonts w:ascii="宋体" w:hAnsi="宋体" w:cs="宋体"/>
          <w:b/>
          <w:sz w:val="24"/>
        </w:rPr>
      </w:pPr>
      <w:bookmarkStart w:id="152" w:name="_Toc14814"/>
      <w:bookmarkStart w:id="153" w:name="_Toc30105"/>
      <w:bookmarkStart w:id="154" w:name="_Toc25525"/>
      <w:bookmarkStart w:id="155" w:name="_Toc259093687"/>
      <w:bookmarkStart w:id="156" w:name="_Toc487900368"/>
      <w:bookmarkStart w:id="157" w:name="_Toc26883"/>
      <w:bookmarkStart w:id="158" w:name="_Toc279701258"/>
      <w:bookmarkStart w:id="159" w:name="_Toc7315"/>
      <w:r>
        <w:rPr>
          <w:rFonts w:hint="eastAsia" w:ascii="宋体" w:hAnsi="宋体" w:cs="宋体"/>
          <w:b/>
          <w:sz w:val="24"/>
        </w:rPr>
        <w:t>2.13 乙方破产</w:t>
      </w:r>
      <w:bookmarkEnd w:id="152"/>
      <w:bookmarkEnd w:id="153"/>
      <w:bookmarkEnd w:id="154"/>
      <w:bookmarkEnd w:id="155"/>
      <w:bookmarkEnd w:id="156"/>
      <w:bookmarkEnd w:id="157"/>
      <w:bookmarkEnd w:id="158"/>
      <w:bookmarkEnd w:id="159"/>
    </w:p>
    <w:p w14:paraId="5DD547BF">
      <w:pPr>
        <w:snapToGrid w:val="0"/>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2E184E2">
      <w:pPr>
        <w:snapToGrid w:val="0"/>
        <w:spacing w:line="360" w:lineRule="auto"/>
        <w:ind w:firstLine="482" w:firstLineChars="200"/>
        <w:outlineLvl w:val="0"/>
        <w:rPr>
          <w:rFonts w:ascii="宋体" w:hAnsi="宋体" w:cs="宋体"/>
          <w:b/>
          <w:sz w:val="24"/>
        </w:rPr>
      </w:pPr>
      <w:bookmarkStart w:id="160" w:name="_Toc2016"/>
      <w:bookmarkStart w:id="161" w:name="_Toc1123"/>
      <w:bookmarkStart w:id="162" w:name="_Toc23323"/>
      <w:r>
        <w:rPr>
          <w:rFonts w:hint="eastAsia" w:ascii="宋体" w:hAnsi="宋体" w:cs="宋体"/>
          <w:b/>
          <w:sz w:val="24"/>
        </w:rPr>
        <w:t>2.14 合同中止、终止</w:t>
      </w:r>
      <w:bookmarkEnd w:id="160"/>
      <w:bookmarkEnd w:id="161"/>
      <w:bookmarkEnd w:id="162"/>
    </w:p>
    <w:p w14:paraId="20C71779">
      <w:pPr>
        <w:snapToGrid w:val="0"/>
        <w:spacing w:line="360" w:lineRule="auto"/>
        <w:ind w:firstLine="480" w:firstLineChars="200"/>
        <w:rPr>
          <w:rFonts w:ascii="宋体" w:hAnsi="宋体" w:cs="宋体"/>
          <w:sz w:val="24"/>
        </w:rPr>
      </w:pPr>
      <w:r>
        <w:rPr>
          <w:rFonts w:hint="eastAsia" w:ascii="宋体" w:hAnsi="宋体" w:cs="宋体"/>
          <w:sz w:val="24"/>
        </w:rPr>
        <w:t>2.14.1 双方当事人不得擅自中止或者终止合同；</w:t>
      </w:r>
    </w:p>
    <w:p w14:paraId="232EA09A">
      <w:pPr>
        <w:snapToGrid w:val="0"/>
        <w:spacing w:line="360" w:lineRule="auto"/>
        <w:ind w:firstLine="480" w:firstLineChars="200"/>
        <w:rPr>
          <w:rFonts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14:paraId="552BCB28">
      <w:pPr>
        <w:snapToGrid w:val="0"/>
        <w:spacing w:line="360" w:lineRule="auto"/>
        <w:ind w:firstLine="482" w:firstLineChars="200"/>
        <w:outlineLvl w:val="0"/>
        <w:rPr>
          <w:rFonts w:ascii="宋体" w:hAnsi="宋体" w:cs="宋体"/>
          <w:b/>
          <w:sz w:val="24"/>
        </w:rPr>
      </w:pPr>
      <w:bookmarkStart w:id="163" w:name="_Toc1969"/>
      <w:bookmarkStart w:id="164" w:name="_Toc14525"/>
      <w:bookmarkStart w:id="165" w:name="_Toc17363"/>
      <w:r>
        <w:rPr>
          <w:rFonts w:hint="eastAsia" w:ascii="宋体" w:hAnsi="宋体" w:cs="宋体"/>
          <w:b/>
          <w:sz w:val="24"/>
        </w:rPr>
        <w:t>2.15 检验和验收</w:t>
      </w:r>
      <w:bookmarkEnd w:id="163"/>
      <w:bookmarkEnd w:id="164"/>
      <w:bookmarkEnd w:id="165"/>
    </w:p>
    <w:p w14:paraId="39F8E523">
      <w:pPr>
        <w:tabs>
          <w:tab w:val="left" w:pos="360"/>
          <w:tab w:val="left" w:pos="540"/>
          <w:tab w:val="left" w:pos="1080"/>
        </w:tabs>
        <w:snapToGrid w:val="0"/>
        <w:spacing w:line="360" w:lineRule="auto"/>
        <w:ind w:firstLine="480" w:firstLineChars="200"/>
        <w:rPr>
          <w:rFonts w:ascii="宋体" w:hAnsi="宋体" w:cs="宋体"/>
          <w:sz w:val="24"/>
        </w:rPr>
      </w:pPr>
      <w:r>
        <w:rPr>
          <w:rFonts w:hint="eastAsia" w:ascii="宋体" w:hAnsi="宋体" w:cs="宋体"/>
          <w:sz w:val="24"/>
        </w:rPr>
        <w:t>2.15.1 乙方按照</w:t>
      </w:r>
      <w:r>
        <w:rPr>
          <w:rFonts w:hint="eastAsia" w:ascii="宋体" w:hAnsi="宋体" w:cs="宋体"/>
          <w:b/>
          <w:iCs/>
          <w:sz w:val="24"/>
          <w:u w:val="single"/>
        </w:rPr>
        <w:t>合同专用条款</w:t>
      </w:r>
      <w:r>
        <w:rPr>
          <w:rFonts w:hint="eastAsia" w:ascii="宋体" w:hAnsi="宋体" w:cs="宋体"/>
          <w:sz w:val="24"/>
        </w:rPr>
        <w:t>的约定，定期提交服务报告，甲方按照</w:t>
      </w:r>
      <w:r>
        <w:rPr>
          <w:rFonts w:hint="eastAsia" w:ascii="宋体" w:hAnsi="宋体" w:cs="宋体"/>
          <w:b/>
          <w:iCs/>
          <w:sz w:val="24"/>
          <w:u w:val="single"/>
        </w:rPr>
        <w:t>合同专用条款</w:t>
      </w:r>
      <w:r>
        <w:rPr>
          <w:rFonts w:hint="eastAsia" w:ascii="宋体" w:hAnsi="宋体" w:cs="宋体"/>
          <w:sz w:val="24"/>
        </w:rPr>
        <w:t>的约定进行定期验收；</w:t>
      </w:r>
    </w:p>
    <w:p w14:paraId="615E4628">
      <w:pPr>
        <w:tabs>
          <w:tab w:val="left" w:pos="360"/>
          <w:tab w:val="left" w:pos="540"/>
          <w:tab w:val="left" w:pos="1080"/>
        </w:tabs>
        <w:snapToGrid w:val="0"/>
        <w:spacing w:line="360" w:lineRule="auto"/>
        <w:ind w:firstLine="480" w:firstLineChars="200"/>
        <w:rPr>
          <w:rFonts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E6A56B2">
      <w:pPr>
        <w:tabs>
          <w:tab w:val="left" w:pos="360"/>
          <w:tab w:val="left" w:pos="540"/>
          <w:tab w:val="left" w:pos="1080"/>
        </w:tabs>
        <w:snapToGrid w:val="0"/>
        <w:spacing w:line="360" w:lineRule="auto"/>
        <w:ind w:firstLine="480" w:firstLineChars="200"/>
        <w:rPr>
          <w:rFonts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sz w:val="24"/>
          <w:u w:val="single"/>
        </w:rPr>
        <w:t xml:space="preserve"> </w:t>
      </w:r>
      <w:r>
        <w:rPr>
          <w:rFonts w:hint="eastAsia" w:ascii="宋体" w:hAnsi="宋体" w:cs="宋体"/>
          <w:b/>
          <w:iCs/>
          <w:sz w:val="24"/>
          <w:u w:val="single"/>
        </w:rPr>
        <w:t xml:space="preserve">合同专用条款 </w:t>
      </w:r>
      <w:r>
        <w:rPr>
          <w:rFonts w:hint="eastAsia" w:ascii="宋体" w:hAnsi="宋体" w:cs="宋体"/>
          <w:i/>
          <w:sz w:val="24"/>
        </w:rPr>
        <w:t>。</w:t>
      </w:r>
    </w:p>
    <w:bookmarkEnd w:id="127"/>
    <w:bookmarkEnd w:id="128"/>
    <w:bookmarkEnd w:id="129"/>
    <w:bookmarkEnd w:id="130"/>
    <w:p w14:paraId="19558465">
      <w:pPr>
        <w:snapToGrid w:val="0"/>
        <w:spacing w:line="360" w:lineRule="auto"/>
        <w:ind w:firstLine="482" w:firstLineChars="200"/>
        <w:outlineLvl w:val="0"/>
        <w:rPr>
          <w:rFonts w:ascii="宋体" w:hAnsi="宋体" w:cs="宋体"/>
          <w:b/>
          <w:sz w:val="24"/>
        </w:rPr>
      </w:pPr>
      <w:bookmarkStart w:id="166" w:name="_Toc259093690"/>
      <w:bookmarkStart w:id="167" w:name="_Toc487900371"/>
      <w:bookmarkStart w:id="168" w:name="_Toc279701261"/>
      <w:bookmarkStart w:id="169" w:name="_Toc25198"/>
      <w:bookmarkStart w:id="170" w:name="_Toc12666"/>
      <w:bookmarkStart w:id="171" w:name="_Toc2308"/>
      <w:bookmarkStart w:id="172" w:name="_Toc31892"/>
      <w:bookmarkStart w:id="173" w:name="_Toc9808"/>
      <w:r>
        <w:rPr>
          <w:rFonts w:hint="eastAsia" w:ascii="宋体" w:hAnsi="宋体" w:cs="宋体"/>
          <w:b/>
          <w:sz w:val="24"/>
        </w:rPr>
        <w:t>2.16 通知</w:t>
      </w:r>
      <w:bookmarkEnd w:id="166"/>
      <w:bookmarkEnd w:id="167"/>
      <w:bookmarkEnd w:id="168"/>
      <w:r>
        <w:rPr>
          <w:rFonts w:hint="eastAsia" w:ascii="宋体" w:hAnsi="宋体" w:cs="宋体"/>
          <w:b/>
          <w:sz w:val="24"/>
        </w:rPr>
        <w:t>和送达</w:t>
      </w:r>
      <w:bookmarkEnd w:id="169"/>
      <w:bookmarkEnd w:id="170"/>
      <w:bookmarkEnd w:id="171"/>
      <w:bookmarkEnd w:id="172"/>
      <w:bookmarkEnd w:id="173"/>
    </w:p>
    <w:p w14:paraId="5AB36E16">
      <w:pPr>
        <w:snapToGrid w:val="0"/>
        <w:spacing w:line="360" w:lineRule="auto"/>
        <w:ind w:firstLine="480" w:firstLineChars="200"/>
        <w:rPr>
          <w:rFonts w:ascii="宋体" w:hAnsi="宋体" w:cs="宋体"/>
          <w:sz w:val="24"/>
        </w:rPr>
      </w:pPr>
      <w:bookmarkStart w:id="174" w:name="_Toc29220"/>
      <w:bookmarkStart w:id="175" w:name="_Toc7073"/>
      <w:bookmarkStart w:id="176" w:name="_Toc259093691"/>
      <w:bookmarkStart w:id="177" w:name="_Toc279701262"/>
      <w:bookmarkStart w:id="178" w:name="_Toc487900372"/>
      <w:r>
        <w:rPr>
          <w:rFonts w:hint="eastAsia" w:ascii="宋体" w:hAnsi="宋体" w:cs="宋体"/>
          <w:sz w:val="24"/>
        </w:rPr>
        <w:t>2.16.1 任何一方因履行合同而以合同第一部分尾部所列明的</w:t>
      </w:r>
      <w:r>
        <w:rPr>
          <w:rFonts w:hint="eastAsia" w:ascii="宋体" w:hAnsi="宋体" w:cs="宋体"/>
          <w:sz w:val="24"/>
          <w:u w:val="single"/>
        </w:rPr>
        <w:t>书面、电子邮件</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3 </w:t>
      </w:r>
      <w:r>
        <w:rPr>
          <w:rFonts w:hint="eastAsia" w:ascii="宋体" w:hAnsi="宋体" w:cs="宋体"/>
          <w:sz w:val="24"/>
        </w:rPr>
        <w:t>个工作日内书面通知对方当事人，在对方当事人收到有关变更通知之前，变更前的约定送达方式或者地址仍视为有效。</w:t>
      </w:r>
      <w:bookmarkEnd w:id="174"/>
      <w:bookmarkEnd w:id="175"/>
    </w:p>
    <w:p w14:paraId="1F305E7F">
      <w:pPr>
        <w:snapToGrid w:val="0"/>
        <w:spacing w:line="360" w:lineRule="auto"/>
        <w:ind w:firstLine="480" w:firstLineChars="200"/>
        <w:rPr>
          <w:rFonts w:ascii="宋体" w:hAnsi="宋体" w:cs="宋体"/>
          <w:sz w:val="24"/>
        </w:rPr>
      </w:pPr>
      <w:bookmarkStart w:id="179" w:name="_Toc27674"/>
      <w:bookmarkStart w:id="180" w:name="_Toc18401"/>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9"/>
      <w:bookmarkEnd w:id="180"/>
    </w:p>
    <w:bookmarkEnd w:id="176"/>
    <w:bookmarkEnd w:id="177"/>
    <w:bookmarkEnd w:id="178"/>
    <w:p w14:paraId="51D51ECD">
      <w:pPr>
        <w:snapToGrid w:val="0"/>
        <w:spacing w:line="360" w:lineRule="auto"/>
        <w:ind w:firstLine="482" w:firstLineChars="200"/>
        <w:outlineLvl w:val="0"/>
        <w:rPr>
          <w:rFonts w:ascii="宋体" w:hAnsi="宋体" w:cs="宋体"/>
          <w:b/>
          <w:sz w:val="24"/>
        </w:rPr>
      </w:pPr>
      <w:bookmarkStart w:id="181" w:name="_Toc27644"/>
      <w:bookmarkStart w:id="182" w:name="_Toc259093692"/>
      <w:bookmarkStart w:id="183" w:name="_Toc12254"/>
      <w:bookmarkStart w:id="184" w:name="_Toc487900373"/>
      <w:bookmarkStart w:id="185" w:name="_Toc5063"/>
      <w:bookmarkStart w:id="186" w:name="_Toc279701263"/>
      <w:bookmarkStart w:id="187" w:name="_Toc28906"/>
      <w:bookmarkStart w:id="188" w:name="_Toc20808"/>
      <w:r>
        <w:rPr>
          <w:rFonts w:hint="eastAsia" w:ascii="宋体" w:hAnsi="宋体" w:cs="宋体"/>
          <w:b/>
          <w:sz w:val="24"/>
        </w:rPr>
        <w:t>2.17 合同使用的文字和适用的法律</w:t>
      </w:r>
      <w:bookmarkEnd w:id="181"/>
      <w:bookmarkEnd w:id="182"/>
      <w:bookmarkEnd w:id="183"/>
      <w:bookmarkEnd w:id="184"/>
      <w:bookmarkEnd w:id="185"/>
      <w:bookmarkEnd w:id="186"/>
      <w:bookmarkEnd w:id="187"/>
      <w:bookmarkEnd w:id="188"/>
    </w:p>
    <w:p w14:paraId="23DE70E9">
      <w:pPr>
        <w:snapToGrid w:val="0"/>
        <w:spacing w:line="360" w:lineRule="auto"/>
        <w:ind w:firstLine="480" w:firstLineChars="200"/>
        <w:rPr>
          <w:rFonts w:ascii="宋体" w:hAnsi="宋体" w:cs="宋体"/>
          <w:sz w:val="24"/>
        </w:rPr>
      </w:pPr>
      <w:r>
        <w:rPr>
          <w:rFonts w:hint="eastAsia" w:ascii="宋体" w:hAnsi="宋体" w:cs="宋体"/>
          <w:sz w:val="24"/>
        </w:rPr>
        <w:t>2.17.1 合同使用汉语书就、变更和解释；</w:t>
      </w:r>
    </w:p>
    <w:p w14:paraId="76E235D6">
      <w:pPr>
        <w:snapToGrid w:val="0"/>
        <w:spacing w:line="360" w:lineRule="auto"/>
        <w:ind w:firstLine="480" w:firstLineChars="200"/>
        <w:rPr>
          <w:rFonts w:ascii="宋体" w:hAnsi="宋体" w:cs="宋体"/>
          <w:sz w:val="24"/>
        </w:rPr>
      </w:pPr>
      <w:r>
        <w:rPr>
          <w:rFonts w:hint="eastAsia" w:ascii="宋体" w:hAnsi="宋体" w:cs="宋体"/>
          <w:sz w:val="24"/>
        </w:rPr>
        <w:t>2.17.2 合同适用中华人民共和国法律。</w:t>
      </w:r>
    </w:p>
    <w:p w14:paraId="776B7166">
      <w:pPr>
        <w:snapToGrid w:val="0"/>
        <w:spacing w:line="360" w:lineRule="auto"/>
        <w:ind w:firstLine="482" w:firstLineChars="200"/>
        <w:outlineLvl w:val="0"/>
        <w:rPr>
          <w:rFonts w:ascii="宋体" w:hAnsi="宋体" w:cs="宋体"/>
          <w:b/>
          <w:sz w:val="24"/>
        </w:rPr>
      </w:pPr>
      <w:bookmarkStart w:id="189" w:name="_Toc259093693"/>
      <w:bookmarkStart w:id="190" w:name="_Toc30096"/>
      <w:bookmarkStart w:id="191" w:name="_Toc1492"/>
      <w:bookmarkStart w:id="192" w:name="_Toc279701264"/>
      <w:bookmarkStart w:id="193" w:name="_Toc27127"/>
      <w:bookmarkStart w:id="194" w:name="_Toc27403"/>
      <w:bookmarkStart w:id="195" w:name="_Toc22266"/>
      <w:bookmarkStart w:id="196" w:name="_Toc487900374"/>
      <w:r>
        <w:rPr>
          <w:rFonts w:hint="eastAsia" w:ascii="宋体" w:hAnsi="宋体" w:cs="宋体"/>
          <w:b/>
          <w:sz w:val="24"/>
        </w:rPr>
        <w:t>2.18 履约保证金</w:t>
      </w:r>
      <w:bookmarkEnd w:id="189"/>
      <w:bookmarkEnd w:id="190"/>
      <w:bookmarkEnd w:id="191"/>
      <w:bookmarkEnd w:id="192"/>
      <w:bookmarkEnd w:id="193"/>
      <w:bookmarkEnd w:id="194"/>
      <w:bookmarkEnd w:id="195"/>
    </w:p>
    <w:p w14:paraId="413E73A1">
      <w:pPr>
        <w:snapToGrid w:val="0"/>
        <w:spacing w:line="360" w:lineRule="auto"/>
        <w:ind w:firstLine="480" w:firstLineChars="200"/>
        <w:rPr>
          <w:rFonts w:ascii="宋体" w:hAnsi="宋体" w:cs="宋体"/>
          <w:sz w:val="24"/>
        </w:rPr>
      </w:pPr>
      <w:r>
        <w:rPr>
          <w:rFonts w:hint="eastAsia" w:ascii="宋体" w:hAnsi="宋体" w:cs="宋体"/>
          <w:sz w:val="24"/>
        </w:rPr>
        <w:t>2.18.1 本项目不收取履约保证金。</w:t>
      </w:r>
    </w:p>
    <w:bookmarkEnd w:id="196"/>
    <w:p w14:paraId="45505601">
      <w:pPr>
        <w:snapToGrid w:val="0"/>
        <w:spacing w:line="360" w:lineRule="auto"/>
        <w:ind w:firstLine="482" w:firstLineChars="200"/>
        <w:rPr>
          <w:rFonts w:ascii="宋体" w:hAnsi="宋体" w:cs="宋体"/>
          <w:b/>
          <w:sz w:val="24"/>
        </w:rPr>
      </w:pPr>
      <w:r>
        <w:rPr>
          <w:rFonts w:hint="eastAsia" w:ascii="宋体" w:hAnsi="宋体" w:cs="宋体"/>
          <w:b/>
          <w:sz w:val="24"/>
        </w:rPr>
        <w:t>2.19 合同份数</w:t>
      </w:r>
    </w:p>
    <w:p w14:paraId="5F872606">
      <w:pPr>
        <w:snapToGrid w:val="0"/>
        <w:spacing w:line="360" w:lineRule="auto"/>
        <w:ind w:firstLine="480" w:firstLineChars="200"/>
        <w:rPr>
          <w:rFonts w:ascii="宋体" w:hAnsi="宋体" w:cs="宋体"/>
          <w:sz w:val="24"/>
        </w:rPr>
      </w:pPr>
      <w:r>
        <w:rPr>
          <w:rFonts w:hint="eastAsia" w:ascii="宋体" w:hAnsi="宋体" w:cs="宋体"/>
          <w:sz w:val="24"/>
        </w:rPr>
        <w:t>合同份数为壹式陆份，其中：正本贰份，甲、乙双方各执壹份；副本肆份，甲方执贰份，乙方执贰份，每份均具有同等法律效力。</w:t>
      </w:r>
    </w:p>
    <w:p w14:paraId="230D2659">
      <w:pPr>
        <w:autoSpaceDE w:val="0"/>
        <w:autoSpaceDN w:val="0"/>
        <w:adjustRightInd w:val="0"/>
        <w:spacing w:line="360" w:lineRule="auto"/>
        <w:jc w:val="center"/>
        <w:rPr>
          <w:rFonts w:ascii="Times New Roman" w:hAnsi="宋体" w:cs="宋体"/>
          <w:b/>
          <w:sz w:val="28"/>
          <w:szCs w:val="28"/>
        </w:rPr>
      </w:pPr>
      <w:r>
        <w:rPr>
          <w:rFonts w:hint="eastAsia" w:ascii="宋体" w:hAnsi="宋体" w:cs="宋体"/>
          <w:sz w:val="24"/>
        </w:rPr>
        <w:br w:type="page"/>
      </w:r>
      <w:bookmarkStart w:id="197" w:name="_Toc331685784"/>
      <w:r>
        <w:rPr>
          <w:rFonts w:hint="eastAsia" w:ascii="Times New Roman" w:hAnsi="宋体" w:cs="宋体"/>
          <w:b/>
          <w:sz w:val="28"/>
          <w:szCs w:val="28"/>
        </w:rPr>
        <w:t>第三部分</w:t>
      </w:r>
      <w:r>
        <w:rPr>
          <w:rFonts w:ascii="Times New Roman" w:hAnsi="宋体" w:cs="宋体"/>
          <w:b/>
          <w:sz w:val="28"/>
          <w:szCs w:val="28"/>
        </w:rPr>
        <w:t xml:space="preserve">  </w:t>
      </w:r>
      <w:r>
        <w:rPr>
          <w:rFonts w:hint="eastAsia" w:ascii="Times New Roman" w:hAnsi="宋体" w:cs="宋体"/>
          <w:b/>
          <w:sz w:val="28"/>
          <w:szCs w:val="28"/>
        </w:rPr>
        <w:t>合同专用条款</w:t>
      </w:r>
      <w:bookmarkEnd w:id="197"/>
    </w:p>
    <w:p w14:paraId="11D03A10">
      <w:pPr>
        <w:snapToGrid w:val="0"/>
        <w:spacing w:line="360" w:lineRule="auto"/>
        <w:ind w:firstLine="480" w:firstLineChars="200"/>
        <w:rPr>
          <w:rFonts w:ascii="宋体" w:hAnsi="宋体" w:cs="宋体"/>
          <w:sz w:val="24"/>
        </w:rPr>
      </w:pPr>
    </w:p>
    <w:p w14:paraId="45084165">
      <w:pPr>
        <w:snapToGrid w:val="0"/>
        <w:spacing w:line="360" w:lineRule="auto"/>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8"/>
        <w:gridCol w:w="7633"/>
      </w:tblGrid>
      <w:tr w14:paraId="0D494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208" w:type="dxa"/>
            <w:tcBorders>
              <w:left w:val="single" w:color="auto" w:sz="4" w:space="0"/>
            </w:tcBorders>
            <w:vAlign w:val="center"/>
          </w:tcPr>
          <w:p w14:paraId="3E5E08A6">
            <w:pPr>
              <w:spacing w:line="360" w:lineRule="auto"/>
              <w:jc w:val="center"/>
              <w:rPr>
                <w:rFonts w:ascii="宋体" w:hAnsi="宋体" w:cs="宋体"/>
                <w:b/>
                <w:sz w:val="24"/>
              </w:rPr>
            </w:pPr>
            <w:r>
              <w:rPr>
                <w:rFonts w:hint="eastAsia" w:ascii="宋体" w:hAnsi="宋体" w:cs="宋体"/>
                <w:b/>
                <w:sz w:val="24"/>
              </w:rPr>
              <w:t>条款号</w:t>
            </w:r>
          </w:p>
        </w:tc>
        <w:tc>
          <w:tcPr>
            <w:tcW w:w="7633" w:type="dxa"/>
            <w:vAlign w:val="center"/>
          </w:tcPr>
          <w:p w14:paraId="5C7BF840">
            <w:pPr>
              <w:spacing w:line="360" w:lineRule="auto"/>
              <w:jc w:val="center"/>
              <w:rPr>
                <w:rFonts w:ascii="宋体" w:hAnsi="宋体" w:cs="宋体"/>
                <w:b/>
                <w:sz w:val="24"/>
              </w:rPr>
            </w:pPr>
            <w:r>
              <w:rPr>
                <w:rFonts w:hint="eastAsia" w:ascii="宋体" w:hAnsi="宋体" w:cs="宋体"/>
                <w:b/>
                <w:sz w:val="24"/>
              </w:rPr>
              <w:t>约定内容</w:t>
            </w:r>
          </w:p>
        </w:tc>
      </w:tr>
      <w:tr w14:paraId="27CEB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7" w:hRule="atLeast"/>
          <w:jc w:val="center"/>
        </w:trPr>
        <w:tc>
          <w:tcPr>
            <w:tcW w:w="1208" w:type="dxa"/>
            <w:tcBorders>
              <w:left w:val="single" w:color="auto" w:sz="4" w:space="0"/>
            </w:tcBorders>
            <w:vAlign w:val="center"/>
          </w:tcPr>
          <w:p w14:paraId="56E8FBF5">
            <w:pPr>
              <w:spacing w:line="360" w:lineRule="auto"/>
              <w:jc w:val="center"/>
              <w:rPr>
                <w:rFonts w:ascii="宋体" w:hAnsi="宋体"/>
                <w:sz w:val="24"/>
              </w:rPr>
            </w:pPr>
            <w:r>
              <w:rPr>
                <w:rFonts w:hint="eastAsia" w:ascii="宋体" w:hAnsi="宋体"/>
                <w:sz w:val="24"/>
              </w:rPr>
              <w:t>2.5</w:t>
            </w:r>
          </w:p>
        </w:tc>
        <w:tc>
          <w:tcPr>
            <w:tcW w:w="7633" w:type="dxa"/>
            <w:vAlign w:val="center"/>
          </w:tcPr>
          <w:p w14:paraId="06ADA863">
            <w:pPr>
              <w:pStyle w:val="26"/>
              <w:spacing w:line="360" w:lineRule="auto"/>
              <w:ind w:firstLine="0" w:firstLineChars="0"/>
              <w:rPr>
                <w:rFonts w:ascii="宋体" w:hAnsi="宋体"/>
                <w:sz w:val="24"/>
              </w:rPr>
            </w:pPr>
            <w:r>
              <w:rPr>
                <w:rFonts w:hint="eastAsia" w:ascii="宋体" w:hAnsi="宋体"/>
                <w:sz w:val="24"/>
              </w:rPr>
              <w:t>合同签订生效后，支付合同总价款的30%作为项目建设实施的预付款，竣工验收合格后付清剩余70%合同款项。</w:t>
            </w:r>
          </w:p>
          <w:p w14:paraId="6B7FDC72">
            <w:pPr>
              <w:snapToGrid w:val="0"/>
              <w:spacing w:line="360" w:lineRule="auto"/>
              <w:outlineLvl w:val="0"/>
              <w:rPr>
                <w:rFonts w:ascii="宋体" w:hAnsi="宋体"/>
                <w:sz w:val="24"/>
              </w:rPr>
            </w:pPr>
            <w:r>
              <w:rPr>
                <w:rFonts w:hint="eastAsia" w:ascii="宋体" w:hAnsi="宋体" w:eastAsia="宋体" w:cs="Times New Roman"/>
                <w:sz w:val="24"/>
              </w:rPr>
              <w:t>乙方</w:t>
            </w:r>
            <w:r>
              <w:rPr>
                <w:rFonts w:ascii="宋体" w:hAnsi="宋体" w:eastAsia="宋体" w:cs="Times New Roman"/>
                <w:sz w:val="24"/>
              </w:rPr>
              <w:t>须提供相应金额且符合</w:t>
            </w:r>
            <w:r>
              <w:rPr>
                <w:rFonts w:hint="eastAsia" w:ascii="宋体" w:hAnsi="宋体" w:eastAsia="宋体" w:cs="Times New Roman"/>
                <w:sz w:val="24"/>
              </w:rPr>
              <w:t>甲方</w:t>
            </w:r>
            <w:r>
              <w:rPr>
                <w:rFonts w:ascii="宋体" w:hAnsi="宋体" w:eastAsia="宋体" w:cs="Times New Roman"/>
                <w:sz w:val="24"/>
              </w:rPr>
              <w:t>财务制度规定的增值税发票，</w:t>
            </w:r>
            <w:r>
              <w:rPr>
                <w:rFonts w:hint="eastAsia" w:ascii="宋体" w:hAnsi="宋体" w:eastAsia="宋体" w:cs="Times New Roman"/>
                <w:sz w:val="24"/>
              </w:rPr>
              <w:t>甲方</w:t>
            </w:r>
            <w:r>
              <w:rPr>
                <w:rFonts w:ascii="宋体" w:hAnsi="宋体" w:eastAsia="宋体" w:cs="Times New Roman"/>
                <w:sz w:val="24"/>
              </w:rPr>
              <w:t>按程序审批后支付款项。</w:t>
            </w:r>
          </w:p>
        </w:tc>
      </w:tr>
      <w:tr w14:paraId="714A7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8" w:hRule="atLeast"/>
          <w:jc w:val="center"/>
        </w:trPr>
        <w:tc>
          <w:tcPr>
            <w:tcW w:w="1208" w:type="dxa"/>
            <w:tcBorders>
              <w:left w:val="single" w:color="auto" w:sz="4" w:space="0"/>
            </w:tcBorders>
            <w:vAlign w:val="center"/>
          </w:tcPr>
          <w:p w14:paraId="32F32B18">
            <w:pPr>
              <w:spacing w:line="360" w:lineRule="auto"/>
              <w:jc w:val="center"/>
              <w:rPr>
                <w:rFonts w:ascii="宋体" w:hAnsi="宋体"/>
                <w:sz w:val="24"/>
              </w:rPr>
            </w:pPr>
            <w:r>
              <w:rPr>
                <w:rFonts w:hint="eastAsia" w:ascii="宋体" w:hAnsi="宋体"/>
                <w:sz w:val="24"/>
              </w:rPr>
              <w:t>2.11.3</w:t>
            </w:r>
          </w:p>
        </w:tc>
        <w:tc>
          <w:tcPr>
            <w:tcW w:w="7633" w:type="dxa"/>
            <w:vAlign w:val="center"/>
          </w:tcPr>
          <w:p w14:paraId="11CC1255">
            <w:pPr>
              <w:snapToGrid w:val="0"/>
              <w:spacing w:line="360" w:lineRule="auto"/>
              <w:rPr>
                <w:rFonts w:ascii="宋体" w:hAnsi="宋体"/>
                <w:sz w:val="24"/>
              </w:rPr>
            </w:pPr>
            <w:r>
              <w:rPr>
                <w:rFonts w:hint="eastAsia" w:ascii="宋体" w:hAnsi="宋体"/>
                <w:sz w:val="24"/>
              </w:rPr>
              <w:t>因</w:t>
            </w:r>
            <w:r>
              <w:rPr>
                <w:rFonts w:ascii="宋体" w:hAnsi="宋体"/>
                <w:sz w:val="24"/>
              </w:rPr>
              <w:t>不可抗力致使合同有变更必要的，双方当事人应在</w:t>
            </w:r>
            <w:r>
              <w:rPr>
                <w:rFonts w:hint="eastAsia" w:ascii="宋体" w:hAnsi="宋体"/>
                <w:sz w:val="24"/>
              </w:rPr>
              <w:t>2个工作日</w:t>
            </w:r>
            <w:r>
              <w:rPr>
                <w:rFonts w:ascii="宋体" w:hAnsi="宋体"/>
                <w:sz w:val="24"/>
              </w:rPr>
              <w:t>内以书面形式变更合同。</w:t>
            </w:r>
          </w:p>
        </w:tc>
      </w:tr>
      <w:tr w14:paraId="6548B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1208" w:type="dxa"/>
            <w:tcBorders>
              <w:left w:val="single" w:color="auto" w:sz="4" w:space="0"/>
            </w:tcBorders>
            <w:vAlign w:val="center"/>
          </w:tcPr>
          <w:p w14:paraId="377F5964">
            <w:pPr>
              <w:spacing w:line="360" w:lineRule="auto"/>
              <w:jc w:val="center"/>
              <w:rPr>
                <w:rFonts w:ascii="宋体" w:hAnsi="宋体"/>
                <w:sz w:val="24"/>
              </w:rPr>
            </w:pPr>
            <w:r>
              <w:rPr>
                <w:rFonts w:hint="eastAsia" w:ascii="宋体" w:hAnsi="宋体"/>
                <w:sz w:val="24"/>
              </w:rPr>
              <w:t>2.11</w:t>
            </w:r>
            <w:r>
              <w:rPr>
                <w:rFonts w:ascii="宋体" w:hAnsi="宋体"/>
                <w:sz w:val="24"/>
              </w:rPr>
              <w:t>.</w:t>
            </w:r>
            <w:r>
              <w:rPr>
                <w:rFonts w:hint="eastAsia" w:ascii="宋体" w:hAnsi="宋体"/>
                <w:sz w:val="24"/>
              </w:rPr>
              <w:t>4</w:t>
            </w:r>
          </w:p>
        </w:tc>
        <w:tc>
          <w:tcPr>
            <w:tcW w:w="7633" w:type="dxa"/>
            <w:vAlign w:val="center"/>
          </w:tcPr>
          <w:p w14:paraId="75C8D8AD">
            <w:pPr>
              <w:snapToGrid w:val="0"/>
              <w:spacing w:line="360" w:lineRule="auto"/>
              <w:rPr>
                <w:rFonts w:ascii="宋体" w:hAnsi="宋体"/>
                <w:sz w:val="24"/>
              </w:rPr>
            </w:pP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rPr>
              <w:t>2个工作日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rPr>
              <w:t>5个工作日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tc>
      </w:tr>
      <w:tr w14:paraId="0AE9F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208" w:type="dxa"/>
            <w:tcBorders>
              <w:left w:val="single" w:color="auto" w:sz="4" w:space="0"/>
            </w:tcBorders>
            <w:vAlign w:val="center"/>
          </w:tcPr>
          <w:p w14:paraId="5AD75C7C">
            <w:pPr>
              <w:spacing w:line="360" w:lineRule="auto"/>
              <w:jc w:val="center"/>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1</w:t>
            </w:r>
          </w:p>
        </w:tc>
        <w:tc>
          <w:tcPr>
            <w:tcW w:w="7633" w:type="dxa"/>
            <w:vAlign w:val="center"/>
          </w:tcPr>
          <w:p w14:paraId="3EBFC056">
            <w:pPr>
              <w:snapToGrid w:val="0"/>
              <w:spacing w:line="360" w:lineRule="auto"/>
              <w:rPr>
                <w:rFonts w:ascii="宋体" w:hAnsi="宋体"/>
                <w:sz w:val="24"/>
                <w:u w:val="single"/>
              </w:rPr>
            </w:pPr>
            <w:r>
              <w:rPr>
                <w:rFonts w:hint="eastAsia" w:ascii="Times New Roman" w:hAnsi="Times New Roman" w:eastAsia="宋体" w:cs="宋体"/>
                <w:sz w:val="24"/>
                <w:lang w:val="zh-CN"/>
              </w:rPr>
              <w:t>甲方按合同约定积极配合乙方履约，按合同约定及时组织相关专业技术人员进行验收，并出具验收报告，验收合格的作为支付款项的依据</w:t>
            </w:r>
            <w:r>
              <w:rPr>
                <w:rFonts w:hint="eastAsia" w:ascii="宋体" w:hAnsi="宋体" w:cs="宋体"/>
                <w:sz w:val="24"/>
              </w:rPr>
              <w:t>。</w:t>
            </w:r>
          </w:p>
        </w:tc>
      </w:tr>
      <w:tr w14:paraId="60CE1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1208" w:type="dxa"/>
            <w:tcBorders>
              <w:left w:val="single" w:color="auto" w:sz="4" w:space="0"/>
            </w:tcBorders>
            <w:vAlign w:val="center"/>
          </w:tcPr>
          <w:p w14:paraId="13343133">
            <w:pPr>
              <w:spacing w:line="360" w:lineRule="auto"/>
              <w:jc w:val="center"/>
              <w:rPr>
                <w:rFonts w:ascii="宋体" w:hAnsi="宋体"/>
                <w:sz w:val="24"/>
              </w:rPr>
            </w:pPr>
            <w:r>
              <w:rPr>
                <w:rFonts w:hint="eastAsia" w:ascii="宋体" w:hAnsi="宋体"/>
                <w:sz w:val="24"/>
              </w:rPr>
              <w:t>2.15.3</w:t>
            </w:r>
          </w:p>
        </w:tc>
        <w:tc>
          <w:tcPr>
            <w:tcW w:w="7633" w:type="dxa"/>
            <w:vAlign w:val="center"/>
          </w:tcPr>
          <w:p w14:paraId="32D99D2B">
            <w:pPr>
              <w:snapToGrid w:val="0"/>
              <w:spacing w:line="360" w:lineRule="auto"/>
              <w:rPr>
                <w:rFonts w:ascii="宋体" w:hAnsi="宋体"/>
                <w:sz w:val="24"/>
              </w:rPr>
            </w:pPr>
            <w:r>
              <w:rPr>
                <w:rFonts w:hint="eastAsia" w:ascii="宋体" w:hAnsi="宋体"/>
                <w:sz w:val="24"/>
              </w:rPr>
              <w:t>合同期满或者履行完毕后，甲方有权组织（包括邀请相关专家参加）对乙方履约的验收。</w:t>
            </w:r>
          </w:p>
        </w:tc>
      </w:tr>
      <w:tr w14:paraId="2FC3E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208" w:type="dxa"/>
            <w:tcBorders>
              <w:left w:val="single" w:color="auto" w:sz="4" w:space="0"/>
            </w:tcBorders>
            <w:vAlign w:val="center"/>
          </w:tcPr>
          <w:p w14:paraId="560EB985">
            <w:pPr>
              <w:spacing w:line="360" w:lineRule="auto"/>
              <w:jc w:val="center"/>
              <w:rPr>
                <w:rFonts w:ascii="宋体" w:hAnsi="宋体"/>
                <w:sz w:val="24"/>
              </w:rPr>
            </w:pPr>
            <w:r>
              <w:rPr>
                <w:rFonts w:hint="eastAsia" w:ascii="宋体" w:hAnsi="宋体"/>
                <w:sz w:val="24"/>
              </w:rPr>
              <w:t>2.18.1</w:t>
            </w:r>
          </w:p>
        </w:tc>
        <w:tc>
          <w:tcPr>
            <w:tcW w:w="7633" w:type="dxa"/>
            <w:vAlign w:val="center"/>
          </w:tcPr>
          <w:p w14:paraId="1B5ABA5A">
            <w:pPr>
              <w:snapToGrid w:val="0"/>
              <w:spacing w:line="360" w:lineRule="auto"/>
              <w:rPr>
                <w:rFonts w:ascii="宋体" w:hAnsi="宋体"/>
                <w:sz w:val="24"/>
                <w:u w:val="single"/>
              </w:rPr>
            </w:pPr>
            <w:r>
              <w:rPr>
                <w:rFonts w:ascii="宋体" w:hAnsi="宋体"/>
                <w:sz w:val="24"/>
              </w:rPr>
              <w:t>本项目履约保证金</w:t>
            </w:r>
            <w:r>
              <w:rPr>
                <w:rFonts w:hint="eastAsia" w:ascii="宋体" w:hAnsi="宋体"/>
                <w:sz w:val="24"/>
              </w:rPr>
              <w:t>：免收</w:t>
            </w:r>
            <w:r>
              <w:rPr>
                <w:rFonts w:ascii="宋体" w:hAnsi="宋体"/>
                <w:sz w:val="24"/>
              </w:rPr>
              <w:t xml:space="preserve"> </w:t>
            </w:r>
          </w:p>
        </w:tc>
      </w:tr>
      <w:tr w14:paraId="38849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24" w:hRule="atLeast"/>
          <w:jc w:val="center"/>
        </w:trPr>
        <w:tc>
          <w:tcPr>
            <w:tcW w:w="1208" w:type="dxa"/>
            <w:tcBorders>
              <w:left w:val="single" w:color="auto" w:sz="4" w:space="0"/>
            </w:tcBorders>
            <w:vAlign w:val="center"/>
          </w:tcPr>
          <w:p w14:paraId="5A7E7293">
            <w:pPr>
              <w:spacing w:line="360" w:lineRule="auto"/>
              <w:jc w:val="center"/>
              <w:rPr>
                <w:rFonts w:ascii="宋体" w:hAnsi="宋体" w:cs="宋体"/>
                <w:sz w:val="24"/>
              </w:rPr>
            </w:pPr>
            <w:r>
              <w:rPr>
                <w:rFonts w:hint="eastAsia" w:ascii="宋体" w:hAnsi="宋体" w:cs="宋体"/>
                <w:sz w:val="24"/>
              </w:rPr>
              <w:t>2.18.2</w:t>
            </w:r>
          </w:p>
        </w:tc>
        <w:tc>
          <w:tcPr>
            <w:tcW w:w="7633" w:type="dxa"/>
            <w:vAlign w:val="center"/>
          </w:tcPr>
          <w:p w14:paraId="5A59201A">
            <w:pPr>
              <w:snapToGrid w:val="0"/>
              <w:spacing w:line="360" w:lineRule="auto"/>
              <w:rPr>
                <w:rFonts w:ascii="宋体" w:hAnsi="宋体"/>
                <w:sz w:val="24"/>
              </w:rPr>
            </w:pPr>
            <w:r>
              <w:rPr>
                <w:rFonts w:hint="eastAsia" w:ascii="宋体" w:hAnsi="宋体"/>
                <w:sz w:val="24"/>
              </w:rPr>
              <w:t>发生以下情况的，履约保证金不予退还或部分退还：</w:t>
            </w:r>
          </w:p>
          <w:p w14:paraId="279878C5">
            <w:pPr>
              <w:snapToGrid w:val="0"/>
              <w:spacing w:line="360" w:lineRule="auto"/>
              <w:rPr>
                <w:rFonts w:ascii="宋体" w:hAnsi="宋体"/>
                <w:sz w:val="24"/>
              </w:rPr>
            </w:pPr>
            <w:r>
              <w:rPr>
                <w:rFonts w:hint="eastAsia" w:ascii="宋体" w:hAnsi="宋体"/>
                <w:sz w:val="24"/>
              </w:rPr>
              <w:t>a.签订合同后，乙方不履行合同义务的，甲方有权不予支付合同价款，同时甲方亦有权终止合同，乙方还须承担相应的法律赔偿责任。</w:t>
            </w:r>
          </w:p>
          <w:p w14:paraId="5776C697">
            <w:pPr>
              <w:snapToGrid w:val="0"/>
              <w:spacing w:line="360" w:lineRule="auto"/>
              <w:rPr>
                <w:rFonts w:ascii="宋体" w:hAnsi="宋体"/>
                <w:sz w:val="24"/>
              </w:rPr>
            </w:pPr>
            <w:r>
              <w:rPr>
                <w:rFonts w:hint="eastAsia" w:ascii="宋体" w:hAnsi="宋体"/>
                <w:sz w:val="24"/>
              </w:rPr>
              <w:t>b.乙方在履约过程中发生违约行为，给甲方造成损失的，甲方有权在合同价款支付时直接扣除，以弥补甲方经济损失，不足的部分乙方另外补齐，同时甲方亦有权终止合同，乙方还须承担相应的法律赔偿责任。</w:t>
            </w:r>
          </w:p>
        </w:tc>
      </w:tr>
    </w:tbl>
    <w:p w14:paraId="1AB2684B">
      <w:pPr>
        <w:spacing w:line="360" w:lineRule="auto"/>
        <w:ind w:firstLine="566"/>
        <w:rPr>
          <w:rFonts w:ascii="Times New Roman" w:hAnsi="Times New Roman" w:cs="宋体"/>
          <w:sz w:val="24"/>
        </w:rPr>
      </w:pPr>
    </w:p>
    <w:p w14:paraId="20E2380E">
      <w:pPr>
        <w:widowControl/>
        <w:spacing w:line="360" w:lineRule="auto"/>
        <w:ind w:firstLine="482"/>
        <w:rPr>
          <w:rFonts w:ascii="Times New Roman" w:hAnsi="Times New Roman" w:cs="宋体"/>
          <w:b/>
          <w:sz w:val="24"/>
        </w:rPr>
      </w:pPr>
      <w:r>
        <w:rPr>
          <w:rFonts w:hint="eastAsia" w:ascii="Times New Roman" w:hAnsi="Times New Roman" w:cs="宋体"/>
          <w:b/>
          <w:sz w:val="24"/>
        </w:rPr>
        <w:t>采购人保留对合同修改和完善的权利。</w:t>
      </w:r>
    </w:p>
    <w:p w14:paraId="2EE8E8D4">
      <w:pPr>
        <w:spacing w:line="360" w:lineRule="auto"/>
        <w:rPr>
          <w:rFonts w:ascii="Times New Roman" w:hAnsi="Times New Roman"/>
          <w:b/>
          <w:sz w:val="32"/>
          <w:szCs w:val="32"/>
        </w:rPr>
      </w:pPr>
      <w:r>
        <w:rPr>
          <w:rFonts w:hint="eastAsia" w:ascii="Times New Roman" w:hAnsi="Times New Roman"/>
          <w:b/>
          <w:sz w:val="32"/>
          <w:szCs w:val="32"/>
        </w:rPr>
        <w:br w:type="page" w:clear="all"/>
      </w:r>
    </w:p>
    <w:p w14:paraId="4CE14510">
      <w:pPr>
        <w:spacing w:line="360" w:lineRule="auto"/>
        <w:ind w:firstLine="643"/>
        <w:jc w:val="left"/>
        <w:rPr>
          <w:rFonts w:ascii="Times New Roman" w:hAnsi="Times New Roman"/>
          <w:b/>
          <w:sz w:val="32"/>
          <w:szCs w:val="32"/>
        </w:rPr>
      </w:pPr>
      <w:r>
        <w:rPr>
          <w:rFonts w:hint="eastAsia" w:ascii="Times New Roman" w:hAnsi="Times New Roman"/>
          <w:b/>
          <w:sz w:val="32"/>
          <w:szCs w:val="32"/>
        </w:rPr>
        <w:t>附件一</w:t>
      </w:r>
    </w:p>
    <w:p w14:paraId="4B19848E">
      <w:pPr>
        <w:spacing w:line="360" w:lineRule="auto"/>
        <w:ind w:firstLine="562"/>
        <w:jc w:val="center"/>
        <w:rPr>
          <w:rFonts w:ascii="Times New Roman" w:hAnsi="Times New Roman"/>
          <w:b/>
          <w:bCs/>
          <w:sz w:val="28"/>
          <w:szCs w:val="21"/>
        </w:rPr>
      </w:pPr>
      <w:r>
        <w:rPr>
          <w:rFonts w:hint="eastAsia" w:ascii="Times New Roman" w:hAnsi="Times New Roman"/>
          <w:b/>
          <w:bCs/>
          <w:sz w:val="28"/>
          <w:szCs w:val="21"/>
        </w:rPr>
        <w:t>廉洁协议</w:t>
      </w:r>
    </w:p>
    <w:p w14:paraId="50A642A3">
      <w:pPr>
        <w:spacing w:line="360" w:lineRule="auto"/>
        <w:ind w:firstLine="480"/>
        <w:rPr>
          <w:rFonts w:ascii="Times New Roman" w:hAnsi="Times New Roman"/>
          <w:sz w:val="24"/>
          <w:szCs w:val="21"/>
        </w:rPr>
      </w:pPr>
      <w:r>
        <w:rPr>
          <w:rFonts w:hint="eastAsia" w:ascii="Times New Roman" w:hAnsi="Times New Roman"/>
          <w:sz w:val="24"/>
          <w:szCs w:val="21"/>
        </w:rPr>
        <w:t>立协议单位：</w:t>
      </w:r>
      <w:r>
        <w:rPr>
          <w:rFonts w:hint="eastAsia" w:ascii="Times New Roman" w:hAnsi="Times New Roman"/>
          <w:sz w:val="24"/>
          <w:szCs w:val="21"/>
          <w:u w:val="single"/>
        </w:rPr>
        <w:t xml:space="preserve">                                        </w:t>
      </w:r>
      <w:r>
        <w:rPr>
          <w:rFonts w:hint="eastAsia" w:ascii="Times New Roman" w:hAnsi="Times New Roman"/>
          <w:sz w:val="24"/>
          <w:szCs w:val="21"/>
        </w:rPr>
        <w:t>（甲方）</w:t>
      </w:r>
    </w:p>
    <w:p w14:paraId="4D6774A6">
      <w:pPr>
        <w:spacing w:line="360" w:lineRule="auto"/>
        <w:ind w:firstLine="480"/>
        <w:rPr>
          <w:rFonts w:ascii="Times New Roman" w:hAnsi="Times New Roman"/>
          <w:sz w:val="24"/>
          <w:szCs w:val="21"/>
        </w:rPr>
      </w:pPr>
      <w:r>
        <w:rPr>
          <w:rFonts w:hint="eastAsia" w:ascii="Times New Roman" w:hAnsi="Times New Roman"/>
          <w:sz w:val="24"/>
          <w:szCs w:val="21"/>
        </w:rPr>
        <w:t xml:space="preserve">           </w:t>
      </w:r>
      <w:r>
        <w:rPr>
          <w:rFonts w:hint="eastAsia" w:ascii="Times New Roman" w:hAnsi="Times New Roman"/>
          <w:sz w:val="24"/>
          <w:szCs w:val="21"/>
          <w:u w:val="single"/>
        </w:rPr>
        <w:t xml:space="preserve"> </w:t>
      </w:r>
      <w:r>
        <w:rPr>
          <w:rFonts w:ascii="Times New Roman" w:hAnsi="Times New Roman"/>
          <w:sz w:val="24"/>
          <w:szCs w:val="21"/>
          <w:u w:val="single"/>
        </w:rPr>
        <w:t xml:space="preserve">     </w:t>
      </w:r>
      <w:r>
        <w:rPr>
          <w:rFonts w:hint="eastAsia" w:ascii="Times New Roman" w:hAnsi="Times New Roman"/>
          <w:sz w:val="24"/>
          <w:szCs w:val="21"/>
          <w:u w:val="single"/>
        </w:rPr>
        <w:t xml:space="preserve">                        </w:t>
      </w:r>
      <w:r>
        <w:rPr>
          <w:rFonts w:ascii="Times New Roman" w:hAnsi="Times New Roman"/>
          <w:sz w:val="24"/>
          <w:szCs w:val="21"/>
          <w:u w:val="single"/>
        </w:rPr>
        <w:t xml:space="preserve">           </w:t>
      </w:r>
      <w:r>
        <w:rPr>
          <w:rFonts w:hint="eastAsia" w:ascii="Times New Roman" w:hAnsi="Times New Roman"/>
          <w:sz w:val="24"/>
          <w:szCs w:val="21"/>
        </w:rPr>
        <w:t>（乙方）</w:t>
      </w:r>
    </w:p>
    <w:p w14:paraId="22C489FE">
      <w:pPr>
        <w:spacing w:line="360" w:lineRule="auto"/>
        <w:ind w:firstLine="480"/>
        <w:rPr>
          <w:rFonts w:ascii="Times New Roman" w:hAnsi="Times New Roman"/>
          <w:sz w:val="24"/>
          <w:szCs w:val="21"/>
        </w:rPr>
      </w:pPr>
      <w:r>
        <w:rPr>
          <w:rFonts w:hint="eastAsia" w:ascii="Times New Roman" w:hAnsi="Times New Roman"/>
          <w:sz w:val="24"/>
          <w:szCs w:val="21"/>
        </w:rPr>
        <w:t xml:space="preserve">为了在服务全过程中保持廉洁自律的风气，防止各种不正当行为的发生，根据国家、省、市有关服务项目承发包和廉政建设的各项规定，甲乙双方按照公平、公正和诚实信用的原则，自愿订立并共同遵守如下协议： </w:t>
      </w:r>
    </w:p>
    <w:p w14:paraId="3C914BF5">
      <w:pPr>
        <w:spacing w:line="360" w:lineRule="auto"/>
        <w:ind w:firstLine="480"/>
        <w:rPr>
          <w:rFonts w:ascii="Times New Roman" w:hAnsi="Times New Roman"/>
          <w:sz w:val="24"/>
          <w:szCs w:val="21"/>
        </w:rPr>
      </w:pPr>
      <w:r>
        <w:rPr>
          <w:rFonts w:hint="eastAsia" w:ascii="Times New Roman" w:hAnsi="Times New Roman"/>
          <w:sz w:val="24"/>
          <w:szCs w:val="21"/>
        </w:rPr>
        <w:t>第一条  甲乙双方应当自觉遵守国家、省、市关于服务项目承发包和廉政建设的各项规定。</w:t>
      </w:r>
    </w:p>
    <w:p w14:paraId="754D53C7">
      <w:pPr>
        <w:spacing w:line="360" w:lineRule="auto"/>
        <w:ind w:firstLine="480"/>
        <w:rPr>
          <w:rFonts w:ascii="Times New Roman" w:hAnsi="Times New Roman"/>
          <w:sz w:val="24"/>
          <w:szCs w:val="21"/>
        </w:rPr>
      </w:pPr>
      <w:r>
        <w:rPr>
          <w:rFonts w:hint="eastAsia" w:ascii="Times New Roman" w:hAnsi="Times New Roman"/>
          <w:sz w:val="24"/>
          <w:szCs w:val="21"/>
        </w:rPr>
        <w:t>第二条  甲方责任</w:t>
      </w:r>
    </w:p>
    <w:p w14:paraId="6508B43E">
      <w:pPr>
        <w:spacing w:line="360" w:lineRule="auto"/>
        <w:ind w:firstLine="480"/>
        <w:rPr>
          <w:rFonts w:ascii="Times New Roman" w:hAnsi="Times New Roman"/>
          <w:sz w:val="24"/>
          <w:szCs w:val="21"/>
        </w:rPr>
      </w:pPr>
      <w:r>
        <w:rPr>
          <w:rFonts w:hint="eastAsia" w:ascii="Times New Roman" w:hAnsi="Times New Roman"/>
          <w:sz w:val="24"/>
          <w:szCs w:val="21"/>
        </w:rPr>
        <w:t>（一）甲方工作人员不得以任何形式接受乙方的礼金、有价证券、物品、好处费、感谢费等，不得在乙方报销任何应由个人支付的费用。</w:t>
      </w:r>
    </w:p>
    <w:p w14:paraId="28EC6910">
      <w:pPr>
        <w:spacing w:line="360" w:lineRule="auto"/>
        <w:ind w:firstLine="480"/>
        <w:rPr>
          <w:rFonts w:ascii="Times New Roman" w:hAnsi="Times New Roman"/>
          <w:sz w:val="24"/>
          <w:szCs w:val="21"/>
        </w:rPr>
      </w:pPr>
      <w:r>
        <w:rPr>
          <w:rFonts w:hint="eastAsia" w:ascii="Times New Roman" w:hAnsi="Times New Roman"/>
          <w:sz w:val="24"/>
          <w:szCs w:val="21"/>
        </w:rPr>
        <w:t>（二）甲方工作人员不得参加可能对公正执行公务有影响的宴请、健身和娱乐等活动。</w:t>
      </w:r>
    </w:p>
    <w:p w14:paraId="44EF431B">
      <w:pPr>
        <w:spacing w:line="360" w:lineRule="auto"/>
        <w:ind w:firstLine="480"/>
        <w:rPr>
          <w:rFonts w:ascii="Times New Roman" w:hAnsi="Times New Roman"/>
          <w:sz w:val="24"/>
          <w:szCs w:val="21"/>
        </w:rPr>
      </w:pPr>
      <w:r>
        <w:rPr>
          <w:rFonts w:hint="eastAsia" w:ascii="Times New Roman" w:hAnsi="Times New Roman"/>
          <w:sz w:val="24"/>
          <w:szCs w:val="21"/>
        </w:rPr>
        <w:t>（三）甲方工作人员不得接受、要求和暗示乙方和相关单位为个人装修住房、婚丧嫁娶、配偶子女的工作安排以及出国（境）、旅游等提供方便。</w:t>
      </w:r>
    </w:p>
    <w:p w14:paraId="13DA5499">
      <w:pPr>
        <w:spacing w:line="360" w:lineRule="auto"/>
        <w:ind w:firstLine="480"/>
        <w:rPr>
          <w:rFonts w:ascii="Times New Roman" w:hAnsi="Times New Roman"/>
          <w:sz w:val="24"/>
          <w:szCs w:val="21"/>
        </w:rPr>
      </w:pPr>
      <w:r>
        <w:rPr>
          <w:rFonts w:hint="eastAsia" w:ascii="Times New Roman" w:hAnsi="Times New Roman"/>
          <w:sz w:val="24"/>
          <w:szCs w:val="21"/>
        </w:rPr>
        <w:t>（四）甲方工作人员不得向乙方和相关单位介绍或为配偶、子女、亲属参与同甲方管理合同有关的业务活动；不得以任何理由要求或暗示乙方和相关单位使用某种产品、材料和设备。</w:t>
      </w:r>
    </w:p>
    <w:p w14:paraId="209F3568">
      <w:pPr>
        <w:spacing w:line="360" w:lineRule="auto"/>
        <w:ind w:firstLine="480"/>
        <w:rPr>
          <w:rFonts w:ascii="Times New Roman" w:hAnsi="Times New Roman"/>
          <w:sz w:val="24"/>
          <w:szCs w:val="21"/>
        </w:rPr>
      </w:pPr>
      <w:r>
        <w:rPr>
          <w:rFonts w:hint="eastAsia" w:ascii="Times New Roman" w:hAnsi="Times New Roman"/>
          <w:sz w:val="24"/>
          <w:szCs w:val="21"/>
        </w:rPr>
        <w:t>（五）甲方工作人员不得向乙方和相关单位泄露应当保密或者可能影响公平竞争的相关情况。</w:t>
      </w:r>
    </w:p>
    <w:p w14:paraId="0A5CFAB0">
      <w:pPr>
        <w:spacing w:line="360" w:lineRule="auto"/>
        <w:ind w:firstLine="480"/>
        <w:rPr>
          <w:rFonts w:ascii="Times New Roman" w:hAnsi="Times New Roman"/>
          <w:sz w:val="24"/>
          <w:szCs w:val="21"/>
        </w:rPr>
      </w:pPr>
      <w:r>
        <w:rPr>
          <w:rFonts w:hint="eastAsia" w:ascii="Times New Roman" w:hAnsi="Times New Roman"/>
          <w:sz w:val="24"/>
          <w:szCs w:val="21"/>
        </w:rPr>
        <w:t>（六）甲方工作人员不得接受、要求和暗示乙方和相关单位为其购置或者提供通讯工具、交通工具、家电、高档办公用品等物品。</w:t>
      </w:r>
    </w:p>
    <w:p w14:paraId="7AB91ACE">
      <w:pPr>
        <w:spacing w:line="360" w:lineRule="auto"/>
        <w:ind w:firstLine="480"/>
        <w:rPr>
          <w:rFonts w:ascii="Times New Roman" w:hAnsi="Times New Roman"/>
          <w:sz w:val="24"/>
          <w:szCs w:val="21"/>
        </w:rPr>
      </w:pPr>
      <w:r>
        <w:rPr>
          <w:rFonts w:hint="eastAsia" w:ascii="Times New Roman" w:hAnsi="Times New Roman"/>
          <w:sz w:val="24"/>
          <w:szCs w:val="21"/>
        </w:rPr>
        <w:t>（七）甲方工作人员不得在家里接待乙方有关事宜的询访。</w:t>
      </w:r>
    </w:p>
    <w:p w14:paraId="0CC53FD8">
      <w:pPr>
        <w:spacing w:line="360" w:lineRule="auto"/>
        <w:ind w:firstLine="480"/>
        <w:rPr>
          <w:rFonts w:ascii="Times New Roman" w:hAnsi="Times New Roman"/>
          <w:sz w:val="24"/>
          <w:szCs w:val="21"/>
        </w:rPr>
      </w:pPr>
      <w:r>
        <w:rPr>
          <w:rFonts w:hint="eastAsia" w:ascii="Times New Roman" w:hAnsi="Times New Roman"/>
          <w:sz w:val="24"/>
          <w:szCs w:val="21"/>
        </w:rPr>
        <w:t>第三条  乙方责任</w:t>
      </w:r>
    </w:p>
    <w:p w14:paraId="4DE56BEE">
      <w:pPr>
        <w:spacing w:line="360" w:lineRule="auto"/>
        <w:ind w:firstLine="480"/>
        <w:rPr>
          <w:rFonts w:ascii="Times New Roman" w:hAnsi="Times New Roman"/>
          <w:sz w:val="24"/>
          <w:szCs w:val="21"/>
        </w:rPr>
      </w:pPr>
      <w:r>
        <w:rPr>
          <w:rFonts w:hint="eastAsia" w:ascii="Times New Roman" w:hAnsi="Times New Roman"/>
          <w:sz w:val="24"/>
          <w:szCs w:val="21"/>
        </w:rPr>
        <w:t>（一）乙方通过正常途径开展相关业务，不得向甲方工作人员、审计等相关人员赠送礼品、礼金、有价证券、物品和好处费、感谢费等。不得为甲方工作人员、审计等相关人员报销应由其个人或其单位负担的费用。</w:t>
      </w:r>
    </w:p>
    <w:p w14:paraId="72B60EC1">
      <w:pPr>
        <w:spacing w:line="360" w:lineRule="auto"/>
        <w:ind w:firstLine="480"/>
        <w:rPr>
          <w:rFonts w:ascii="Times New Roman" w:hAnsi="Times New Roman"/>
          <w:sz w:val="24"/>
          <w:szCs w:val="21"/>
        </w:rPr>
      </w:pPr>
      <w:r>
        <w:rPr>
          <w:rFonts w:hint="eastAsia" w:ascii="Times New Roman" w:hAnsi="Times New Roman"/>
          <w:sz w:val="24"/>
          <w:szCs w:val="21"/>
        </w:rPr>
        <w:t>（二）乙方不得为谋取不正当利益擅自与甲方工作人员、审计等相关人员就服务项目进行私下商谈或达成默契。</w:t>
      </w:r>
    </w:p>
    <w:p w14:paraId="27EF9CE2">
      <w:pPr>
        <w:spacing w:line="360" w:lineRule="auto"/>
        <w:ind w:firstLine="480"/>
        <w:rPr>
          <w:rFonts w:ascii="Times New Roman" w:hAnsi="Times New Roman"/>
          <w:sz w:val="24"/>
          <w:szCs w:val="21"/>
        </w:rPr>
      </w:pPr>
      <w:r>
        <w:rPr>
          <w:rFonts w:hint="eastAsia" w:ascii="Times New Roman" w:hAnsi="Times New Roman"/>
          <w:sz w:val="24"/>
          <w:szCs w:val="21"/>
        </w:rPr>
        <w:t>（三）乙方不得为甲方工作人员、审计等相关人员装修住房、婚丧嫁娶、配偶子女的工作安排以及出国（境）、旅游等提供方便。</w:t>
      </w:r>
    </w:p>
    <w:p w14:paraId="7A84C7FB">
      <w:pPr>
        <w:spacing w:line="360" w:lineRule="auto"/>
        <w:ind w:firstLine="480"/>
        <w:rPr>
          <w:rFonts w:ascii="Times New Roman" w:hAnsi="Times New Roman"/>
          <w:sz w:val="24"/>
          <w:szCs w:val="21"/>
        </w:rPr>
      </w:pPr>
      <w:r>
        <w:rPr>
          <w:rFonts w:hint="eastAsia" w:ascii="Times New Roman" w:hAnsi="Times New Roman"/>
          <w:sz w:val="24"/>
          <w:szCs w:val="21"/>
        </w:rPr>
        <w:t>（四）乙方不得以任何理由为甲方、审计等相关人员和相关单位及其个人组织有可能影响公正执行公务的宴请、健身、娱乐等活动。</w:t>
      </w:r>
    </w:p>
    <w:p w14:paraId="4C5A84A1">
      <w:pPr>
        <w:spacing w:line="360" w:lineRule="auto"/>
        <w:ind w:firstLine="480"/>
        <w:rPr>
          <w:rFonts w:ascii="Times New Roman" w:hAnsi="Times New Roman"/>
          <w:sz w:val="24"/>
          <w:szCs w:val="21"/>
        </w:rPr>
      </w:pPr>
      <w:r>
        <w:rPr>
          <w:rFonts w:hint="eastAsia" w:ascii="Times New Roman" w:hAnsi="Times New Roman"/>
          <w:sz w:val="24"/>
          <w:szCs w:val="21"/>
        </w:rPr>
        <w:t>（五）乙方不得为甲方工作人员、审计等相关人员购置或者提供通讯工具、交通工具、家电、高档办公用品等物品。</w:t>
      </w:r>
    </w:p>
    <w:p w14:paraId="0D9CD570">
      <w:pPr>
        <w:spacing w:line="360" w:lineRule="auto"/>
        <w:ind w:firstLine="480"/>
        <w:rPr>
          <w:rFonts w:ascii="Times New Roman" w:hAnsi="Times New Roman"/>
          <w:sz w:val="24"/>
          <w:szCs w:val="21"/>
        </w:rPr>
      </w:pPr>
      <w:r>
        <w:rPr>
          <w:rFonts w:hint="eastAsia" w:ascii="Times New Roman" w:hAnsi="Times New Roman"/>
          <w:sz w:val="24"/>
          <w:szCs w:val="21"/>
        </w:rPr>
        <w:t>第四条  违约责任</w:t>
      </w:r>
    </w:p>
    <w:p w14:paraId="4F2AC908">
      <w:pPr>
        <w:spacing w:line="360" w:lineRule="auto"/>
        <w:ind w:firstLine="480"/>
        <w:rPr>
          <w:rFonts w:ascii="Times New Roman" w:hAnsi="Times New Roman"/>
          <w:sz w:val="24"/>
          <w:szCs w:val="21"/>
        </w:rPr>
      </w:pPr>
      <w:r>
        <w:rPr>
          <w:rFonts w:hint="eastAsia" w:ascii="Times New Roman" w:hAnsi="Times New Roman"/>
          <w:sz w:val="24"/>
          <w:szCs w:val="21"/>
        </w:rPr>
        <w:t>（一）乙方如发现甲方工作人员有违反上述协议者，应向甲方纪委监察机关或甲方上级单位举报。甲方不得找任何借口对乙方进行报复。</w:t>
      </w:r>
    </w:p>
    <w:p w14:paraId="38E8C558">
      <w:pPr>
        <w:spacing w:line="360" w:lineRule="auto"/>
        <w:ind w:firstLine="480"/>
        <w:rPr>
          <w:rFonts w:ascii="Times New Roman" w:hAnsi="Times New Roman"/>
          <w:sz w:val="24"/>
          <w:szCs w:val="21"/>
        </w:rPr>
      </w:pPr>
      <w:r>
        <w:rPr>
          <w:rFonts w:hint="eastAsia" w:ascii="Times New Roman" w:hAnsi="Times New Roman"/>
          <w:sz w:val="24"/>
          <w:szCs w:val="21"/>
        </w:rPr>
        <w:t>（二）甲方发现乙方违反本协议，甲方根据具体情况和造成的后果扣除乙方合同价的2%——10%作为廉政违约金（发现一次，至少扣除合同价2%的违约金），对有贿赂等不良记录的单位和个人，在2—3年内不得参与甲方任何项目投标。乙方用不正当手段获取的非法所得由甲方从合同款中扣除。由此给甲方单位造成的损失，乙方应予赔偿。</w:t>
      </w:r>
    </w:p>
    <w:p w14:paraId="506D99CE">
      <w:pPr>
        <w:spacing w:line="360" w:lineRule="auto"/>
        <w:ind w:firstLine="480"/>
        <w:rPr>
          <w:rFonts w:ascii="Times New Roman" w:hAnsi="Times New Roman"/>
          <w:sz w:val="24"/>
          <w:szCs w:val="21"/>
        </w:rPr>
      </w:pPr>
      <w:r>
        <w:rPr>
          <w:rFonts w:hint="eastAsia" w:ascii="Times New Roman" w:hAnsi="Times New Roman"/>
          <w:sz w:val="24"/>
          <w:szCs w:val="21"/>
        </w:rPr>
        <w:t>第五条  本协议一式陆份。双方各随合同保存叁份。</w:t>
      </w:r>
    </w:p>
    <w:p w14:paraId="37940A6E">
      <w:pPr>
        <w:spacing w:line="360" w:lineRule="auto"/>
        <w:ind w:left="105" w:firstLine="360"/>
        <w:rPr>
          <w:rFonts w:ascii="Times New Roman" w:hAnsi="Times New Roman"/>
          <w:sz w:val="24"/>
          <w:szCs w:val="21"/>
          <w:u w:val="single"/>
        </w:rPr>
      </w:pPr>
      <w:r>
        <w:rPr>
          <w:rFonts w:hint="eastAsia" w:ascii="Times New Roman" w:hAnsi="Times New Roman"/>
          <w:sz w:val="24"/>
          <w:szCs w:val="21"/>
        </w:rPr>
        <w:t>第六条  本廉洁协议作为</w:t>
      </w:r>
      <w:r>
        <w:rPr>
          <w:rFonts w:hint="eastAsia" w:ascii="Times New Roman" w:hAnsi="Times New Roman"/>
          <w:sz w:val="24"/>
          <w:szCs w:val="21"/>
          <w:u w:val="single"/>
        </w:rPr>
        <w:t xml:space="preserve">                   </w:t>
      </w:r>
      <w:r>
        <w:rPr>
          <w:rFonts w:hint="eastAsia" w:ascii="Times New Roman" w:hAnsi="Times New Roman"/>
          <w:sz w:val="24"/>
          <w:szCs w:val="21"/>
        </w:rPr>
        <w:t>合同</w:t>
      </w:r>
      <w:r>
        <w:rPr>
          <w:rFonts w:hint="eastAsia" w:ascii="Times New Roman" w:hAnsi="Times New Roman"/>
          <w:b/>
          <w:sz w:val="24"/>
          <w:szCs w:val="21"/>
        </w:rPr>
        <w:t>（合同编号</w:t>
      </w:r>
      <w:r>
        <w:rPr>
          <w:rFonts w:ascii="Times New Roman" w:hAnsi="Times New Roman"/>
          <w:b/>
          <w:bCs/>
          <w:szCs w:val="21"/>
        </w:rPr>
        <w:t xml:space="preserve">   </w:t>
      </w:r>
      <w:r>
        <w:rPr>
          <w:rFonts w:hint="eastAsia" w:ascii="Times New Roman" w:hAnsi="Times New Roman"/>
          <w:b/>
          <w:sz w:val="24"/>
          <w:szCs w:val="21"/>
        </w:rPr>
        <w:t>）</w:t>
      </w:r>
      <w:r>
        <w:rPr>
          <w:rFonts w:hint="eastAsia" w:ascii="Times New Roman" w:hAnsi="Times New Roman"/>
          <w:sz w:val="24"/>
          <w:szCs w:val="21"/>
        </w:rPr>
        <w:t>的附件，与</w:t>
      </w:r>
      <w:r>
        <w:rPr>
          <w:rFonts w:hint="eastAsia" w:ascii="Times New Roman" w:hAnsi="Times New Roman"/>
          <w:sz w:val="24"/>
          <w:szCs w:val="21"/>
          <w:u w:val="single"/>
        </w:rPr>
        <w:t xml:space="preserve">     项目</w:t>
      </w:r>
      <w:r>
        <w:rPr>
          <w:rFonts w:hint="eastAsia" w:ascii="Times New Roman" w:hAnsi="Times New Roman"/>
          <w:sz w:val="24"/>
          <w:szCs w:val="21"/>
        </w:rPr>
        <w:t>合同具有同等法律效力。经协议双方签署盖章后</w:t>
      </w:r>
      <w:r>
        <w:rPr>
          <w:rFonts w:ascii="Times New Roman" w:hAnsi="Times New Roman"/>
          <w:sz w:val="24"/>
          <w:szCs w:val="21"/>
        </w:rPr>
        <w:t xml:space="preserve">  </w:t>
      </w:r>
      <w:r>
        <w:rPr>
          <w:rFonts w:hint="eastAsia" w:ascii="Times New Roman" w:hAnsi="Times New Roman"/>
          <w:sz w:val="24"/>
          <w:szCs w:val="21"/>
        </w:rPr>
        <w:t>立即生效。</w:t>
      </w:r>
    </w:p>
    <w:p w14:paraId="22984CC4">
      <w:pPr>
        <w:spacing w:line="360" w:lineRule="auto"/>
        <w:ind w:firstLine="480"/>
        <w:rPr>
          <w:rFonts w:ascii="Times New Roman" w:hAnsi="Times New Roman"/>
          <w:sz w:val="24"/>
          <w:szCs w:val="21"/>
        </w:rPr>
      </w:pPr>
    </w:p>
    <w:p w14:paraId="548EA60B">
      <w:pPr>
        <w:spacing w:line="360" w:lineRule="auto"/>
        <w:ind w:firstLine="480"/>
        <w:rPr>
          <w:rFonts w:ascii="Times New Roman" w:hAnsi="Times New Roman"/>
          <w:sz w:val="24"/>
          <w:szCs w:val="21"/>
        </w:rPr>
      </w:pPr>
      <w:r>
        <w:rPr>
          <w:rFonts w:hint="eastAsia" w:ascii="Times New Roman" w:hAnsi="Times New Roman"/>
          <w:sz w:val="24"/>
          <w:szCs w:val="21"/>
        </w:rPr>
        <w:t>甲方单位：（盖章）                   乙方单位：（盖章）</w:t>
      </w:r>
    </w:p>
    <w:p w14:paraId="6FE4F788">
      <w:pPr>
        <w:spacing w:line="360" w:lineRule="auto"/>
        <w:ind w:firstLine="480"/>
        <w:rPr>
          <w:rFonts w:ascii="Times New Roman" w:hAnsi="Times New Roman"/>
          <w:sz w:val="24"/>
          <w:szCs w:val="21"/>
        </w:rPr>
      </w:pPr>
      <w:r>
        <w:rPr>
          <w:rFonts w:hint="eastAsia" w:ascii="Times New Roman" w:hAnsi="Times New Roman"/>
          <w:sz w:val="24"/>
          <w:szCs w:val="21"/>
        </w:rPr>
        <w:t>委托代表人签字：                    委托代表人签字：</w:t>
      </w:r>
    </w:p>
    <w:p w14:paraId="07F4BCA9">
      <w:pPr>
        <w:widowControl/>
        <w:spacing w:before="280" w:after="280" w:line="360" w:lineRule="auto"/>
        <w:ind w:firstLine="480" w:firstLineChars="200"/>
        <w:rPr>
          <w:rFonts w:ascii="Times New Roman" w:hAnsi="Times New Roman" w:cs="宋体"/>
          <w:sz w:val="18"/>
          <w:szCs w:val="20"/>
        </w:rPr>
      </w:pPr>
      <w:r>
        <w:rPr>
          <w:rFonts w:hint="eastAsia" w:ascii="Times New Roman" w:hAnsi="Times New Roman"/>
          <w:sz w:val="24"/>
          <w:szCs w:val="21"/>
        </w:rPr>
        <w:t xml:space="preserve"> 年   月   日                             年   月   日</w:t>
      </w:r>
    </w:p>
    <w:p w14:paraId="1209CBB7">
      <w:pPr>
        <w:rPr>
          <w:rFonts w:asciiTheme="minorEastAsia" w:hAnsiTheme="minorEastAsia" w:cstheme="minorEastAsia"/>
          <w:sz w:val="24"/>
        </w:rPr>
      </w:pPr>
      <w:r>
        <w:rPr>
          <w:rFonts w:hint="eastAsia" w:asciiTheme="minorEastAsia" w:hAnsiTheme="minorEastAsia" w:cstheme="minorEastAsia"/>
          <w:sz w:val="24"/>
        </w:rPr>
        <w:br w:type="page"/>
      </w:r>
    </w:p>
    <w:p w14:paraId="631E1B4B">
      <w:pPr>
        <w:pStyle w:val="2"/>
        <w:spacing w:before="312" w:after="312"/>
      </w:pPr>
      <w:bookmarkStart w:id="198" w:name="_Toc13313"/>
      <w:r>
        <w:rPr>
          <w:rFonts w:hint="eastAsia"/>
        </w:rPr>
        <w:t>第四章  采购需求</w:t>
      </w:r>
      <w:bookmarkEnd w:id="198"/>
    </w:p>
    <w:p w14:paraId="47DFD9EC">
      <w:pPr>
        <w:autoSpaceDE w:val="0"/>
        <w:autoSpaceDN w:val="0"/>
        <w:adjustRightInd w:val="0"/>
        <w:spacing w:line="360" w:lineRule="auto"/>
        <w:ind w:firstLine="482"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
          <w:sz w:val="24"/>
          <w:lang w:val="zh-CN"/>
        </w:rPr>
        <w:t>请供应商在制作响应文件时仔细研究项目需求说明</w:t>
      </w:r>
      <w:r>
        <w:rPr>
          <w:rFonts w:hint="eastAsia" w:ascii="Times New Roman" w:hAnsi="Times New Roman" w:eastAsia="宋体" w:cs="Times New Roman"/>
          <w:bCs/>
          <w:sz w:val="24"/>
          <w:lang w:val="zh-CN"/>
        </w:rPr>
        <w:t>。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14:paraId="1A1AD993">
      <w:pPr>
        <w:autoSpaceDE w:val="0"/>
        <w:autoSpaceDN w:val="0"/>
        <w:adjustRightInd w:val="0"/>
        <w:spacing w:line="360" w:lineRule="auto"/>
        <w:ind w:firstLine="480"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Cs/>
          <w:sz w:val="24"/>
          <w:lang w:val="zh-CN"/>
        </w:rPr>
        <w:t>供应商不能简单照搬照抄采购文件项目需求说明中的技术、商务要求，必须作实事求是的响应。如供应商提供的货物和服务同采购人提出的项目需求说明中的技术、商务要求不同的，必须在进行必要的说明。</w:t>
      </w:r>
    </w:p>
    <w:p w14:paraId="32341831">
      <w:pPr>
        <w:autoSpaceDE w:val="0"/>
        <w:autoSpaceDN w:val="0"/>
        <w:adjustRightInd w:val="0"/>
        <w:spacing w:line="360" w:lineRule="auto"/>
        <w:ind w:firstLine="482" w:firstLineChars="200"/>
        <w:contextualSpacing/>
        <w:rPr>
          <w:rFonts w:ascii="Times New Roman" w:hAnsi="Times New Roman" w:eastAsia="宋体" w:cs="宋体"/>
          <w:b/>
          <w:sz w:val="24"/>
        </w:rPr>
      </w:pPr>
      <w:bookmarkStart w:id="199" w:name="_Toc2950"/>
      <w:r>
        <w:rPr>
          <w:rFonts w:hint="eastAsia" w:ascii="Times New Roman" w:hAnsi="Times New Roman" w:eastAsia="宋体" w:cs="宋体"/>
          <w:b/>
          <w:sz w:val="24"/>
        </w:rPr>
        <w:t>一、项目建设目标</w:t>
      </w:r>
      <w:bookmarkEnd w:id="199"/>
    </w:p>
    <w:p w14:paraId="36E696D7">
      <w:pPr>
        <w:autoSpaceDE w:val="0"/>
        <w:autoSpaceDN w:val="0"/>
        <w:adjustRightInd w:val="0"/>
        <w:spacing w:line="360" w:lineRule="auto"/>
        <w:ind w:firstLine="480" w:firstLineChars="200"/>
        <w:contextualSpacing/>
        <w:rPr>
          <w:rFonts w:ascii="宋体" w:hAnsi="宋体" w:eastAsia="宋体" w:cs="宋体"/>
        </w:rPr>
      </w:pPr>
      <w:r>
        <w:rPr>
          <w:rFonts w:hint="eastAsia" w:ascii="Times New Roman" w:hAnsi="Times New Roman" w:eastAsia="宋体" w:cs="Times New Roman"/>
          <w:bCs/>
          <w:sz w:val="24"/>
        </w:rPr>
        <w:t>通州湾示范区公安分局计划建设一套公安机关执法视音频记录体系，系统应符合公安部相关标准要求，广泛与全区执法记录仪数据采集工作站对接。具有较强组网能力，依托现有的公安网络和支撑系统，既能适应当前组织结构，又能实现全区视音频数据的统一管理，满足可靠性、保密性和可用性要求以及数据合规性要求。利用专用的执法记录仪采集工作站或PC机提供灵活、高效、安全的数据导入机制，满足全市用户对视音频数据的高速流畅的检索、浏览。并且具有易维护，易扩容，易演进的能力。</w:t>
      </w:r>
    </w:p>
    <w:p w14:paraId="7A6EFBC5">
      <w:pPr>
        <w:autoSpaceDE w:val="0"/>
        <w:autoSpaceDN w:val="0"/>
        <w:adjustRightInd w:val="0"/>
        <w:spacing w:line="360" w:lineRule="auto"/>
        <w:ind w:firstLine="482" w:firstLineChars="200"/>
        <w:contextualSpacing/>
        <w:rPr>
          <w:rFonts w:ascii="Times New Roman" w:hAnsi="Times New Roman" w:eastAsia="宋体" w:cs="宋体"/>
          <w:b/>
          <w:sz w:val="24"/>
        </w:rPr>
      </w:pPr>
      <w:bookmarkStart w:id="200" w:name="_Toc4345"/>
      <w:r>
        <w:rPr>
          <w:rFonts w:hint="eastAsia" w:ascii="Times New Roman" w:hAnsi="Times New Roman" w:eastAsia="宋体" w:cs="宋体"/>
          <w:b/>
          <w:sz w:val="24"/>
        </w:rPr>
        <w:t>二、 项目建设内容</w:t>
      </w:r>
      <w:bookmarkEnd w:id="200"/>
    </w:p>
    <w:p w14:paraId="1A738BE1">
      <w:pPr>
        <w:spacing w:line="360" w:lineRule="auto"/>
        <w:ind w:firstLine="494" w:firstLineChars="206"/>
        <w:textAlignment w:val="baseline"/>
        <w:rPr>
          <w:rFonts w:ascii="Times New Roman" w:hAnsi="Times New Roman" w:eastAsia="宋体" w:cs="Times New Roman"/>
          <w:bCs/>
          <w:sz w:val="24"/>
        </w:rPr>
      </w:pPr>
      <w:r>
        <w:rPr>
          <w:rFonts w:hint="eastAsia" w:ascii="Times New Roman" w:hAnsi="Times New Roman" w:eastAsia="宋体" w:cs="Times New Roman"/>
          <w:bCs/>
          <w:sz w:val="24"/>
        </w:rPr>
        <w:t>1、存储建设</w:t>
      </w:r>
    </w:p>
    <w:p w14:paraId="2B283566">
      <w:pPr>
        <w:spacing w:line="360" w:lineRule="auto"/>
        <w:ind w:firstLine="494" w:firstLineChars="206"/>
        <w:textAlignment w:val="baseline"/>
        <w:rPr>
          <w:rFonts w:ascii="Times New Roman" w:hAnsi="Times New Roman" w:eastAsia="宋体" w:cs="Times New Roman"/>
          <w:bCs/>
          <w:sz w:val="24"/>
        </w:rPr>
      </w:pPr>
      <w:r>
        <w:rPr>
          <w:rFonts w:hint="eastAsia" w:ascii="Times New Roman" w:hAnsi="Times New Roman" w:eastAsia="宋体" w:cs="Times New Roman"/>
          <w:bCs/>
          <w:sz w:val="24"/>
        </w:rPr>
        <w:t>在分局建设云存储中心，以案件或警情为索引对执法视音频资料进行存储。根据公安部对现场执法视音频资料存储时长的要求，对存储中心容量进行测算，以此为依据进行建设。</w:t>
      </w:r>
    </w:p>
    <w:p w14:paraId="48B34943">
      <w:pPr>
        <w:spacing w:line="360" w:lineRule="auto"/>
        <w:ind w:firstLine="494" w:firstLineChars="206"/>
        <w:textAlignment w:val="baseline"/>
        <w:rPr>
          <w:rFonts w:ascii="Times New Roman" w:hAnsi="Times New Roman" w:eastAsia="宋体" w:cs="Times New Roman"/>
          <w:bCs/>
          <w:sz w:val="24"/>
        </w:rPr>
      </w:pPr>
      <w:r>
        <w:rPr>
          <w:rFonts w:hint="eastAsia" w:ascii="Times New Roman" w:hAnsi="Times New Roman" w:eastAsia="宋体" w:cs="Times New Roman"/>
          <w:bCs/>
          <w:sz w:val="24"/>
        </w:rPr>
        <w:t>2、执法记录仪的配备</w:t>
      </w:r>
    </w:p>
    <w:p w14:paraId="2C8CC2D0">
      <w:pPr>
        <w:spacing w:line="360" w:lineRule="auto"/>
        <w:ind w:firstLine="494" w:firstLineChars="206"/>
        <w:textAlignment w:val="baseline"/>
        <w:rPr>
          <w:rFonts w:ascii="Times New Roman" w:hAnsi="Times New Roman" w:eastAsia="宋体" w:cs="Times New Roman"/>
          <w:bCs/>
          <w:sz w:val="24"/>
        </w:rPr>
      </w:pPr>
      <w:r>
        <w:rPr>
          <w:rFonts w:hint="eastAsia" w:ascii="Times New Roman" w:hAnsi="Times New Roman" w:eastAsia="宋体" w:cs="Times New Roman"/>
          <w:bCs/>
          <w:sz w:val="24"/>
        </w:rPr>
        <w:t>为全市一线执勤民警按1:1配备符合GA/T947-2015的执法记录仪。逐步替换不满足GA/T947-2015的设备，并根据实际情况，按一定比例配备4G/5G执法记录仪。</w:t>
      </w:r>
    </w:p>
    <w:p w14:paraId="553B369A">
      <w:pPr>
        <w:numPr>
          <w:ilvl w:val="0"/>
          <w:numId w:val="1"/>
        </w:numPr>
        <w:spacing w:line="360" w:lineRule="auto"/>
        <w:ind w:firstLine="494" w:firstLineChars="206"/>
        <w:textAlignment w:val="baseline"/>
        <w:rPr>
          <w:rFonts w:ascii="Times New Roman" w:hAnsi="Times New Roman" w:eastAsia="宋体" w:cs="Times New Roman"/>
          <w:bCs/>
          <w:sz w:val="24"/>
        </w:rPr>
      </w:pPr>
      <w:r>
        <w:rPr>
          <w:rFonts w:hint="eastAsia" w:ascii="Times New Roman" w:hAnsi="Times New Roman" w:eastAsia="宋体" w:cs="Times New Roman"/>
          <w:bCs/>
          <w:sz w:val="24"/>
        </w:rPr>
        <w:t>通过警综平台的对接，实现现场执法视音频资料与警情及案事件的关联存储及管理，达到多媒体数据的一体化应用，从而充分发挥音视频数据和业务数据的作用。</w:t>
      </w:r>
    </w:p>
    <w:p w14:paraId="0BB7D10A">
      <w:pPr>
        <w:autoSpaceDE w:val="0"/>
        <w:autoSpaceDN w:val="0"/>
        <w:adjustRightInd w:val="0"/>
        <w:spacing w:line="360" w:lineRule="auto"/>
        <w:ind w:firstLine="482" w:firstLineChars="200"/>
        <w:contextualSpacing/>
        <w:rPr>
          <w:rFonts w:ascii="Times New Roman" w:hAnsi="Times New Roman" w:eastAsia="宋体" w:cs="Times New Roman"/>
          <w:b/>
          <w:bCs/>
          <w:sz w:val="24"/>
        </w:rPr>
      </w:pPr>
      <w:r>
        <w:rPr>
          <w:rFonts w:hint="eastAsia" w:ascii="Times New Roman" w:hAnsi="Times New Roman" w:eastAsia="宋体" w:cs="宋体"/>
          <w:b/>
          <w:sz w:val="24"/>
        </w:rPr>
        <w:t>三、设备清单</w:t>
      </w:r>
    </w:p>
    <w:tbl>
      <w:tblPr>
        <w:tblStyle w:val="16"/>
        <w:tblpPr w:leftFromText="180" w:rightFromText="180" w:vertAnchor="text" w:horzAnchor="page" w:tblpX="1351" w:tblpY="478"/>
        <w:tblOverlap w:val="never"/>
        <w:tblW w:w="513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89"/>
        <w:gridCol w:w="1450"/>
        <w:gridCol w:w="4165"/>
        <w:gridCol w:w="882"/>
        <w:gridCol w:w="784"/>
        <w:gridCol w:w="1448"/>
      </w:tblGrid>
      <w:tr w14:paraId="73560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366" w:type="pct"/>
            <w:tcBorders>
              <w:tl2br w:val="nil"/>
              <w:tr2bl w:val="nil"/>
            </w:tcBorders>
            <w:noWrap/>
            <w:vAlign w:val="center"/>
          </w:tcPr>
          <w:p w14:paraId="02716612">
            <w:pPr>
              <w:widowControl/>
              <w:spacing w:line="360" w:lineRule="auto"/>
              <w:jc w:val="center"/>
              <w:textAlignment w:val="center"/>
              <w:rPr>
                <w:rFonts w:ascii="宋体" w:hAnsi="宋体" w:eastAsia="宋体" w:cs="宋体"/>
                <w:b/>
                <w:bCs/>
                <w:szCs w:val="21"/>
              </w:rPr>
            </w:pPr>
            <w:bookmarkStart w:id="201" w:name="_Toc22088"/>
            <w:bookmarkStart w:id="202" w:name="_Toc518579867"/>
            <w:bookmarkStart w:id="203" w:name="_Toc88203113"/>
            <w:r>
              <w:rPr>
                <w:rFonts w:hint="eastAsia" w:ascii="宋体" w:hAnsi="宋体" w:eastAsia="宋体" w:cs="宋体"/>
                <w:b/>
                <w:bCs/>
                <w:kern w:val="0"/>
                <w:szCs w:val="21"/>
                <w:lang w:bidi="ar"/>
              </w:rPr>
              <w:t>序号</w:t>
            </w:r>
          </w:p>
        </w:tc>
        <w:tc>
          <w:tcPr>
            <w:tcW w:w="769" w:type="pct"/>
            <w:tcBorders>
              <w:tl2br w:val="nil"/>
              <w:tr2bl w:val="nil"/>
            </w:tcBorders>
            <w:noWrap/>
            <w:vAlign w:val="center"/>
          </w:tcPr>
          <w:p w14:paraId="7AA1670C">
            <w:pPr>
              <w:widowControl/>
              <w:spacing w:line="360" w:lineRule="auto"/>
              <w:jc w:val="center"/>
              <w:textAlignment w:val="center"/>
              <w:rPr>
                <w:rFonts w:ascii="宋体" w:hAnsi="宋体" w:eastAsia="宋体" w:cs="宋体"/>
                <w:b/>
                <w:bCs/>
                <w:szCs w:val="21"/>
              </w:rPr>
            </w:pPr>
            <w:r>
              <w:rPr>
                <w:rFonts w:hint="eastAsia" w:ascii="宋体" w:hAnsi="宋体" w:eastAsia="宋体" w:cs="宋体"/>
                <w:b/>
                <w:bCs/>
                <w:kern w:val="0"/>
                <w:szCs w:val="21"/>
                <w:lang w:bidi="ar"/>
              </w:rPr>
              <w:t>产品名称</w:t>
            </w:r>
          </w:p>
        </w:tc>
        <w:tc>
          <w:tcPr>
            <w:tcW w:w="2209" w:type="pct"/>
            <w:tcBorders>
              <w:tl2br w:val="nil"/>
              <w:tr2bl w:val="nil"/>
            </w:tcBorders>
            <w:noWrap/>
            <w:vAlign w:val="center"/>
          </w:tcPr>
          <w:p w14:paraId="7842121C">
            <w:pPr>
              <w:widowControl/>
              <w:spacing w:line="360" w:lineRule="auto"/>
              <w:jc w:val="center"/>
              <w:textAlignment w:val="center"/>
              <w:rPr>
                <w:rFonts w:ascii="宋体" w:hAnsi="宋体" w:eastAsia="宋体" w:cs="宋体"/>
                <w:b/>
                <w:bCs/>
                <w:szCs w:val="21"/>
              </w:rPr>
            </w:pPr>
            <w:r>
              <w:rPr>
                <w:rFonts w:hint="eastAsia" w:ascii="宋体" w:hAnsi="宋体" w:eastAsia="宋体" w:cs="宋体"/>
                <w:b/>
                <w:bCs/>
                <w:kern w:val="0"/>
                <w:szCs w:val="21"/>
                <w:lang w:bidi="ar"/>
              </w:rPr>
              <w:t>技术参数</w:t>
            </w:r>
          </w:p>
        </w:tc>
        <w:tc>
          <w:tcPr>
            <w:tcW w:w="468" w:type="pct"/>
            <w:tcBorders>
              <w:tl2br w:val="nil"/>
              <w:tr2bl w:val="nil"/>
            </w:tcBorders>
            <w:noWrap/>
            <w:vAlign w:val="center"/>
          </w:tcPr>
          <w:p w14:paraId="0208A73A">
            <w:pPr>
              <w:widowControl/>
              <w:spacing w:line="360" w:lineRule="auto"/>
              <w:jc w:val="center"/>
              <w:textAlignment w:val="center"/>
              <w:rPr>
                <w:rFonts w:ascii="宋体" w:hAnsi="宋体" w:eastAsia="宋体" w:cs="宋体"/>
                <w:b/>
                <w:bCs/>
                <w:szCs w:val="21"/>
              </w:rPr>
            </w:pPr>
            <w:r>
              <w:rPr>
                <w:rFonts w:hint="eastAsia" w:ascii="宋体" w:hAnsi="宋体" w:eastAsia="宋体" w:cs="宋体"/>
                <w:b/>
                <w:bCs/>
                <w:kern w:val="0"/>
                <w:szCs w:val="21"/>
                <w:lang w:bidi="ar"/>
              </w:rPr>
              <w:t>单位</w:t>
            </w:r>
          </w:p>
        </w:tc>
        <w:tc>
          <w:tcPr>
            <w:tcW w:w="416" w:type="pct"/>
            <w:tcBorders>
              <w:tl2br w:val="nil"/>
              <w:tr2bl w:val="nil"/>
            </w:tcBorders>
            <w:noWrap/>
            <w:vAlign w:val="center"/>
          </w:tcPr>
          <w:p w14:paraId="06729904">
            <w:pPr>
              <w:widowControl/>
              <w:spacing w:line="360" w:lineRule="auto"/>
              <w:jc w:val="center"/>
              <w:textAlignment w:val="center"/>
              <w:rPr>
                <w:rFonts w:ascii="宋体" w:hAnsi="宋体" w:eastAsia="宋体" w:cs="宋体"/>
                <w:b/>
                <w:bCs/>
                <w:szCs w:val="21"/>
              </w:rPr>
            </w:pPr>
            <w:r>
              <w:rPr>
                <w:rFonts w:hint="eastAsia" w:ascii="宋体" w:hAnsi="宋体" w:eastAsia="宋体" w:cs="宋体"/>
                <w:b/>
                <w:bCs/>
                <w:kern w:val="0"/>
                <w:szCs w:val="21"/>
                <w:lang w:bidi="ar"/>
              </w:rPr>
              <w:t>数量</w:t>
            </w:r>
          </w:p>
        </w:tc>
        <w:tc>
          <w:tcPr>
            <w:tcW w:w="768" w:type="pct"/>
            <w:tcBorders>
              <w:tl2br w:val="nil"/>
              <w:tr2bl w:val="nil"/>
            </w:tcBorders>
            <w:noWrap/>
            <w:vAlign w:val="center"/>
          </w:tcPr>
          <w:p w14:paraId="449FE609">
            <w:pPr>
              <w:widowControl/>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对应中小企业划分标准所属行业</w:t>
            </w:r>
          </w:p>
        </w:tc>
      </w:tr>
      <w:tr w14:paraId="59811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366" w:type="pct"/>
            <w:tcBorders>
              <w:tl2br w:val="nil"/>
              <w:tr2bl w:val="nil"/>
            </w:tcBorders>
            <w:vAlign w:val="center"/>
          </w:tcPr>
          <w:p w14:paraId="438789EC">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769" w:type="pct"/>
            <w:tcBorders>
              <w:tl2br w:val="nil"/>
              <w:tr2bl w:val="nil"/>
            </w:tcBorders>
            <w:vAlign w:val="center"/>
          </w:tcPr>
          <w:p w14:paraId="0BA22BA3">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lang w:bidi="ar"/>
              </w:rPr>
              <w:t>5G执法视音频记录仪（核心产品）</w:t>
            </w:r>
          </w:p>
        </w:tc>
        <w:tc>
          <w:tcPr>
            <w:tcW w:w="2209" w:type="pct"/>
            <w:tcBorders>
              <w:tl2br w:val="nil"/>
              <w:tr2bl w:val="nil"/>
            </w:tcBorders>
          </w:tcPr>
          <w:p w14:paraId="263406D6">
            <w:pPr>
              <w:widowControl/>
              <w:spacing w:line="360" w:lineRule="auto"/>
              <w:jc w:val="left"/>
              <w:textAlignment w:val="top"/>
              <w:rPr>
                <w:rFonts w:ascii="宋体" w:hAnsi="宋体" w:eastAsia="宋体" w:cs="宋体"/>
                <w:szCs w:val="21"/>
              </w:rPr>
            </w:pPr>
            <w:r>
              <w:rPr>
                <w:rFonts w:hint="eastAsia" w:ascii="宋体" w:hAnsi="宋体" w:eastAsia="宋体" w:cs="宋体"/>
                <w:kern w:val="0"/>
                <w:szCs w:val="21"/>
                <w:lang w:bidi="ar"/>
              </w:rPr>
              <w:t>1)▲本次投标设备需能兼容通州湾公安现有采集工作站，提供对接承诺函；</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2)设备出厂内置存储容量≥64GB，最大可以扩展至512GB；</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3)可接入移动、联通和电信的4G/5G SIM卡；设备在连接电脑、采集站或管理平台状态下，应能自动关闭4G/5G信号。</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4)▲内置北斗模块，支持通过单北斗模式获取定位信息；支持将采集的定位信息和运行轨迹上报后台，定位信息上报周期可在1s~30min 区间进行设置。（提供国家权威检测报告复印件并加盖响应供应商公章）。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5)▲设备应具备2路摄像头，正面一个摄像头，背面一个摄像头；正面1路摄像头应不小于800W像素，背面1路摄像头应不小于500W像素（提供国家权威检测报告复印件并加盖响应供应商公章）。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6)▲设备支持不小于10倍数码变焦，可点击屏幕图标选择变焦倍数，当图像画面放大10倍时，支持对不低于10米距离的人脸进行智能识别抓拍（提供国家权威检测报告复印件并加盖响应供应商公章）。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7)显示屏对角线尺寸不小于2.4in，具备彩色电容多点触摸显示屏。</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8)执法记录仪记录的视频在3840*2160、2560*1440、1920*1080p、1280*720p、864*480分辨率下几何失真均小于或等于15%。</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9)设备显示屏显示全场白和全场黑测试信号时亮度值的比应大于等于1200：1。</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10)9.7392*5944、5248*3936、4160*3120、3840*2160分辨率下，照片分辨力应大于或等于1300线；3264*2448、2592*1944、2048*1536分辨率下，照片分辨力应大于或等于900线；</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11)设备支持多种警情关联方式，包括手动输入警情关联、扫码警情关联、获取平台警情关联，支持警情处理时语音播报警情尾号，警情录像文件自动关联警情编号；（提供国家权威检测报告复印件并加盖响应供应商公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12)执法视音频记录仪采用自动分段记录方式时，相邻两段间最大记录间隔时间应小于或等于0.02s。</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13)设备应能获取平台的警情信息，实现警情录像文件自动关联警情编号；支持对警情列表进行查询、处理等操作。</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14)▲设备支持电池健康状态检测功能：在设备使用生命周期内，设备应能判断及展示当前电池的健康状态（提供国家权威检测报告复印件并加盖响应供应商公章）；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15)▲支持按住键盘任意键滑动选择数字/字符键，滑动中可迅速放大提醒当前选中数字/字符并在抬起后生效；（提供国家权威检测报告复印件并加盖响应供应商公章）。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16)设备支持宽动态功能，在强光源（日光、灯具、反光灯）照射下的高亮度区域及阴影、逆光等相对亮度较低的区域，进行摄录和拍照，设备应能自动背光补偿，使得整个画面可识别。使用宽动态测试卡和高亮度灯源箱测试，宽动态范围值大于或等于85dB。</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17)▲在开启防抖功能后，使用抖动台和“+”字图形进行试验，距离设备1m处，5000K亮度，在1Hz振动频率，振动幅度1°条件下，同一位置点在视音频信息中的最大振动像素差应≤5像素。（提供国家权威检测报告复印件并加盖响应供应商公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18)支持通过无线注册至平台后，支持PTT物理按键，进行群组对讲，PTT对讲时不影响执法仪正常的录像录制、码流传输、拍照等功能。（提供国家权威检测报告复印件并加盖响应供应商公章）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19)支持通过无线注册至平台后，支持选定人员组成讨论群组，支持PTT实时语音群组聊天、本地图片发送、文本聊天、实时位置分享。</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20)设备支持预先导入使用人员信息：人脸照片、姓名、用户编号、单位名称、单位编号，自动提取人脸特征值入使用人员信息库。当用户登录时，可刷脸与使用人员信息库验证从而登录使用设备。（提供国家权威检测报告复印件并加盖响应供应商公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21)提供中国泰尔实验室、中国信息通信研究院出具的《移动终端操作系统自主自研》认证报告和证书。</w:t>
            </w:r>
          </w:p>
        </w:tc>
        <w:tc>
          <w:tcPr>
            <w:tcW w:w="468" w:type="pct"/>
            <w:tcBorders>
              <w:tl2br w:val="nil"/>
              <w:tr2bl w:val="nil"/>
            </w:tcBorders>
            <w:noWrap/>
            <w:vAlign w:val="center"/>
          </w:tcPr>
          <w:p w14:paraId="2AFD9281">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台</w:t>
            </w:r>
          </w:p>
        </w:tc>
        <w:tc>
          <w:tcPr>
            <w:tcW w:w="416" w:type="pct"/>
            <w:tcBorders>
              <w:tl2br w:val="nil"/>
              <w:tr2bl w:val="nil"/>
            </w:tcBorders>
            <w:vAlign w:val="center"/>
          </w:tcPr>
          <w:p w14:paraId="35C52C7D">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44</w:t>
            </w:r>
          </w:p>
        </w:tc>
        <w:tc>
          <w:tcPr>
            <w:tcW w:w="768" w:type="pct"/>
            <w:tcBorders>
              <w:tl2br w:val="nil"/>
              <w:tr2bl w:val="nil"/>
            </w:tcBorders>
            <w:vAlign w:val="center"/>
          </w:tcPr>
          <w:p w14:paraId="30950DC3">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工业</w:t>
            </w:r>
          </w:p>
        </w:tc>
      </w:tr>
      <w:tr w14:paraId="6D362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9" w:hRule="atLeast"/>
        </w:trPr>
        <w:tc>
          <w:tcPr>
            <w:tcW w:w="366" w:type="pct"/>
            <w:tcBorders>
              <w:tl2br w:val="nil"/>
              <w:tr2bl w:val="nil"/>
            </w:tcBorders>
            <w:vAlign w:val="center"/>
          </w:tcPr>
          <w:p w14:paraId="46CFF396">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6</w:t>
            </w:r>
          </w:p>
        </w:tc>
        <w:tc>
          <w:tcPr>
            <w:tcW w:w="769" w:type="pct"/>
            <w:tcBorders>
              <w:tl2br w:val="nil"/>
              <w:tr2bl w:val="nil"/>
            </w:tcBorders>
            <w:vAlign w:val="center"/>
          </w:tcPr>
          <w:p w14:paraId="7CAF71AC">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lang w:bidi="ar"/>
              </w:rPr>
              <w:t>Micro_USB母头转Type_C公头连接线</w:t>
            </w:r>
          </w:p>
        </w:tc>
        <w:tc>
          <w:tcPr>
            <w:tcW w:w="2209" w:type="pct"/>
            <w:tcBorders>
              <w:tl2br w:val="nil"/>
              <w:tr2bl w:val="nil"/>
            </w:tcBorders>
            <w:vAlign w:val="center"/>
          </w:tcPr>
          <w:p w14:paraId="68FC491D">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lang w:bidi="ar"/>
              </w:rPr>
              <w:t>Micro_USB母头转Type_C公头连接线，30cm。</w:t>
            </w:r>
          </w:p>
        </w:tc>
        <w:tc>
          <w:tcPr>
            <w:tcW w:w="468" w:type="pct"/>
            <w:tcBorders>
              <w:tl2br w:val="nil"/>
              <w:tr2bl w:val="nil"/>
            </w:tcBorders>
            <w:noWrap/>
            <w:vAlign w:val="center"/>
          </w:tcPr>
          <w:p w14:paraId="087CEA71">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条</w:t>
            </w:r>
          </w:p>
        </w:tc>
        <w:tc>
          <w:tcPr>
            <w:tcW w:w="416" w:type="pct"/>
            <w:tcBorders>
              <w:tl2br w:val="nil"/>
              <w:tr2bl w:val="nil"/>
            </w:tcBorders>
            <w:noWrap/>
            <w:vAlign w:val="center"/>
          </w:tcPr>
          <w:p w14:paraId="7C94001B">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44</w:t>
            </w:r>
          </w:p>
        </w:tc>
        <w:tc>
          <w:tcPr>
            <w:tcW w:w="768" w:type="pct"/>
            <w:tcBorders>
              <w:tl2br w:val="nil"/>
              <w:tr2bl w:val="nil"/>
            </w:tcBorders>
            <w:noWrap/>
            <w:vAlign w:val="center"/>
          </w:tcPr>
          <w:p w14:paraId="7338501F">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工业</w:t>
            </w:r>
          </w:p>
        </w:tc>
      </w:tr>
      <w:tr w14:paraId="767B2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9" w:hRule="atLeast"/>
        </w:trPr>
        <w:tc>
          <w:tcPr>
            <w:tcW w:w="366" w:type="pct"/>
            <w:tcBorders>
              <w:tl2br w:val="nil"/>
              <w:tr2bl w:val="nil"/>
            </w:tcBorders>
            <w:vAlign w:val="center"/>
          </w:tcPr>
          <w:p w14:paraId="1D44D4FF">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7</w:t>
            </w:r>
          </w:p>
        </w:tc>
        <w:tc>
          <w:tcPr>
            <w:tcW w:w="769" w:type="pct"/>
            <w:tcBorders>
              <w:tl2br w:val="nil"/>
              <w:tr2bl w:val="nil"/>
            </w:tcBorders>
            <w:shd w:val="clear" w:color="auto" w:fill="auto"/>
            <w:noWrap/>
            <w:vAlign w:val="center"/>
          </w:tcPr>
          <w:p w14:paraId="42EF4411">
            <w:pPr>
              <w:widowControl/>
              <w:textAlignment w:val="center"/>
              <w:rPr>
                <w:rFonts w:ascii="宋体" w:hAnsi="宋体" w:eastAsia="宋体" w:cs="宋体"/>
                <w:sz w:val="20"/>
                <w:szCs w:val="20"/>
              </w:rPr>
            </w:pPr>
            <w:r>
              <w:rPr>
                <w:rFonts w:hint="eastAsia" w:ascii="宋体" w:hAnsi="宋体" w:eastAsia="宋体" w:cs="宋体"/>
                <w:kern w:val="0"/>
                <w:sz w:val="20"/>
                <w:szCs w:val="20"/>
                <w:lang w:bidi="ar"/>
              </w:rPr>
              <w:t>188台设备的网络费</w:t>
            </w:r>
          </w:p>
        </w:tc>
        <w:tc>
          <w:tcPr>
            <w:tcW w:w="2209" w:type="pct"/>
            <w:tcBorders>
              <w:tl2br w:val="nil"/>
              <w:tr2bl w:val="nil"/>
            </w:tcBorders>
            <w:shd w:val="clear" w:color="auto" w:fill="auto"/>
            <w:noWrap/>
            <w:vAlign w:val="center"/>
          </w:tcPr>
          <w:p w14:paraId="6A04E019">
            <w:pPr>
              <w:widowControl/>
              <w:textAlignment w:val="center"/>
              <w:rPr>
                <w:rFonts w:ascii="宋体" w:hAnsi="宋体" w:eastAsia="宋体" w:cs="宋体"/>
                <w:sz w:val="16"/>
                <w:szCs w:val="16"/>
              </w:rPr>
            </w:pPr>
            <w:r>
              <w:rPr>
                <w:rFonts w:hint="eastAsia" w:ascii="宋体" w:hAnsi="宋体" w:eastAsia="宋体" w:cs="宋体"/>
                <w:kern w:val="0"/>
                <w:szCs w:val="21"/>
                <w:lang w:bidi="ar"/>
              </w:rPr>
              <w:t>188张5G卡，3年流量池（从项目验收之日起开始计费，其中44张为本项目新采购执法仪使用，144张为目前现有执法仪使用）</w:t>
            </w:r>
          </w:p>
        </w:tc>
        <w:tc>
          <w:tcPr>
            <w:tcW w:w="468" w:type="pct"/>
            <w:tcBorders>
              <w:tl2br w:val="nil"/>
              <w:tr2bl w:val="nil"/>
            </w:tcBorders>
            <w:noWrap/>
            <w:vAlign w:val="center"/>
          </w:tcPr>
          <w:p w14:paraId="0CE51C5C">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套</w:t>
            </w:r>
          </w:p>
        </w:tc>
        <w:tc>
          <w:tcPr>
            <w:tcW w:w="416" w:type="pct"/>
            <w:tcBorders>
              <w:tl2br w:val="nil"/>
              <w:tr2bl w:val="nil"/>
            </w:tcBorders>
            <w:noWrap/>
            <w:vAlign w:val="center"/>
          </w:tcPr>
          <w:p w14:paraId="68F3DADD">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1</w:t>
            </w:r>
          </w:p>
        </w:tc>
        <w:tc>
          <w:tcPr>
            <w:tcW w:w="768" w:type="pct"/>
            <w:tcBorders>
              <w:tl2br w:val="nil"/>
              <w:tr2bl w:val="nil"/>
            </w:tcBorders>
            <w:noWrap/>
            <w:vAlign w:val="center"/>
          </w:tcPr>
          <w:p w14:paraId="41835ABA">
            <w:pPr>
              <w:widowControl/>
              <w:jc w:val="center"/>
              <w:textAlignment w:val="center"/>
              <w:rPr>
                <w:rFonts w:ascii="宋体" w:hAnsi="宋体" w:eastAsia="宋体" w:cs="宋体"/>
                <w:szCs w:val="21"/>
              </w:rPr>
            </w:pPr>
            <w:r>
              <w:rPr>
                <w:rFonts w:hint="eastAsia" w:ascii="宋体" w:hAnsi="宋体" w:cs="宋体"/>
                <w:szCs w:val="21"/>
                <w:lang w:bidi="ar"/>
              </w:rPr>
              <w:t>软件和信息技术服务业</w:t>
            </w:r>
          </w:p>
        </w:tc>
      </w:tr>
      <w:tr w14:paraId="31D4B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trPr>
        <w:tc>
          <w:tcPr>
            <w:tcW w:w="366" w:type="pct"/>
            <w:tcBorders>
              <w:tl2br w:val="nil"/>
              <w:tr2bl w:val="nil"/>
            </w:tcBorders>
            <w:vAlign w:val="center"/>
          </w:tcPr>
          <w:p w14:paraId="628ABA68">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8</w:t>
            </w:r>
          </w:p>
        </w:tc>
        <w:tc>
          <w:tcPr>
            <w:tcW w:w="769" w:type="pct"/>
            <w:tcBorders>
              <w:tl2br w:val="nil"/>
              <w:tr2bl w:val="nil"/>
            </w:tcBorders>
            <w:noWrap/>
            <w:vAlign w:val="center"/>
          </w:tcPr>
          <w:p w14:paraId="15283749">
            <w:pPr>
              <w:widowControl/>
              <w:spacing w:line="360" w:lineRule="auto"/>
              <w:textAlignment w:val="center"/>
              <w:rPr>
                <w:rFonts w:ascii="宋体" w:hAnsi="宋体" w:eastAsia="宋体" w:cs="宋体"/>
                <w:szCs w:val="21"/>
              </w:rPr>
            </w:pPr>
            <w:r>
              <w:rPr>
                <w:rFonts w:hint="eastAsia" w:ascii="宋体" w:hAnsi="宋体" w:eastAsia="宋体" w:cs="宋体"/>
                <w:szCs w:val="21"/>
                <w:lang w:bidi="ar"/>
              </w:rPr>
              <w:t>平台对接</w:t>
            </w:r>
          </w:p>
        </w:tc>
        <w:tc>
          <w:tcPr>
            <w:tcW w:w="2209" w:type="pct"/>
            <w:tcBorders>
              <w:tl2br w:val="nil"/>
              <w:tr2bl w:val="nil"/>
            </w:tcBorders>
            <w:noWrap/>
            <w:vAlign w:val="center"/>
          </w:tcPr>
          <w:p w14:paraId="4683C07E">
            <w:pPr>
              <w:widowControl/>
              <w:spacing w:line="360" w:lineRule="auto"/>
              <w:jc w:val="left"/>
              <w:textAlignment w:val="top"/>
              <w:rPr>
                <w:rFonts w:ascii="宋体" w:hAnsi="宋体" w:eastAsia="宋体" w:cs="宋体"/>
                <w:kern w:val="0"/>
                <w:szCs w:val="21"/>
                <w:lang w:bidi="ar"/>
              </w:rPr>
            </w:pPr>
            <w:r>
              <w:rPr>
                <w:rFonts w:hint="eastAsia" w:ascii="宋体" w:hAnsi="宋体" w:eastAsia="宋体" w:cs="宋体"/>
                <w:kern w:val="0"/>
                <w:szCs w:val="21"/>
                <w:lang w:bidi="ar"/>
              </w:rPr>
              <w:t>1、44台5G执法记录仪接入通州湾视频综合应用平台并推送至通州湾指挥预警平台</w:t>
            </w:r>
          </w:p>
          <w:p w14:paraId="05E73E8F">
            <w:pPr>
              <w:widowControl/>
              <w:spacing w:line="360" w:lineRule="auto"/>
              <w:jc w:val="left"/>
              <w:textAlignment w:val="top"/>
              <w:rPr>
                <w:rFonts w:ascii="宋体" w:hAnsi="宋体" w:eastAsia="宋体" w:cs="宋体"/>
                <w:kern w:val="0"/>
                <w:szCs w:val="21"/>
                <w:lang w:bidi="ar"/>
              </w:rPr>
            </w:pPr>
            <w:r>
              <w:rPr>
                <w:rFonts w:hint="eastAsia" w:ascii="宋体" w:hAnsi="宋体" w:eastAsia="宋体" w:cs="宋体"/>
                <w:kern w:val="0"/>
                <w:szCs w:val="21"/>
                <w:lang w:bidi="ar"/>
              </w:rPr>
              <w:t>2、44台5G执法记录仪图片接入通州湾视频图像综合应用平台</w:t>
            </w:r>
          </w:p>
          <w:p w14:paraId="1FB7EA9E">
            <w:pPr>
              <w:spacing w:line="360" w:lineRule="auto"/>
              <w:rPr>
                <w:rFonts w:ascii="宋体" w:hAnsi="宋体" w:eastAsia="宋体" w:cs="宋体"/>
                <w:b/>
                <w:szCs w:val="21"/>
              </w:rPr>
            </w:pPr>
            <w:r>
              <w:rPr>
                <w:rFonts w:hint="eastAsia" w:ascii="宋体" w:hAnsi="宋体" w:eastAsia="宋体" w:cs="宋体"/>
                <w:b/>
                <w:szCs w:val="21"/>
                <w:lang w:bidi="ar"/>
              </w:rPr>
              <w:t>★针对以上2点，本次响应须单独提供对接承诺函，承诺函格式自拟。未单独提供承诺函的视为无效响应文件。</w:t>
            </w:r>
          </w:p>
        </w:tc>
        <w:tc>
          <w:tcPr>
            <w:tcW w:w="468" w:type="pct"/>
            <w:tcBorders>
              <w:tl2br w:val="nil"/>
              <w:tr2bl w:val="nil"/>
            </w:tcBorders>
            <w:noWrap/>
            <w:vAlign w:val="center"/>
          </w:tcPr>
          <w:p w14:paraId="5961B86E">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套</w:t>
            </w:r>
          </w:p>
        </w:tc>
        <w:tc>
          <w:tcPr>
            <w:tcW w:w="416" w:type="pct"/>
            <w:tcBorders>
              <w:tl2br w:val="nil"/>
              <w:tr2bl w:val="nil"/>
            </w:tcBorders>
            <w:noWrap/>
            <w:vAlign w:val="center"/>
          </w:tcPr>
          <w:p w14:paraId="0771F0FD">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768" w:type="pct"/>
            <w:tcBorders>
              <w:tl2br w:val="nil"/>
              <w:tr2bl w:val="nil"/>
            </w:tcBorders>
            <w:noWrap/>
            <w:vAlign w:val="center"/>
          </w:tcPr>
          <w:p w14:paraId="40BB9C41">
            <w:pPr>
              <w:widowControl/>
              <w:jc w:val="center"/>
              <w:textAlignment w:val="center"/>
              <w:rPr>
                <w:rFonts w:ascii="宋体" w:hAnsi="宋体" w:eastAsia="宋体" w:cs="宋体"/>
                <w:kern w:val="0"/>
                <w:szCs w:val="21"/>
                <w:lang w:bidi="ar"/>
              </w:rPr>
            </w:pPr>
            <w:r>
              <w:rPr>
                <w:rFonts w:hint="eastAsia" w:ascii="宋体" w:hAnsi="宋体" w:eastAsia="宋体" w:cs="宋体"/>
                <w:szCs w:val="21"/>
                <w:lang w:bidi="ar"/>
              </w:rPr>
              <w:t>软件和信息技术服务业</w:t>
            </w:r>
          </w:p>
        </w:tc>
      </w:tr>
      <w:tr w14:paraId="166F0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trPr>
        <w:tc>
          <w:tcPr>
            <w:tcW w:w="366" w:type="pct"/>
            <w:tcBorders>
              <w:tl2br w:val="nil"/>
              <w:tr2bl w:val="nil"/>
            </w:tcBorders>
            <w:vAlign w:val="center"/>
          </w:tcPr>
          <w:p w14:paraId="7D0547FD">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9</w:t>
            </w:r>
          </w:p>
        </w:tc>
        <w:tc>
          <w:tcPr>
            <w:tcW w:w="769" w:type="pct"/>
            <w:tcBorders>
              <w:tl2br w:val="nil"/>
              <w:tr2bl w:val="nil"/>
            </w:tcBorders>
            <w:noWrap/>
            <w:vAlign w:val="center"/>
          </w:tcPr>
          <w:p w14:paraId="4DBCC717">
            <w:pPr>
              <w:widowControl/>
              <w:spacing w:line="360" w:lineRule="auto"/>
              <w:textAlignment w:val="center"/>
              <w:rPr>
                <w:rFonts w:ascii="宋体" w:hAnsi="宋体" w:eastAsia="宋体" w:cs="宋体"/>
                <w:szCs w:val="21"/>
              </w:rPr>
            </w:pPr>
            <w:r>
              <w:rPr>
                <w:rFonts w:hint="eastAsia" w:ascii="宋体" w:hAnsi="宋体" w:eastAsia="宋体" w:cs="宋体"/>
                <w:kern w:val="0"/>
                <w:szCs w:val="21"/>
                <w:lang w:bidi="ar"/>
              </w:rPr>
              <w:t>施工及辅材</w:t>
            </w:r>
          </w:p>
        </w:tc>
        <w:tc>
          <w:tcPr>
            <w:tcW w:w="2209" w:type="pct"/>
            <w:tcBorders>
              <w:tl2br w:val="nil"/>
              <w:tr2bl w:val="nil"/>
            </w:tcBorders>
            <w:noWrap/>
            <w:vAlign w:val="center"/>
          </w:tcPr>
          <w:p w14:paraId="14E3A7EB">
            <w:pPr>
              <w:spacing w:line="360" w:lineRule="auto"/>
              <w:rPr>
                <w:rFonts w:ascii="宋体" w:hAnsi="宋体" w:eastAsia="宋体" w:cs="宋体"/>
                <w:szCs w:val="21"/>
              </w:rPr>
            </w:pPr>
            <w:r>
              <w:rPr>
                <w:rFonts w:hint="eastAsia" w:ascii="宋体" w:hAnsi="宋体" w:eastAsia="宋体" w:cs="宋体"/>
                <w:kern w:val="0"/>
                <w:szCs w:val="21"/>
                <w:lang w:bidi="ar"/>
              </w:rPr>
              <w:t>对新采购的执法仪进行采集站接入，配发使用单位及使用人，对数据传输平台进行调试。</w:t>
            </w:r>
          </w:p>
        </w:tc>
        <w:tc>
          <w:tcPr>
            <w:tcW w:w="468" w:type="pct"/>
            <w:tcBorders>
              <w:tl2br w:val="nil"/>
              <w:tr2bl w:val="nil"/>
            </w:tcBorders>
            <w:noWrap/>
            <w:vAlign w:val="center"/>
          </w:tcPr>
          <w:p w14:paraId="402B29CD">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套</w:t>
            </w:r>
          </w:p>
        </w:tc>
        <w:tc>
          <w:tcPr>
            <w:tcW w:w="416" w:type="pct"/>
            <w:tcBorders>
              <w:tl2br w:val="nil"/>
              <w:tr2bl w:val="nil"/>
            </w:tcBorders>
            <w:noWrap/>
            <w:vAlign w:val="center"/>
          </w:tcPr>
          <w:p w14:paraId="14FB3D83">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768" w:type="pct"/>
            <w:tcBorders>
              <w:tl2br w:val="nil"/>
              <w:tr2bl w:val="nil"/>
            </w:tcBorders>
            <w:noWrap/>
            <w:vAlign w:val="center"/>
          </w:tcPr>
          <w:p w14:paraId="75BBB386">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工业</w:t>
            </w:r>
          </w:p>
        </w:tc>
      </w:tr>
    </w:tbl>
    <w:p w14:paraId="040D5B14">
      <w:pPr>
        <w:pStyle w:val="6"/>
        <w:spacing w:after="0" w:line="360" w:lineRule="auto"/>
        <w:ind w:firstLine="482" w:firstLineChars="200"/>
        <w:rPr>
          <w:rFonts w:ascii="宋体" w:hAnsi="宋体"/>
          <w:b/>
          <w:bCs/>
          <w:sz w:val="24"/>
        </w:rPr>
      </w:pPr>
      <w:r>
        <w:rPr>
          <w:rFonts w:hint="eastAsia" w:ascii="宋体" w:hAnsi="宋体"/>
          <w:b/>
          <w:bCs/>
          <w:sz w:val="24"/>
        </w:rPr>
        <w:t>四、非单一产品采购项目，采购标的中的核心产品</w:t>
      </w:r>
    </w:p>
    <w:p w14:paraId="15C4C807">
      <w:pPr>
        <w:pStyle w:val="6"/>
        <w:spacing w:after="0" w:line="360" w:lineRule="auto"/>
        <w:ind w:firstLine="482" w:firstLineChars="200"/>
        <w:rPr>
          <w:rFonts w:eastAsia="宋体" w:cs="Times New Roman"/>
          <w:b/>
          <w:bCs/>
          <w:sz w:val="24"/>
        </w:rPr>
      </w:pPr>
      <w:r>
        <w:rPr>
          <w:rFonts w:hint="eastAsia" w:cs="宋体"/>
          <w:b/>
          <w:bCs/>
          <w:sz w:val="24"/>
        </w:rPr>
        <w:t>本项目核心产品为5G执法视音频记录仪</w:t>
      </w:r>
    </w:p>
    <w:p w14:paraId="45343938">
      <w:pPr>
        <w:spacing w:line="360" w:lineRule="auto"/>
        <w:ind w:firstLine="482" w:firstLineChars="200"/>
        <w:textAlignment w:val="baseline"/>
        <w:rPr>
          <w:rFonts w:ascii="Times New Roman" w:hAnsi="Times New Roman" w:eastAsia="宋体" w:cs="Times New Roman"/>
          <w:b/>
          <w:bCs/>
          <w:sz w:val="24"/>
        </w:rPr>
      </w:pPr>
      <w:r>
        <w:rPr>
          <w:rFonts w:hint="eastAsia" w:ascii="Times New Roman" w:hAnsi="Times New Roman" w:eastAsia="宋体" w:cs="Times New Roman"/>
          <w:b/>
          <w:bCs/>
          <w:sz w:val="24"/>
        </w:rPr>
        <w:t>五、本项目</w:t>
      </w:r>
      <w:bookmarkEnd w:id="201"/>
      <w:bookmarkEnd w:id="202"/>
      <w:bookmarkEnd w:id="203"/>
      <w:r>
        <w:rPr>
          <w:rFonts w:hint="eastAsia" w:ascii="Times New Roman" w:hAnsi="Times New Roman" w:eastAsia="宋体" w:cs="Times New Roman"/>
          <w:b/>
          <w:bCs/>
          <w:sz w:val="24"/>
        </w:rPr>
        <w:t>执行的规范与标准</w:t>
      </w:r>
    </w:p>
    <w:p w14:paraId="59B9A642">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遵守国家现行的规范与标准，对我国未制定的规范，则参照相应的国际标准执行。</w:t>
      </w:r>
    </w:p>
    <w:p w14:paraId="1E50959A">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《信息技术开放系统互连网络层安全协议》（GB/T 17963-20000）</w:t>
      </w:r>
    </w:p>
    <w:p w14:paraId="7CD5E164">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《数据库管理系统通用安全技术要求》GB/T 20273-2006</w:t>
      </w:r>
    </w:p>
    <w:p w14:paraId="7191DD09">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《信息系统安全等级保护定级指南》GB/T 22240-2008</w:t>
      </w:r>
    </w:p>
    <w:p w14:paraId="333003D6">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《信息系统安全管理要求》GB/T20269-2006</w:t>
      </w:r>
    </w:p>
    <w:p w14:paraId="592D8712">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 xml:space="preserve"> 公安部《公安边界接入暂行规定》等文件的相关规定；</w:t>
      </w:r>
    </w:p>
    <w:p w14:paraId="21F0C313">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 xml:space="preserve"> 遵循公安部最新发布的《视频应用服务区边界接入平台安全规范（试行）——视频接入安全部分》草案</w:t>
      </w:r>
    </w:p>
    <w:p w14:paraId="3B10A8A2">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《安全防范视频监控联网系统信息传输、交换、控制技术要求》 GB/T28181-2016</w:t>
      </w:r>
    </w:p>
    <w:p w14:paraId="2621D13C">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《公共安全视频监控联网信息安全技术要求》GB/T 35114-2017</w:t>
      </w:r>
    </w:p>
    <w:p w14:paraId="03A15685">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《质量管理体系认证》 GB/19001-2008  ISO9001：2008</w:t>
      </w:r>
    </w:p>
    <w:p w14:paraId="0094A13E">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《电气装置安装工程及验收规范》 GBJ232-90、91</w:t>
      </w:r>
    </w:p>
    <w:p w14:paraId="533FC067">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《中华人民共和国安全作业标准》 GA/T74-94</w:t>
      </w:r>
    </w:p>
    <w:p w14:paraId="0E0B2CD9">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《公安视频图像信息应用系统》 GA/T 1400-2017</w:t>
      </w:r>
    </w:p>
    <w:p w14:paraId="4AE7F155">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《单警执法视音频记录系统》 GA/T 947-2015</w:t>
      </w:r>
    </w:p>
    <w:p w14:paraId="5AFE459E">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ITU-T H.235：</w:t>
      </w:r>
      <w:r>
        <w:rPr>
          <w:rFonts w:hint="eastAsia" w:ascii="Times New Roman" w:hAnsi="Times New Roman" w:eastAsia="宋体" w:cs="Times New Roman"/>
          <w:bCs/>
          <w:sz w:val="24"/>
        </w:rPr>
        <w:tab/>
      </w:r>
      <w:r>
        <w:rPr>
          <w:rFonts w:hint="eastAsia" w:ascii="Times New Roman" w:hAnsi="Times New Roman" w:eastAsia="宋体" w:cs="Times New Roman"/>
          <w:bCs/>
          <w:sz w:val="24"/>
        </w:rPr>
        <w:t>用于定义媒体流的加密规程</w:t>
      </w:r>
    </w:p>
    <w:p w14:paraId="7426AC8E">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ITU-T H.245：</w:t>
      </w:r>
      <w:r>
        <w:rPr>
          <w:rFonts w:hint="eastAsia" w:ascii="Times New Roman" w:hAnsi="Times New Roman" w:eastAsia="宋体" w:cs="Times New Roman"/>
          <w:bCs/>
          <w:sz w:val="24"/>
        </w:rPr>
        <w:tab/>
      </w:r>
      <w:r>
        <w:rPr>
          <w:rFonts w:hint="eastAsia" w:ascii="Times New Roman" w:hAnsi="Times New Roman" w:eastAsia="宋体" w:cs="Times New Roman"/>
          <w:bCs/>
          <w:sz w:val="24"/>
        </w:rPr>
        <w:t>多媒体通信控制协议</w:t>
      </w:r>
    </w:p>
    <w:p w14:paraId="6FBACBE3">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ITU-T H.264：关于高压缩比低码率通信的视频编解码协议</w:t>
      </w:r>
    </w:p>
    <w:p w14:paraId="10C7E0E3">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ITU-T H.323：</w:t>
      </w:r>
      <w:r>
        <w:rPr>
          <w:rFonts w:hint="eastAsia" w:ascii="Times New Roman" w:hAnsi="Times New Roman" w:eastAsia="宋体" w:cs="Times New Roman"/>
          <w:bCs/>
          <w:sz w:val="24"/>
        </w:rPr>
        <w:tab/>
      </w:r>
      <w:r>
        <w:rPr>
          <w:rFonts w:hint="eastAsia" w:ascii="Times New Roman" w:hAnsi="Times New Roman" w:eastAsia="宋体" w:cs="Times New Roman"/>
          <w:bCs/>
          <w:sz w:val="24"/>
        </w:rPr>
        <w:t>基于IP包交换网络中多媒体业务的框架协议</w:t>
      </w:r>
    </w:p>
    <w:p w14:paraId="7A53D609">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ITU-T G.728：</w:t>
      </w:r>
      <w:r>
        <w:rPr>
          <w:rFonts w:hint="eastAsia" w:ascii="Times New Roman" w:hAnsi="Times New Roman" w:eastAsia="宋体" w:cs="Times New Roman"/>
          <w:bCs/>
          <w:sz w:val="24"/>
        </w:rPr>
        <w:tab/>
      </w:r>
      <w:r>
        <w:rPr>
          <w:rFonts w:hint="eastAsia" w:ascii="Times New Roman" w:hAnsi="Times New Roman" w:eastAsia="宋体" w:cs="Times New Roman"/>
          <w:bCs/>
          <w:sz w:val="24"/>
        </w:rPr>
        <w:t>低时延码本激励线性预测编码</w:t>
      </w:r>
    </w:p>
    <w:p w14:paraId="27621162">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ITU-T G.729：电话带宽的语音信号编码的标准</w:t>
      </w:r>
      <w:r>
        <w:rPr>
          <w:rFonts w:hint="eastAsia" w:ascii="Times New Roman" w:hAnsi="Times New Roman" w:eastAsia="宋体" w:cs="Times New Roman"/>
          <w:bCs/>
          <w:sz w:val="24"/>
        </w:rPr>
        <w:tab/>
      </w:r>
    </w:p>
    <w:p w14:paraId="5084B972">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ISO/IEC  MPEG4:高级视频编码</w:t>
      </w:r>
    </w:p>
    <w:p w14:paraId="71C56B0D">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ISO/IEC  MPEG4-AAC（LC/LD）:高级音频编码（低复杂度/低延时）</w:t>
      </w:r>
    </w:p>
    <w:p w14:paraId="5418A825">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ISO/IEC  MP3: MPEG第三代声音文件压缩格式</w:t>
      </w:r>
    </w:p>
    <w:p w14:paraId="11A6EF9C">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IETF SIP :多媒体交互会话控制协议</w:t>
      </w:r>
    </w:p>
    <w:p w14:paraId="59730970">
      <w:pPr>
        <w:spacing w:line="360" w:lineRule="auto"/>
        <w:ind w:firstLine="482" w:firstLineChars="200"/>
        <w:textAlignment w:val="baseline"/>
        <w:rPr>
          <w:rFonts w:ascii="Times New Roman" w:hAnsi="Times New Roman" w:eastAsia="宋体" w:cs="Times New Roman"/>
          <w:b/>
          <w:bCs/>
          <w:sz w:val="24"/>
        </w:rPr>
      </w:pPr>
      <w:r>
        <w:rPr>
          <w:rFonts w:hint="eastAsia" w:ascii="Times New Roman" w:hAnsi="Times New Roman" w:eastAsia="宋体" w:cs="Times New Roman"/>
          <w:b/>
          <w:bCs/>
          <w:sz w:val="24"/>
        </w:rPr>
        <w:t>六、运输及包装</w:t>
      </w:r>
    </w:p>
    <w:p w14:paraId="45B89B91">
      <w:pPr>
        <w:autoSpaceDE w:val="0"/>
        <w:autoSpaceDN w:val="0"/>
        <w:adjustRightInd w:val="0"/>
        <w:spacing w:line="360" w:lineRule="auto"/>
        <w:ind w:firstLine="480"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Cs/>
          <w:sz w:val="24"/>
        </w:rPr>
        <w:t>1、</w:t>
      </w:r>
      <w:r>
        <w:rPr>
          <w:rFonts w:hint="eastAsia" w:ascii="Times New Roman" w:hAnsi="Times New Roman" w:eastAsia="宋体" w:cs="Times New Roman"/>
          <w:bCs/>
          <w:sz w:val="24"/>
          <w:lang w:val="zh-CN"/>
        </w:rPr>
        <w:t>设备材料的包装需是制造商原厂包装，其包装均应有良好的防湿、防锈、防潮、防雨、防腐及防碰撞的措施。凡由于包装不良造成的损失和由此产生的费用均由中标供应商承担。</w:t>
      </w:r>
    </w:p>
    <w:p w14:paraId="35021560">
      <w:pPr>
        <w:autoSpaceDE w:val="0"/>
        <w:autoSpaceDN w:val="0"/>
        <w:adjustRightInd w:val="0"/>
        <w:spacing w:line="360" w:lineRule="auto"/>
        <w:ind w:firstLine="480"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Cs/>
          <w:sz w:val="24"/>
        </w:rPr>
        <w:t>2、</w:t>
      </w:r>
      <w:r>
        <w:rPr>
          <w:rFonts w:hint="eastAsia" w:ascii="Times New Roman" w:hAnsi="Times New Roman" w:eastAsia="宋体" w:cs="Times New Roman"/>
          <w:bCs/>
          <w:sz w:val="24"/>
          <w:lang w:val="zh-CN"/>
        </w:rPr>
        <w:t>中标供应商负责将设备材料运送到现场过程中的全部运输，包括装卸车、货物现场的搬运。</w:t>
      </w:r>
    </w:p>
    <w:p w14:paraId="70CCA623">
      <w:pPr>
        <w:autoSpaceDE w:val="0"/>
        <w:autoSpaceDN w:val="0"/>
        <w:adjustRightInd w:val="0"/>
        <w:spacing w:line="360" w:lineRule="auto"/>
        <w:ind w:firstLine="480"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Cs/>
          <w:sz w:val="24"/>
        </w:rPr>
        <w:t>3、</w:t>
      </w:r>
      <w:r>
        <w:rPr>
          <w:rFonts w:hint="eastAsia" w:ascii="Times New Roman" w:hAnsi="Times New Roman" w:eastAsia="宋体" w:cs="Times New Roman"/>
          <w:bCs/>
          <w:sz w:val="24"/>
          <w:lang w:val="zh-CN"/>
        </w:rPr>
        <w:t>各种设备需提供装箱清单，按装箱清单验收货物。</w:t>
      </w:r>
    </w:p>
    <w:p w14:paraId="37AAAE48">
      <w:pPr>
        <w:autoSpaceDE w:val="0"/>
        <w:autoSpaceDN w:val="0"/>
        <w:adjustRightInd w:val="0"/>
        <w:spacing w:line="360" w:lineRule="auto"/>
        <w:ind w:firstLine="480"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Cs/>
          <w:sz w:val="24"/>
        </w:rPr>
        <w:t>4、</w:t>
      </w:r>
      <w:r>
        <w:rPr>
          <w:rFonts w:hint="eastAsia" w:ascii="Times New Roman" w:hAnsi="Times New Roman" w:eastAsia="宋体" w:cs="Times New Roman"/>
          <w:bCs/>
          <w:sz w:val="24"/>
          <w:lang w:val="zh-CN"/>
        </w:rPr>
        <w:t>设备在系统安装调试验收合格前的保险由中标供应商负责，中标供应商负责其派出的技术人员的人身意外保险。</w:t>
      </w:r>
    </w:p>
    <w:p w14:paraId="15E03DE8">
      <w:pPr>
        <w:autoSpaceDE w:val="0"/>
        <w:autoSpaceDN w:val="0"/>
        <w:adjustRightInd w:val="0"/>
        <w:spacing w:line="360" w:lineRule="auto"/>
        <w:ind w:firstLine="480"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Cs/>
          <w:sz w:val="24"/>
        </w:rPr>
        <w:t>5、</w:t>
      </w:r>
      <w:r>
        <w:rPr>
          <w:rFonts w:hint="eastAsia" w:ascii="Times New Roman" w:hAnsi="Times New Roman" w:eastAsia="宋体" w:cs="Times New Roman"/>
          <w:bCs/>
          <w:sz w:val="24"/>
          <w:lang w:val="zh-CN"/>
        </w:rPr>
        <w:t>设备至采购人指定的地点的包装、保险及发运等环节和费用均由中标供应商负责。</w:t>
      </w:r>
    </w:p>
    <w:p w14:paraId="47A94BA8">
      <w:pPr>
        <w:autoSpaceDE w:val="0"/>
        <w:autoSpaceDN w:val="0"/>
        <w:adjustRightInd w:val="0"/>
        <w:spacing w:line="360" w:lineRule="auto"/>
        <w:ind w:firstLine="480"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Cs/>
          <w:sz w:val="24"/>
        </w:rPr>
        <w:t>6、</w:t>
      </w:r>
      <w:r>
        <w:rPr>
          <w:rFonts w:hint="eastAsia" w:ascii="Times New Roman" w:hAnsi="Times New Roman" w:eastAsia="宋体" w:cs="Times New Roman"/>
          <w:bCs/>
          <w:sz w:val="24"/>
          <w:lang w:val="zh-CN"/>
        </w:rPr>
        <w:t>中标供应商需依照本文件的要求和报价文件的承诺，将设备、系统安装并调试至正常运行的最佳状态，并出具验收调试报告。货物到达安装现场后，中标供应商和采购人（或委托的监理方）共同打开包装验货检查货物数量，中标供应商应提供详细装箱单据及货物生产日期。如果货物质量或技术规格与合同不符，或货物有明显损坏，采购人有权提出索赔。只有经安装调试并且技术性能达到本招标文件所述的技术要求后，采购人才能接受全部货物。</w:t>
      </w:r>
    </w:p>
    <w:p w14:paraId="287772B2">
      <w:pPr>
        <w:autoSpaceDE w:val="0"/>
        <w:autoSpaceDN w:val="0"/>
        <w:adjustRightInd w:val="0"/>
        <w:spacing w:line="360" w:lineRule="auto"/>
        <w:ind w:firstLine="480"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Cs/>
          <w:sz w:val="24"/>
        </w:rPr>
        <w:t>7、</w:t>
      </w:r>
      <w:r>
        <w:rPr>
          <w:rFonts w:hint="eastAsia" w:ascii="Times New Roman" w:hAnsi="Times New Roman" w:eastAsia="宋体" w:cs="Times New Roman"/>
          <w:bCs/>
          <w:sz w:val="24"/>
          <w:lang w:val="zh-CN"/>
        </w:rPr>
        <w:t>设备为全新产品，整机无污染，无侵权行为、表面无划损、无任何缺陷隐患，在中国境内可依常规安全合法使用。</w:t>
      </w:r>
    </w:p>
    <w:p w14:paraId="27C8F538">
      <w:pPr>
        <w:autoSpaceDE w:val="0"/>
        <w:autoSpaceDN w:val="0"/>
        <w:adjustRightInd w:val="0"/>
        <w:spacing w:line="360" w:lineRule="auto"/>
        <w:ind w:firstLine="480"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Cs/>
          <w:sz w:val="24"/>
        </w:rPr>
        <w:t>8、</w:t>
      </w:r>
      <w:r>
        <w:rPr>
          <w:rFonts w:hint="eastAsia" w:ascii="Times New Roman" w:hAnsi="Times New Roman" w:eastAsia="宋体" w:cs="Times New Roman"/>
          <w:bCs/>
          <w:sz w:val="24"/>
          <w:lang w:val="zh-CN"/>
        </w:rPr>
        <w:t>设备为原厂商未启封全新包装，具出厂合格证，序列号、包装箱号与出厂批号一致，并可追索查阅。所有随设备的附件需齐全。</w:t>
      </w:r>
    </w:p>
    <w:p w14:paraId="3B6CBA23">
      <w:pPr>
        <w:autoSpaceDE w:val="0"/>
        <w:autoSpaceDN w:val="0"/>
        <w:adjustRightInd w:val="0"/>
        <w:spacing w:line="360" w:lineRule="auto"/>
        <w:ind w:firstLine="480" w:firstLineChars="200"/>
        <w:contextualSpacing/>
        <w:rPr>
          <w:rFonts w:ascii="Times New Roman" w:hAnsi="Times New Roman" w:eastAsia="宋体" w:cs="Times New Roman"/>
          <w:bCs/>
          <w:sz w:val="24"/>
          <w:lang w:val="zh-CN"/>
        </w:rPr>
      </w:pPr>
      <w:r>
        <w:rPr>
          <w:rFonts w:hint="eastAsia" w:ascii="Times New Roman" w:hAnsi="Times New Roman" w:eastAsia="宋体" w:cs="Times New Roman"/>
          <w:bCs/>
          <w:sz w:val="24"/>
        </w:rPr>
        <w:t>9、</w:t>
      </w:r>
      <w:r>
        <w:rPr>
          <w:rFonts w:hint="eastAsia" w:ascii="Times New Roman" w:hAnsi="Times New Roman" w:eastAsia="宋体" w:cs="Times New Roman"/>
          <w:bCs/>
          <w:sz w:val="24"/>
          <w:lang w:val="zh-CN"/>
        </w:rPr>
        <w:t>中标供应商将关键主机设备的用户手册、保修手册、有关单证资料及配备件、随机工具等交付给采购人，使用操作及安全须知等重要资料应附有中文说明。</w:t>
      </w:r>
    </w:p>
    <w:p w14:paraId="08377B65">
      <w:pPr>
        <w:autoSpaceDE w:val="0"/>
        <w:autoSpaceDN w:val="0"/>
        <w:adjustRightInd w:val="0"/>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10、</w:t>
      </w:r>
      <w:r>
        <w:rPr>
          <w:rFonts w:hint="eastAsia" w:ascii="Times New Roman" w:hAnsi="Times New Roman" w:eastAsia="宋体" w:cs="Times New Roman"/>
          <w:bCs/>
          <w:sz w:val="24"/>
          <w:lang w:val="zh-CN"/>
        </w:rPr>
        <w:t>中标供应商负责提供验收所需的合格的检测样品及其它验收相关器材保障等。采购人有权要求中标供应商提供国家专业机构的产品检验报告，证明其所提供的产品性能均达到采购文件要求，相关费用由中标供应商承担。仪器设备不满足采购文件要求的，采购人有权解除合同并追究中标供应商法律责任。</w:t>
      </w:r>
    </w:p>
    <w:p w14:paraId="1AD7F0B1">
      <w:pPr>
        <w:spacing w:line="360" w:lineRule="auto"/>
        <w:ind w:firstLine="482" w:firstLineChars="200"/>
        <w:textAlignment w:val="baseline"/>
        <w:rPr>
          <w:rFonts w:ascii="Times New Roman" w:hAnsi="Times New Roman" w:eastAsia="宋体" w:cs="Times New Roman"/>
          <w:b/>
          <w:bCs/>
          <w:sz w:val="24"/>
        </w:rPr>
      </w:pPr>
      <w:r>
        <w:rPr>
          <w:rFonts w:hint="eastAsia" w:ascii="Times New Roman" w:hAnsi="Times New Roman" w:eastAsia="宋体" w:cs="Times New Roman"/>
          <w:b/>
          <w:bCs/>
          <w:sz w:val="24"/>
        </w:rPr>
        <w:t>七、商务要求</w:t>
      </w:r>
    </w:p>
    <w:p w14:paraId="4C4EA6D4">
      <w:pPr>
        <w:spacing w:line="360" w:lineRule="auto"/>
        <w:ind w:firstLine="480" w:firstLineChars="200"/>
        <w:textAlignment w:val="baseline"/>
        <w:rPr>
          <w:rFonts w:ascii="Times New Roman" w:hAnsi="Times New Roman" w:eastAsia="宋体" w:cs="宋体"/>
          <w:sz w:val="24"/>
        </w:rPr>
      </w:pPr>
      <w:r>
        <w:rPr>
          <w:rFonts w:hint="eastAsia" w:ascii="Times New Roman" w:hAnsi="Times New Roman" w:eastAsia="宋体" w:cs="宋体"/>
          <w:sz w:val="24"/>
        </w:rPr>
        <w:t>1、合同履行期限：自合同签订之日30日历天内改造完成，并交付采购人使用。</w:t>
      </w:r>
    </w:p>
    <w:p w14:paraId="204C992E">
      <w:pPr>
        <w:spacing w:line="360" w:lineRule="auto"/>
        <w:ind w:firstLine="480" w:firstLineChars="200"/>
        <w:textAlignment w:val="baseline"/>
        <w:rPr>
          <w:rFonts w:ascii="Times New Roman" w:hAnsi="Times New Roman" w:eastAsia="宋体" w:cs="宋体"/>
          <w:sz w:val="24"/>
        </w:rPr>
      </w:pPr>
      <w:r>
        <w:rPr>
          <w:rFonts w:hint="eastAsia" w:ascii="Times New Roman" w:hAnsi="Times New Roman" w:eastAsia="宋体" w:cs="宋体"/>
          <w:sz w:val="24"/>
        </w:rPr>
        <w:t>2、交货或服务地点：采购人指定的地点。</w:t>
      </w:r>
    </w:p>
    <w:p w14:paraId="2DD552D7">
      <w:pPr>
        <w:spacing w:line="360" w:lineRule="auto"/>
        <w:ind w:firstLine="480" w:firstLineChars="200"/>
        <w:textAlignment w:val="baseline"/>
      </w:pPr>
      <w:r>
        <w:rPr>
          <w:rFonts w:hint="eastAsia" w:ascii="Times New Roman" w:hAnsi="Times New Roman" w:eastAsia="宋体" w:cs="宋体"/>
          <w:sz w:val="24"/>
        </w:rPr>
        <w:t>3、验收方案：</w:t>
      </w:r>
      <w:r>
        <w:rPr>
          <w:rFonts w:hint="eastAsia" w:ascii="Times New Roman" w:hAnsi="Times New Roman" w:eastAsia="宋体" w:cs="宋体"/>
          <w:sz w:val="24"/>
          <w:lang w:val="zh-CN"/>
        </w:rPr>
        <w:t>采购单位按合同约定积极配合供应商履约，按合同约定及时组织相关专业技术人员进行验收，并出具验收报告，验收合格的作为支付款项的依据</w:t>
      </w:r>
      <w:r>
        <w:rPr>
          <w:rFonts w:hint="eastAsia" w:ascii="Times New Roman" w:hAnsi="Times New Roman" w:eastAsia="宋体" w:cs="宋体"/>
          <w:sz w:val="24"/>
        </w:rPr>
        <w:t>。</w:t>
      </w:r>
    </w:p>
    <w:p w14:paraId="5BEB2EA6">
      <w:pPr>
        <w:spacing w:line="360" w:lineRule="auto"/>
        <w:ind w:firstLine="480" w:firstLineChars="200"/>
        <w:textAlignment w:val="baseline"/>
        <w:rPr>
          <w:rFonts w:ascii="Times New Roman" w:hAnsi="Times New Roman" w:eastAsia="宋体" w:cs="宋体"/>
          <w:sz w:val="24"/>
        </w:rPr>
      </w:pPr>
      <w:r>
        <w:rPr>
          <w:rFonts w:hint="eastAsia" w:ascii="Times New Roman" w:hAnsi="Times New Roman" w:eastAsia="宋体" w:cs="宋体"/>
          <w:sz w:val="24"/>
        </w:rPr>
        <w:t>4、售后服务：本项目质保期自验收之日起三年</w:t>
      </w:r>
      <w:r>
        <w:rPr>
          <w:rFonts w:hint="eastAsia" w:ascii="Times New Roman" w:hAnsi="Times New Roman" w:eastAsia="宋体" w:cs="宋体"/>
          <w:b/>
          <w:bCs/>
          <w:sz w:val="24"/>
        </w:rPr>
        <w:t>，</w:t>
      </w:r>
      <w:r>
        <w:rPr>
          <w:rFonts w:hint="eastAsia" w:ascii="Times New Roman" w:hAnsi="Times New Roman" w:eastAsia="宋体" w:cs="宋体"/>
          <w:sz w:val="24"/>
        </w:rPr>
        <w:t>免费送货、免费安装、免费培训，在保修期内免费维护维修及技术支持，接到用户通知4小时内上门，48小时内解决问题。</w:t>
      </w:r>
    </w:p>
    <w:p w14:paraId="0C6084E2">
      <w:pPr>
        <w:spacing w:line="360" w:lineRule="auto"/>
        <w:ind w:firstLine="480" w:firstLineChars="200"/>
        <w:textAlignment w:val="baseline"/>
        <w:rPr>
          <w:rFonts w:ascii="Times New Roman" w:hAnsi="Times New Roman" w:eastAsia="宋体" w:cs="宋体"/>
          <w:sz w:val="24"/>
          <w:lang w:val="zh-CN"/>
        </w:rPr>
      </w:pPr>
      <w:r>
        <w:rPr>
          <w:rFonts w:hint="eastAsia" w:ascii="Times New Roman" w:hAnsi="Times New Roman" w:eastAsia="宋体" w:cs="宋体"/>
          <w:sz w:val="24"/>
        </w:rPr>
        <w:t>5、</w:t>
      </w:r>
      <w:r>
        <w:rPr>
          <w:rFonts w:hint="eastAsia" w:ascii="Times New Roman" w:hAnsi="Times New Roman" w:eastAsia="宋体" w:cs="宋体"/>
          <w:sz w:val="24"/>
          <w:lang w:val="zh-CN"/>
        </w:rPr>
        <w:t>付款时间和条件</w:t>
      </w:r>
    </w:p>
    <w:p w14:paraId="75BF0E16">
      <w:pPr>
        <w:spacing w:line="360" w:lineRule="auto"/>
        <w:ind w:firstLine="480" w:firstLineChars="200"/>
        <w:textAlignment w:val="baseline"/>
        <w:rPr>
          <w:rFonts w:ascii="Times New Roman" w:hAnsi="Times New Roman" w:eastAsia="宋体" w:cs="宋体"/>
          <w:sz w:val="24"/>
        </w:rPr>
      </w:pPr>
      <w:r>
        <w:rPr>
          <w:rFonts w:hint="eastAsia" w:ascii="Times New Roman" w:hAnsi="Times New Roman" w:eastAsia="宋体" w:cs="宋体"/>
          <w:sz w:val="24"/>
          <w:lang w:val="zh-CN"/>
        </w:rPr>
        <w:t>付款方式：</w:t>
      </w:r>
      <w:r>
        <w:rPr>
          <w:rFonts w:hint="eastAsia" w:ascii="Times New Roman" w:hAnsi="Times New Roman" w:eastAsia="宋体" w:cs="宋体"/>
          <w:sz w:val="24"/>
        </w:rPr>
        <w:t>合同签订生效后，支付合同总价款的30%作为项目建设实施的预付款，竣工验收合格后付清剩余70%合同款项。</w:t>
      </w:r>
    </w:p>
    <w:p w14:paraId="5BB101E6">
      <w:pPr>
        <w:spacing w:line="360" w:lineRule="auto"/>
        <w:ind w:firstLine="482" w:firstLineChars="200"/>
        <w:textAlignment w:val="baseline"/>
        <w:rPr>
          <w:rFonts w:ascii="Times New Roman" w:hAnsi="Times New Roman" w:eastAsia="宋体" w:cs="Times New Roman"/>
          <w:b/>
          <w:bCs/>
          <w:sz w:val="24"/>
        </w:rPr>
      </w:pPr>
      <w:r>
        <w:rPr>
          <w:rFonts w:hint="eastAsia" w:ascii="Times New Roman" w:hAnsi="Times New Roman" w:eastAsia="宋体" w:cs="Times New Roman"/>
          <w:b/>
          <w:bCs/>
          <w:sz w:val="24"/>
        </w:rPr>
        <w:t>八、采购需求中必须满足的实质性要求</w:t>
      </w:r>
    </w:p>
    <w:p w14:paraId="0AB2B2E0">
      <w:pPr>
        <w:spacing w:line="360" w:lineRule="auto"/>
        <w:ind w:firstLine="482" w:firstLineChars="200"/>
        <w:textAlignment w:val="baseline"/>
        <w:rPr>
          <w:rFonts w:ascii="Times New Roman" w:hAnsi="Times New Roman" w:eastAsia="宋体" w:cs="宋体"/>
          <w:b/>
          <w:bCs/>
          <w:sz w:val="24"/>
          <w:lang w:val="zh-CN"/>
        </w:rPr>
      </w:pPr>
      <w:r>
        <w:rPr>
          <w:rFonts w:hint="eastAsia" w:ascii="Times New Roman" w:hAnsi="Times New Roman" w:eastAsia="宋体" w:cs="宋体"/>
          <w:b/>
          <w:bCs/>
          <w:sz w:val="24"/>
          <w:lang w:val="zh-CN"/>
        </w:rPr>
        <w:t>标注为“★”项为实质性响应条款，不接受负偏离响应。如负偏离响应的，为无效响应文件。</w:t>
      </w:r>
    </w:p>
    <w:p w14:paraId="21205451">
      <w:pPr>
        <w:rPr>
          <w:rFonts w:asciiTheme="minorEastAsia" w:hAnsiTheme="minorEastAsia" w:cstheme="minorEastAsia"/>
          <w:sz w:val="24"/>
        </w:rPr>
      </w:pPr>
      <w:r>
        <w:rPr>
          <w:rFonts w:hint="eastAsia" w:asciiTheme="minorEastAsia" w:hAnsiTheme="minorEastAsia" w:cstheme="minorEastAsia"/>
          <w:sz w:val="24"/>
        </w:rPr>
        <w:br w:type="page"/>
      </w:r>
    </w:p>
    <w:p w14:paraId="2C96B1C4">
      <w:pPr>
        <w:pStyle w:val="2"/>
        <w:spacing w:before="312" w:after="312"/>
      </w:pPr>
      <w:bookmarkStart w:id="204" w:name="_Toc15365"/>
      <w:r>
        <w:rPr>
          <w:rFonts w:hint="eastAsia"/>
        </w:rPr>
        <w:t>第五章  评标方法与评标标准</w:t>
      </w:r>
      <w:bookmarkEnd w:id="204"/>
    </w:p>
    <w:p w14:paraId="1C154917">
      <w:pPr>
        <w:pStyle w:val="18"/>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14A0A277">
      <w:pPr>
        <w:pStyle w:val="18"/>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政府采购政策功能落实：本项目非专门面向中小微企业采购，价格评审执行折扣优惠。</w:t>
      </w:r>
    </w:p>
    <w:p w14:paraId="7D588985">
      <w:pPr>
        <w:spacing w:line="360" w:lineRule="auto"/>
        <w:ind w:firstLine="480" w:firstLineChars="200"/>
        <w:rPr>
          <w:rFonts w:asciiTheme="minorEastAsia" w:hAnsiTheme="minorEastAsia" w:cstheme="minorEastAsia"/>
          <w:b/>
          <w:bCs/>
          <w:sz w:val="24"/>
        </w:rPr>
      </w:pPr>
      <w:r>
        <w:rPr>
          <w:rFonts w:hint="eastAsia" w:asciiTheme="minorEastAsia" w:hAnsiTheme="minorEastAsia" w:cstheme="minorEastAsia"/>
          <w:sz w:val="24"/>
        </w:rPr>
        <w:t>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64441C98">
      <w:pPr>
        <w:autoSpaceDE w:val="0"/>
        <w:autoSpaceDN w:val="0"/>
        <w:snapToGrid w:val="0"/>
        <w:spacing w:line="360" w:lineRule="auto"/>
        <w:ind w:firstLine="480" w:firstLineChars="200"/>
        <w:jc w:val="left"/>
        <w:rPr>
          <w:rFonts w:eastAsia="宋体" w:cs="宋体"/>
          <w:sz w:val="24"/>
        </w:rPr>
      </w:pPr>
      <w:r>
        <w:rPr>
          <w:rFonts w:hint="eastAsia" w:eastAsia="宋体" w:cs="宋体"/>
          <w:sz w:val="24"/>
        </w:rPr>
        <w:t>1. 小微型企业价格扣除</w:t>
      </w:r>
    </w:p>
    <w:p w14:paraId="1FC2B2C0">
      <w:pPr>
        <w:autoSpaceDE w:val="0"/>
        <w:autoSpaceDN w:val="0"/>
        <w:snapToGrid w:val="0"/>
        <w:spacing w:line="360" w:lineRule="auto"/>
        <w:ind w:firstLine="480" w:firstLineChars="200"/>
        <w:jc w:val="left"/>
        <w:rPr>
          <w:rFonts w:eastAsia="宋体" w:cs="宋体"/>
          <w:sz w:val="24"/>
        </w:rPr>
      </w:pPr>
      <w:r>
        <w:rPr>
          <w:rFonts w:hint="eastAsia" w:eastAsia="宋体" w:cs="宋体"/>
          <w:sz w:val="24"/>
        </w:rPr>
        <w:t>（1）本项目对小型和微型企业产品给予10%的扣除价格，用扣除后的价格参与评审。</w:t>
      </w:r>
    </w:p>
    <w:p w14:paraId="72B64A72">
      <w:pPr>
        <w:autoSpaceDE w:val="0"/>
        <w:autoSpaceDN w:val="0"/>
        <w:snapToGrid w:val="0"/>
        <w:spacing w:line="360" w:lineRule="auto"/>
        <w:ind w:firstLine="480" w:firstLineChars="200"/>
        <w:jc w:val="left"/>
        <w:rPr>
          <w:rFonts w:eastAsia="宋体" w:cs="宋体"/>
          <w:sz w:val="24"/>
        </w:rPr>
      </w:pPr>
      <w:r>
        <w:rPr>
          <w:rFonts w:hint="eastAsia" w:eastAsia="宋体" w:cs="宋体"/>
          <w:sz w:val="24"/>
        </w:rPr>
        <w:t>（2）供应商需按照《政府采购促进中小企业发展管理办法》（财库﹝2020﹞46 号）的规定提供相应的《中小企业声明函》。</w:t>
      </w:r>
    </w:p>
    <w:p w14:paraId="2400FA0A">
      <w:pPr>
        <w:autoSpaceDE w:val="0"/>
        <w:autoSpaceDN w:val="0"/>
        <w:snapToGrid w:val="0"/>
        <w:spacing w:line="360" w:lineRule="auto"/>
        <w:ind w:firstLine="480" w:firstLineChars="200"/>
        <w:jc w:val="left"/>
        <w:rPr>
          <w:rFonts w:eastAsia="宋体" w:cs="宋体"/>
          <w:sz w:val="24"/>
        </w:rPr>
      </w:pPr>
      <w:r>
        <w:rPr>
          <w:rFonts w:hint="eastAsia" w:eastAsia="宋体" w:cs="宋体"/>
          <w:sz w:val="24"/>
        </w:rPr>
        <w:t>（3）企业标准请参照《关于印发中小企业划型标准规定的通知》（工信部联企业[2011]300号）文件规定自行填写。</w:t>
      </w:r>
    </w:p>
    <w:p w14:paraId="5F69C0CC">
      <w:pPr>
        <w:autoSpaceDE w:val="0"/>
        <w:autoSpaceDN w:val="0"/>
        <w:snapToGrid w:val="0"/>
        <w:spacing w:line="360" w:lineRule="auto"/>
        <w:ind w:firstLine="480" w:firstLineChars="200"/>
        <w:jc w:val="left"/>
        <w:rPr>
          <w:rFonts w:eastAsia="宋体" w:cs="宋体"/>
          <w:sz w:val="24"/>
        </w:rPr>
      </w:pPr>
      <w:r>
        <w:rPr>
          <w:rFonts w:hint="eastAsia" w:eastAsia="宋体" w:cs="宋体"/>
          <w:sz w:val="24"/>
        </w:rPr>
        <w:t>2. 残疾人福利单位价格扣除</w:t>
      </w:r>
    </w:p>
    <w:p w14:paraId="2458981A">
      <w:pPr>
        <w:autoSpaceDE w:val="0"/>
        <w:autoSpaceDN w:val="0"/>
        <w:snapToGrid w:val="0"/>
        <w:spacing w:line="360" w:lineRule="auto"/>
        <w:ind w:firstLine="480" w:firstLineChars="200"/>
        <w:jc w:val="left"/>
        <w:rPr>
          <w:rFonts w:eastAsia="宋体" w:cs="宋体"/>
          <w:sz w:val="24"/>
        </w:rPr>
      </w:pPr>
      <w:r>
        <w:rPr>
          <w:rFonts w:hint="eastAsia" w:eastAsia="宋体" w:cs="宋体"/>
          <w:sz w:val="24"/>
        </w:rPr>
        <w:t>（1）本项目对残疾人福利性单位，给予10%的价格扣除，用扣除后的价格参与评审。</w:t>
      </w:r>
    </w:p>
    <w:p w14:paraId="2526E34A">
      <w:pPr>
        <w:autoSpaceDE w:val="0"/>
        <w:autoSpaceDN w:val="0"/>
        <w:snapToGrid w:val="0"/>
        <w:spacing w:line="360" w:lineRule="auto"/>
        <w:ind w:firstLine="480" w:firstLineChars="200"/>
        <w:jc w:val="left"/>
        <w:rPr>
          <w:rFonts w:eastAsia="宋体" w:cs="宋体"/>
          <w:sz w:val="24"/>
        </w:rPr>
      </w:pPr>
      <w:r>
        <w:rPr>
          <w:rFonts w:hint="eastAsia" w:eastAsia="宋体" w:cs="宋体"/>
          <w:sz w:val="24"/>
        </w:rPr>
        <w:t>（2）残疾人福利单位需按照采购文件的要求提供《残疾人福利性单位声明函》。</w:t>
      </w:r>
    </w:p>
    <w:p w14:paraId="005AA9F5">
      <w:pPr>
        <w:autoSpaceDE w:val="0"/>
        <w:autoSpaceDN w:val="0"/>
        <w:snapToGrid w:val="0"/>
        <w:spacing w:line="360" w:lineRule="auto"/>
        <w:ind w:firstLine="480" w:firstLineChars="200"/>
        <w:jc w:val="left"/>
        <w:rPr>
          <w:rFonts w:eastAsia="宋体" w:cs="宋体"/>
          <w:sz w:val="24"/>
        </w:rPr>
      </w:pPr>
      <w:r>
        <w:rPr>
          <w:rFonts w:hint="eastAsia" w:eastAsia="宋体" w:cs="宋体"/>
          <w:sz w:val="24"/>
        </w:rPr>
        <w:t>（3）残疾人福利单位标准请参照《关于促进残疾人就业政府采购政策的通知》（财库〔2017〕141号）。</w:t>
      </w:r>
    </w:p>
    <w:p w14:paraId="018B2431">
      <w:pPr>
        <w:autoSpaceDE w:val="0"/>
        <w:autoSpaceDN w:val="0"/>
        <w:snapToGrid w:val="0"/>
        <w:spacing w:line="360" w:lineRule="auto"/>
        <w:ind w:firstLine="480" w:firstLineChars="200"/>
        <w:jc w:val="left"/>
        <w:rPr>
          <w:rFonts w:eastAsia="宋体" w:cs="宋体"/>
          <w:sz w:val="24"/>
        </w:rPr>
      </w:pPr>
      <w:r>
        <w:rPr>
          <w:rFonts w:hint="eastAsia" w:eastAsia="宋体" w:cs="宋体"/>
          <w:sz w:val="24"/>
        </w:rPr>
        <w:t>3. 监狱和戒毒企业价格扣除</w:t>
      </w:r>
    </w:p>
    <w:p w14:paraId="2F7A0BE6">
      <w:pPr>
        <w:autoSpaceDE w:val="0"/>
        <w:autoSpaceDN w:val="0"/>
        <w:snapToGrid w:val="0"/>
        <w:spacing w:line="360" w:lineRule="auto"/>
        <w:ind w:firstLine="480" w:firstLineChars="200"/>
        <w:jc w:val="left"/>
        <w:rPr>
          <w:rFonts w:eastAsia="宋体" w:cs="宋体"/>
          <w:sz w:val="24"/>
        </w:rPr>
      </w:pPr>
      <w:r>
        <w:rPr>
          <w:rFonts w:hint="eastAsia" w:eastAsia="宋体" w:cs="宋体"/>
          <w:sz w:val="24"/>
        </w:rPr>
        <w:t>（1）本项目对监狱和戒毒企业（简称监狱企业）给予10%的价格扣除，用扣除后的价格参与评审。</w:t>
      </w:r>
    </w:p>
    <w:p w14:paraId="0A11DF75">
      <w:pPr>
        <w:autoSpaceDE w:val="0"/>
        <w:autoSpaceDN w:val="0"/>
        <w:snapToGrid w:val="0"/>
        <w:spacing w:line="360" w:lineRule="auto"/>
        <w:ind w:firstLine="480" w:firstLineChars="200"/>
        <w:jc w:val="left"/>
        <w:rPr>
          <w:rFonts w:eastAsia="宋体" w:cs="宋体"/>
          <w:sz w:val="24"/>
        </w:rPr>
      </w:pPr>
      <w:r>
        <w:rPr>
          <w:rFonts w:hint="eastAsia" w:eastAsia="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39FC1275">
      <w:pPr>
        <w:autoSpaceDE w:val="0"/>
        <w:autoSpaceDN w:val="0"/>
        <w:snapToGrid w:val="0"/>
        <w:spacing w:line="360" w:lineRule="auto"/>
        <w:ind w:firstLine="480" w:firstLineChars="200"/>
        <w:jc w:val="left"/>
        <w:rPr>
          <w:rFonts w:eastAsia="宋体" w:cs="宋体"/>
          <w:sz w:val="24"/>
        </w:rPr>
      </w:pPr>
      <w:r>
        <w:rPr>
          <w:rFonts w:hint="eastAsia" w:eastAsia="宋体" w:cs="宋体"/>
          <w:sz w:val="24"/>
        </w:rPr>
        <w:t>（3）监狱企业标准请参照《关于政府采购支持监狱企业发展有关问题的通知》（财库[2014]68号）。</w:t>
      </w:r>
    </w:p>
    <w:p w14:paraId="6E3F2C80">
      <w:pPr>
        <w:autoSpaceDE w:val="0"/>
        <w:autoSpaceDN w:val="0"/>
        <w:snapToGrid w:val="0"/>
        <w:spacing w:line="360" w:lineRule="auto"/>
        <w:ind w:firstLine="480" w:firstLineChars="200"/>
        <w:jc w:val="left"/>
        <w:rPr>
          <w:rFonts w:eastAsia="宋体" w:cs="宋体"/>
          <w:sz w:val="24"/>
        </w:rPr>
      </w:pPr>
      <w:r>
        <w:rPr>
          <w:rFonts w:hint="eastAsia" w:eastAsia="宋体" w:cs="宋体"/>
          <w:sz w:val="24"/>
        </w:rPr>
        <w:t>4. 残疾人福利单位、监狱企业属于小型、微型企业的，不重复享受政策。</w:t>
      </w:r>
    </w:p>
    <w:p w14:paraId="37D8B03A">
      <w:pPr>
        <w:autoSpaceDE w:val="0"/>
        <w:autoSpaceDN w:val="0"/>
        <w:snapToGrid w:val="0"/>
        <w:spacing w:line="360" w:lineRule="auto"/>
        <w:ind w:firstLine="480" w:firstLineChars="200"/>
        <w:jc w:val="left"/>
        <w:rPr>
          <w:rFonts w:eastAsia="宋体" w:cs="宋体"/>
          <w:sz w:val="24"/>
        </w:rPr>
      </w:pPr>
      <w:r>
        <w:rPr>
          <w:rFonts w:hint="eastAsia" w:eastAsia="宋体" w:cs="宋体"/>
          <w:sz w:val="24"/>
        </w:rPr>
        <w:t>5. 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36BB34D4">
      <w:pPr>
        <w:autoSpaceDE w:val="0"/>
        <w:autoSpaceDN w:val="0"/>
        <w:snapToGrid w:val="0"/>
        <w:spacing w:line="360" w:lineRule="auto"/>
        <w:ind w:firstLine="480" w:firstLineChars="200"/>
        <w:jc w:val="left"/>
        <w:rPr>
          <w:rFonts w:eastAsia="宋体" w:cs="宋体"/>
          <w:sz w:val="24"/>
        </w:rPr>
      </w:pPr>
      <w:r>
        <w:rPr>
          <w:rFonts w:hint="eastAsia" w:eastAsia="宋体" w:cs="宋体"/>
          <w:sz w:val="24"/>
        </w:rPr>
        <w:t>6. 联合体各方均为小型、微型企业（残疾人福利单位、监狱企业）的，联合体享受上述同类价格扣除，用扣除后的价格参与评审。</w:t>
      </w:r>
    </w:p>
    <w:p w14:paraId="5752142E">
      <w:pPr>
        <w:autoSpaceDE w:val="0"/>
        <w:autoSpaceDN w:val="0"/>
        <w:snapToGrid w:val="0"/>
        <w:spacing w:line="360" w:lineRule="auto"/>
        <w:ind w:firstLine="480" w:firstLineChars="200"/>
        <w:jc w:val="left"/>
        <w:rPr>
          <w:rFonts w:asciiTheme="minorEastAsia" w:hAnsiTheme="minorEastAsia" w:cstheme="minorEastAsia"/>
          <w:b/>
          <w:bCs/>
          <w:sz w:val="24"/>
        </w:rPr>
      </w:pPr>
      <w:r>
        <w:rPr>
          <w:rFonts w:hint="eastAsia" w:eastAsia="宋体" w:cs="宋体"/>
          <w:sz w:val="24"/>
        </w:rPr>
        <w:t>7. 专门面向中小企业采购的项目或者采购包，不再执行价格评审优惠的扶持政策。</w:t>
      </w:r>
    </w:p>
    <w:p w14:paraId="35F87846">
      <w:pPr>
        <w:pStyle w:val="18"/>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评标方法与评标标准</w:t>
      </w:r>
    </w:p>
    <w:p w14:paraId="294C0F62">
      <w:pPr>
        <w:pStyle w:val="18"/>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1.价格分：50分</w:t>
      </w:r>
    </w:p>
    <w:p w14:paraId="269D0D7B">
      <w:pPr>
        <w:pStyle w:val="18"/>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价格分统一采用低价优先法计算，即满足招标文件要求且投标价格最低的投标报价为评标基准价，其价格分为满分。其他投标人的价格分统一按照下列公式计算：</w:t>
      </w:r>
    </w:p>
    <w:p w14:paraId="07AE0607">
      <w:pPr>
        <w:pStyle w:val="18"/>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投标报价得分=（评标基准价/投标报价）×价格权值×100</w:t>
      </w:r>
    </w:p>
    <w:p w14:paraId="759A162E">
      <w:pPr>
        <w:pStyle w:val="18"/>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2.技术分：24分</w:t>
      </w: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1442"/>
        <w:gridCol w:w="4072"/>
        <w:gridCol w:w="940"/>
        <w:gridCol w:w="989"/>
        <w:gridCol w:w="982"/>
      </w:tblGrid>
      <w:tr w14:paraId="68F1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tcPr>
          <w:p w14:paraId="0A00576D">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786" w:type="pct"/>
          </w:tcPr>
          <w:p w14:paraId="4C25986F">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评分点名称</w:t>
            </w:r>
          </w:p>
        </w:tc>
        <w:tc>
          <w:tcPr>
            <w:tcW w:w="2219" w:type="pct"/>
          </w:tcPr>
          <w:p w14:paraId="735D3EF1">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评审标准</w:t>
            </w:r>
          </w:p>
        </w:tc>
        <w:tc>
          <w:tcPr>
            <w:tcW w:w="512" w:type="pct"/>
          </w:tcPr>
          <w:p w14:paraId="38020F12">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最高分</w:t>
            </w:r>
          </w:p>
        </w:tc>
        <w:tc>
          <w:tcPr>
            <w:tcW w:w="539" w:type="pct"/>
          </w:tcPr>
          <w:p w14:paraId="4FDA3B0A">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最低分</w:t>
            </w:r>
          </w:p>
        </w:tc>
        <w:tc>
          <w:tcPr>
            <w:tcW w:w="535" w:type="pct"/>
          </w:tcPr>
          <w:p w14:paraId="6D9F5B1E">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主/客观分</w:t>
            </w:r>
          </w:p>
        </w:tc>
      </w:tr>
      <w:tr w14:paraId="748E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vAlign w:val="center"/>
          </w:tcPr>
          <w:p w14:paraId="2D34A66F">
            <w:pPr>
              <w:widowControl/>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1</w:t>
            </w:r>
          </w:p>
        </w:tc>
        <w:tc>
          <w:tcPr>
            <w:tcW w:w="786" w:type="pct"/>
            <w:vAlign w:val="center"/>
          </w:tcPr>
          <w:p w14:paraId="01D2EF9F">
            <w:pPr>
              <w:widowControl/>
              <w:spacing w:line="360" w:lineRule="auto"/>
              <w:jc w:val="center"/>
              <w:rPr>
                <w:rFonts w:asciiTheme="minorEastAsia" w:hAnsiTheme="minorEastAsia" w:cstheme="minorEastAsia"/>
                <w:b/>
                <w:szCs w:val="21"/>
              </w:rPr>
            </w:pPr>
            <w:r>
              <w:rPr>
                <w:rFonts w:hint="eastAsia" w:ascii="宋体" w:hAnsi="宋体" w:eastAsia="宋体" w:cs="宋体"/>
                <w:bCs/>
                <w:szCs w:val="21"/>
              </w:rPr>
              <w:t>技术指标</w:t>
            </w:r>
          </w:p>
        </w:tc>
        <w:tc>
          <w:tcPr>
            <w:tcW w:w="2219" w:type="pct"/>
            <w:vAlign w:val="center"/>
          </w:tcPr>
          <w:p w14:paraId="21C1779A">
            <w:pPr>
              <w:widowControl/>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评标委员会根据响应产品的技术指标和性能对采购文件的响应程度计分：</w:t>
            </w:r>
          </w:p>
          <w:p w14:paraId="3077233F">
            <w:pPr>
              <w:widowControl/>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响应产品技术参数清楚、完整、明确，能够完全满足采购要求得24分；标注为“★”项为实质性响应条款，不接受负偏离响应；重要技术指标（▲项，需按要求提供相关资料），每负偏离一项扣1分，一般技术指标每偏离一项扣0.5分，扣完为止。</w:t>
            </w:r>
          </w:p>
          <w:p w14:paraId="113F114D">
            <w:pPr>
              <w:widowControl/>
              <w:spacing w:line="360" w:lineRule="auto"/>
              <w:rPr>
                <w:rFonts w:asciiTheme="minorEastAsia" w:hAnsiTheme="minorEastAsia" w:cstheme="minorEastAsia"/>
                <w:szCs w:val="21"/>
              </w:rPr>
            </w:pPr>
            <w:r>
              <w:rPr>
                <w:rFonts w:hint="eastAsia" w:ascii="宋体" w:hAnsi="宋体" w:cs="宋体"/>
                <w:b/>
                <w:bCs/>
                <w:szCs w:val="21"/>
              </w:rPr>
              <w:t>注：响应供应商需按要求提供相关证明材料，证明材料需要与采购文件描述吻合，未能提供或相关证明材料不符合要求的，视为不满足。未要求提供证明材料的按供应商提供的《技术要求响应及偏离表》作为评审依据。</w:t>
            </w:r>
          </w:p>
        </w:tc>
        <w:tc>
          <w:tcPr>
            <w:tcW w:w="512" w:type="pct"/>
            <w:vAlign w:val="center"/>
          </w:tcPr>
          <w:p w14:paraId="6647230A">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24</w:t>
            </w:r>
          </w:p>
        </w:tc>
        <w:tc>
          <w:tcPr>
            <w:tcW w:w="539" w:type="pct"/>
            <w:vAlign w:val="center"/>
          </w:tcPr>
          <w:p w14:paraId="0AD618C1">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0</w:t>
            </w:r>
          </w:p>
        </w:tc>
        <w:tc>
          <w:tcPr>
            <w:tcW w:w="535" w:type="pct"/>
            <w:vAlign w:val="center"/>
          </w:tcPr>
          <w:p w14:paraId="56DC2DFF">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客观分</w:t>
            </w:r>
          </w:p>
        </w:tc>
      </w:tr>
    </w:tbl>
    <w:p w14:paraId="79E9CE27">
      <w:pPr>
        <w:pStyle w:val="18"/>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3.商务分：26分</w:t>
      </w: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1442"/>
        <w:gridCol w:w="4086"/>
        <w:gridCol w:w="925"/>
        <w:gridCol w:w="989"/>
        <w:gridCol w:w="982"/>
      </w:tblGrid>
      <w:tr w14:paraId="15925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 w:type="pct"/>
          </w:tcPr>
          <w:p w14:paraId="65C6897B">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786" w:type="pct"/>
          </w:tcPr>
          <w:p w14:paraId="011C774A">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评分点名称</w:t>
            </w:r>
          </w:p>
        </w:tc>
        <w:tc>
          <w:tcPr>
            <w:tcW w:w="2227" w:type="pct"/>
          </w:tcPr>
          <w:p w14:paraId="60E420A9">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评审标准</w:t>
            </w:r>
          </w:p>
        </w:tc>
        <w:tc>
          <w:tcPr>
            <w:tcW w:w="504" w:type="pct"/>
          </w:tcPr>
          <w:p w14:paraId="335E3B95">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最高分</w:t>
            </w:r>
          </w:p>
        </w:tc>
        <w:tc>
          <w:tcPr>
            <w:tcW w:w="539" w:type="pct"/>
          </w:tcPr>
          <w:p w14:paraId="1CDF8EA6">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最低分</w:t>
            </w:r>
          </w:p>
        </w:tc>
        <w:tc>
          <w:tcPr>
            <w:tcW w:w="535" w:type="pct"/>
          </w:tcPr>
          <w:p w14:paraId="629FC103">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主/客观分</w:t>
            </w:r>
          </w:p>
        </w:tc>
      </w:tr>
      <w:tr w14:paraId="1E155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 w:type="pct"/>
            <w:vAlign w:val="center"/>
          </w:tcPr>
          <w:p w14:paraId="44957D9C">
            <w:pPr>
              <w:widowControl/>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1</w:t>
            </w:r>
          </w:p>
        </w:tc>
        <w:tc>
          <w:tcPr>
            <w:tcW w:w="786" w:type="pct"/>
            <w:vAlign w:val="center"/>
          </w:tcPr>
          <w:p w14:paraId="2612E08F">
            <w:pPr>
              <w:widowControl/>
              <w:spacing w:line="360" w:lineRule="auto"/>
              <w:jc w:val="center"/>
              <w:rPr>
                <w:rFonts w:asciiTheme="minorEastAsia" w:hAnsiTheme="minorEastAsia" w:cstheme="minorEastAsia"/>
                <w:b/>
                <w:szCs w:val="21"/>
              </w:rPr>
            </w:pPr>
            <w:r>
              <w:rPr>
                <w:rFonts w:hint="eastAsia" w:ascii="宋体" w:hAnsi="宋体" w:eastAsia="宋体" w:cs="宋体"/>
                <w:bCs/>
                <w:szCs w:val="21"/>
              </w:rPr>
              <w:t>整体方案</w:t>
            </w:r>
          </w:p>
        </w:tc>
        <w:tc>
          <w:tcPr>
            <w:tcW w:w="2227" w:type="pct"/>
            <w:vAlign w:val="center"/>
          </w:tcPr>
          <w:p w14:paraId="319F288A">
            <w:pPr>
              <w:widowControl/>
              <w:spacing w:line="360" w:lineRule="auto"/>
              <w:rPr>
                <w:rFonts w:ascii="宋体" w:hAnsi="宋体" w:eastAsia="宋体" w:cs="宋体"/>
                <w:bCs/>
                <w:szCs w:val="21"/>
              </w:rPr>
            </w:pPr>
            <w:r>
              <w:rPr>
                <w:rFonts w:hint="eastAsia" w:ascii="宋体" w:hAnsi="宋体" w:eastAsia="宋体" w:cs="宋体"/>
                <w:bCs/>
                <w:szCs w:val="21"/>
              </w:rPr>
              <w:t>根据供应商制定的项目整体方案的全面性、合理性等方面进行评分包含①技术服务方案、②进度计划、③进度控制、④风险控制⑤质量控制等内容：</w:t>
            </w:r>
          </w:p>
          <w:p w14:paraId="6BAEF92E">
            <w:pPr>
              <w:widowControl/>
              <w:spacing w:line="360" w:lineRule="auto"/>
              <w:rPr>
                <w:rFonts w:asciiTheme="minorEastAsia" w:hAnsiTheme="minorEastAsia" w:cstheme="minorEastAsia"/>
                <w:szCs w:val="21"/>
              </w:rPr>
            </w:pPr>
            <w:r>
              <w:rPr>
                <w:rFonts w:hint="eastAsia" w:ascii="宋体" w:hAnsi="宋体" w:eastAsia="宋体" w:cs="宋体"/>
                <w:bCs/>
                <w:szCs w:val="21"/>
              </w:rPr>
              <w:t>针对以上五点，包含的要点齐全无缺漏项、内容与要点相符、内容完善且能够适用于本项目的得2分；</w:t>
            </w:r>
            <w:r>
              <w:rPr>
                <w:rFonts w:hint="eastAsia" w:ascii="宋体" w:hAnsi="宋体" w:cs="宋体"/>
                <w:szCs w:val="21"/>
              </w:rPr>
              <w:t>内容包含的要点齐全、内容与要点相符，但仅有纲要内容简略，未展开阐述的得1分；内容包含的要点有缺漏的得0.5分；</w:t>
            </w:r>
            <w:r>
              <w:rPr>
                <w:rFonts w:hint="eastAsia" w:ascii="宋体" w:hAnsi="宋体" w:eastAsia="宋体" w:cs="宋体"/>
                <w:bCs/>
                <w:szCs w:val="21"/>
              </w:rPr>
              <w:t>内容与本项目实施无关或未提供方案的不得分。</w:t>
            </w:r>
          </w:p>
        </w:tc>
        <w:tc>
          <w:tcPr>
            <w:tcW w:w="504" w:type="pct"/>
            <w:vAlign w:val="center"/>
          </w:tcPr>
          <w:p w14:paraId="282EBB73">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10</w:t>
            </w:r>
          </w:p>
        </w:tc>
        <w:tc>
          <w:tcPr>
            <w:tcW w:w="539" w:type="pct"/>
            <w:vAlign w:val="center"/>
          </w:tcPr>
          <w:p w14:paraId="524A3F4B">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0</w:t>
            </w:r>
          </w:p>
        </w:tc>
        <w:tc>
          <w:tcPr>
            <w:tcW w:w="535" w:type="pct"/>
            <w:vAlign w:val="center"/>
          </w:tcPr>
          <w:p w14:paraId="2A73C33B">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主观分</w:t>
            </w:r>
          </w:p>
        </w:tc>
      </w:tr>
      <w:tr w14:paraId="4B69F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 w:type="pct"/>
            <w:vAlign w:val="center"/>
          </w:tcPr>
          <w:p w14:paraId="49A6650B">
            <w:pPr>
              <w:widowControl/>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2</w:t>
            </w:r>
          </w:p>
        </w:tc>
        <w:tc>
          <w:tcPr>
            <w:tcW w:w="786" w:type="pct"/>
            <w:vAlign w:val="center"/>
          </w:tcPr>
          <w:p w14:paraId="22C5ADB5">
            <w:pPr>
              <w:widowControl/>
              <w:spacing w:line="360" w:lineRule="auto"/>
              <w:jc w:val="center"/>
              <w:rPr>
                <w:rFonts w:asciiTheme="minorEastAsia" w:hAnsiTheme="minorEastAsia" w:cstheme="minorEastAsia"/>
                <w:szCs w:val="21"/>
              </w:rPr>
            </w:pPr>
            <w:r>
              <w:rPr>
                <w:rFonts w:hint="eastAsia" w:ascii="宋体" w:hAnsi="宋体" w:eastAsia="宋体" w:cs="宋体"/>
                <w:bCs/>
                <w:szCs w:val="21"/>
              </w:rPr>
              <w:t>售后服务方案</w:t>
            </w:r>
          </w:p>
        </w:tc>
        <w:tc>
          <w:tcPr>
            <w:tcW w:w="2227" w:type="pct"/>
            <w:vAlign w:val="center"/>
          </w:tcPr>
          <w:p w14:paraId="6D30E429">
            <w:pPr>
              <w:widowControl/>
              <w:spacing w:line="360" w:lineRule="auto"/>
              <w:rPr>
                <w:rFonts w:ascii="宋体" w:hAnsi="宋体" w:cs="宋体"/>
                <w:szCs w:val="21"/>
              </w:rPr>
            </w:pPr>
            <w:r>
              <w:rPr>
                <w:rFonts w:hint="eastAsia" w:ascii="宋体" w:hAnsi="宋体" w:cs="宋体"/>
                <w:szCs w:val="21"/>
              </w:rPr>
              <w:t>评审小组对供应商提供的售后服务方案进行评审，包含①响应速度、②培训计划、③培训内容、④系统的维护与升级等内容：</w:t>
            </w:r>
          </w:p>
          <w:p w14:paraId="465B03BA">
            <w:pPr>
              <w:widowControl/>
              <w:spacing w:line="360" w:lineRule="auto"/>
              <w:rPr>
                <w:rFonts w:asciiTheme="minorEastAsia" w:hAnsiTheme="minorEastAsia" w:cstheme="minorEastAsia"/>
                <w:szCs w:val="21"/>
              </w:rPr>
            </w:pPr>
            <w:r>
              <w:rPr>
                <w:rFonts w:hint="eastAsia" w:ascii="宋体" w:hAnsi="宋体" w:cs="宋体"/>
                <w:szCs w:val="21"/>
              </w:rPr>
              <w:t>针对以上四点，包含的要点齐全无缺漏项、内容与要点相符、内容完善且能够适用于</w:t>
            </w:r>
            <w:r>
              <w:rPr>
                <w:rFonts w:hint="eastAsia" w:ascii="宋体" w:hAnsi="宋体" w:eastAsia="宋体" w:cs="宋体"/>
                <w:bCs/>
                <w:szCs w:val="21"/>
              </w:rPr>
              <w:t>本项目，响应速度快的得2分；</w:t>
            </w:r>
            <w:r>
              <w:rPr>
                <w:rFonts w:hint="eastAsia" w:ascii="宋体" w:hAnsi="宋体" w:cs="宋体"/>
                <w:szCs w:val="21"/>
              </w:rPr>
              <w:t>内容包含的要点齐全、内容与要点相符，但仅有纲要内容简略，未展开阐述，响应速度较快的得1分；</w:t>
            </w:r>
            <w:r>
              <w:rPr>
                <w:rFonts w:hint="eastAsia" w:ascii="宋体" w:hAnsi="宋体" w:eastAsia="宋体" w:cs="宋体"/>
                <w:bCs/>
                <w:szCs w:val="21"/>
              </w:rPr>
              <w:t>内容包含的要点有缺漏，响应速度慢的得0.5分；内容与本项目实施无关或未提供方案的不得分。</w:t>
            </w:r>
          </w:p>
        </w:tc>
        <w:tc>
          <w:tcPr>
            <w:tcW w:w="504" w:type="pct"/>
            <w:vAlign w:val="center"/>
          </w:tcPr>
          <w:p w14:paraId="78FC273C">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8</w:t>
            </w:r>
          </w:p>
        </w:tc>
        <w:tc>
          <w:tcPr>
            <w:tcW w:w="539" w:type="pct"/>
            <w:vAlign w:val="center"/>
          </w:tcPr>
          <w:p w14:paraId="3FAA2898">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0</w:t>
            </w:r>
          </w:p>
        </w:tc>
        <w:tc>
          <w:tcPr>
            <w:tcW w:w="535" w:type="pct"/>
            <w:vAlign w:val="center"/>
          </w:tcPr>
          <w:p w14:paraId="28A56AA0">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主观分</w:t>
            </w:r>
          </w:p>
        </w:tc>
      </w:tr>
      <w:tr w14:paraId="19866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 w:type="pct"/>
            <w:vAlign w:val="center"/>
          </w:tcPr>
          <w:p w14:paraId="714F0ADF">
            <w:pPr>
              <w:widowControl/>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3</w:t>
            </w:r>
          </w:p>
        </w:tc>
        <w:tc>
          <w:tcPr>
            <w:tcW w:w="786" w:type="pct"/>
            <w:vAlign w:val="center"/>
          </w:tcPr>
          <w:p w14:paraId="3023065A">
            <w:pPr>
              <w:widowControl/>
              <w:spacing w:line="360" w:lineRule="auto"/>
              <w:jc w:val="center"/>
              <w:rPr>
                <w:rFonts w:asciiTheme="minorEastAsia" w:hAnsiTheme="minorEastAsia" w:cstheme="minorEastAsia"/>
                <w:szCs w:val="21"/>
              </w:rPr>
            </w:pPr>
            <w:r>
              <w:rPr>
                <w:rFonts w:hint="eastAsia" w:ascii="宋体" w:hAnsi="宋体" w:eastAsia="宋体" w:cs="宋体"/>
                <w:szCs w:val="21"/>
              </w:rPr>
              <w:t>投标人类似项目业绩</w:t>
            </w:r>
          </w:p>
        </w:tc>
        <w:tc>
          <w:tcPr>
            <w:tcW w:w="2227" w:type="pct"/>
            <w:vAlign w:val="center"/>
          </w:tcPr>
          <w:p w14:paraId="38AB458E">
            <w:pPr>
              <w:spacing w:line="360" w:lineRule="auto"/>
              <w:jc w:val="left"/>
              <w:rPr>
                <w:rFonts w:ascii="宋体" w:hAnsi="宋体" w:eastAsia="宋体" w:cs="宋体"/>
                <w:szCs w:val="21"/>
              </w:rPr>
            </w:pPr>
            <w:r>
              <w:rPr>
                <w:rFonts w:hint="eastAsia" w:ascii="宋体" w:hAnsi="宋体" w:eastAsia="宋体" w:cs="宋体"/>
                <w:szCs w:val="21"/>
              </w:rPr>
              <w:t>提供202</w:t>
            </w:r>
            <w:r>
              <w:rPr>
                <w:rFonts w:hint="eastAsia" w:ascii="宋体" w:hAnsi="宋体" w:cs="宋体"/>
                <w:szCs w:val="21"/>
              </w:rPr>
              <w:t>2</w:t>
            </w:r>
            <w:r>
              <w:rPr>
                <w:rFonts w:hint="eastAsia" w:ascii="宋体" w:hAnsi="宋体" w:eastAsia="宋体" w:cs="宋体"/>
                <w:szCs w:val="21"/>
              </w:rPr>
              <w:t>年</w:t>
            </w:r>
            <w:r>
              <w:rPr>
                <w:rFonts w:hint="eastAsia" w:ascii="宋体" w:hAnsi="宋体" w:cs="宋体"/>
                <w:szCs w:val="21"/>
              </w:rPr>
              <w:t>6</w:t>
            </w:r>
            <w:r>
              <w:rPr>
                <w:rFonts w:hint="eastAsia" w:ascii="宋体" w:hAnsi="宋体" w:eastAsia="宋体" w:cs="宋体"/>
                <w:szCs w:val="21"/>
              </w:rPr>
              <w:t>月1日（以合同签订时间为准）起至今同类的项目合同，每提供1份得</w:t>
            </w:r>
            <w:r>
              <w:rPr>
                <w:rFonts w:hint="eastAsia" w:ascii="宋体" w:hAnsi="宋体" w:cs="宋体"/>
                <w:szCs w:val="21"/>
              </w:rPr>
              <w:t>2</w:t>
            </w:r>
            <w:r>
              <w:rPr>
                <w:rFonts w:hint="eastAsia" w:ascii="宋体" w:hAnsi="宋体" w:eastAsia="宋体" w:cs="宋体"/>
                <w:szCs w:val="21"/>
              </w:rPr>
              <w:t>分，最高得4分</w:t>
            </w:r>
            <w:r>
              <w:rPr>
                <w:rFonts w:hint="eastAsia" w:ascii="宋体" w:hAnsi="宋体" w:cs="宋体"/>
                <w:szCs w:val="21"/>
              </w:rPr>
              <w:t>，不提供不得分。</w:t>
            </w:r>
          </w:p>
          <w:p w14:paraId="1DB512D9">
            <w:pPr>
              <w:widowControl/>
              <w:spacing w:line="360" w:lineRule="auto"/>
              <w:rPr>
                <w:rFonts w:asciiTheme="minorEastAsia" w:hAnsiTheme="minorEastAsia" w:cstheme="minorEastAsia"/>
                <w:b/>
                <w:szCs w:val="21"/>
              </w:rPr>
            </w:pPr>
            <w:r>
              <w:rPr>
                <w:rFonts w:hint="eastAsia" w:ascii="宋体" w:hAnsi="宋体" w:cs="宋体"/>
                <w:b/>
                <w:bCs/>
                <w:szCs w:val="21"/>
              </w:rPr>
              <w:t>注：提供合同复印件加盖公章，合同须能反映项目名称、主要标的物，签章清晰可见</w:t>
            </w:r>
          </w:p>
        </w:tc>
        <w:tc>
          <w:tcPr>
            <w:tcW w:w="504" w:type="pct"/>
            <w:vAlign w:val="center"/>
          </w:tcPr>
          <w:p w14:paraId="52810654">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4</w:t>
            </w:r>
          </w:p>
        </w:tc>
        <w:tc>
          <w:tcPr>
            <w:tcW w:w="539" w:type="pct"/>
            <w:vAlign w:val="center"/>
          </w:tcPr>
          <w:p w14:paraId="40A58FFC">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0</w:t>
            </w:r>
          </w:p>
        </w:tc>
        <w:tc>
          <w:tcPr>
            <w:tcW w:w="535" w:type="pct"/>
            <w:vAlign w:val="center"/>
          </w:tcPr>
          <w:p w14:paraId="09B201B5">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客观分</w:t>
            </w:r>
          </w:p>
        </w:tc>
      </w:tr>
      <w:tr w14:paraId="1DF9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 w:type="pct"/>
            <w:vAlign w:val="center"/>
          </w:tcPr>
          <w:p w14:paraId="5566A7A8">
            <w:pPr>
              <w:widowControl/>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4</w:t>
            </w:r>
          </w:p>
        </w:tc>
        <w:tc>
          <w:tcPr>
            <w:tcW w:w="786" w:type="pct"/>
            <w:vAlign w:val="center"/>
          </w:tcPr>
          <w:p w14:paraId="73455274">
            <w:pPr>
              <w:widowControl/>
              <w:spacing w:line="360" w:lineRule="auto"/>
              <w:jc w:val="center"/>
              <w:rPr>
                <w:rFonts w:ascii="宋体" w:hAnsi="宋体" w:eastAsia="宋体" w:cs="宋体"/>
                <w:szCs w:val="21"/>
              </w:rPr>
            </w:pPr>
            <w:r>
              <w:rPr>
                <w:rFonts w:hint="eastAsia" w:ascii="宋体" w:hAnsi="宋体" w:cs="宋体"/>
                <w:szCs w:val="21"/>
              </w:rPr>
              <w:t>对接方案</w:t>
            </w:r>
          </w:p>
        </w:tc>
        <w:tc>
          <w:tcPr>
            <w:tcW w:w="2227" w:type="pct"/>
            <w:vAlign w:val="center"/>
          </w:tcPr>
          <w:p w14:paraId="5C26A60C">
            <w:pPr>
              <w:pStyle w:val="27"/>
              <w:spacing w:line="360" w:lineRule="auto"/>
              <w:ind w:firstLine="0" w:firstLineChars="0"/>
              <w:jc w:val="left"/>
              <w:rPr>
                <w:rFonts w:ascii="宋体" w:hAnsi="宋体" w:eastAsia="宋体" w:cs="宋体"/>
                <w:bCs/>
                <w:szCs w:val="21"/>
              </w:rPr>
            </w:pPr>
            <w:r>
              <w:rPr>
                <w:rFonts w:hint="eastAsia" w:ascii="宋体" w:hAnsi="宋体" w:eastAsia="宋体" w:cs="宋体"/>
                <w:bCs/>
                <w:szCs w:val="21"/>
              </w:rPr>
              <w:t>供应商提供项目对接方案，包含①通州湾已在使用的144台执法记录仪和新采集的30台执法记录仪接入执法音视频电子证据管理平台、②5G卡接入原有流量池对接等。</w:t>
            </w:r>
          </w:p>
          <w:p w14:paraId="2C026755">
            <w:pPr>
              <w:widowControl/>
              <w:spacing w:line="360" w:lineRule="auto"/>
              <w:rPr>
                <w:rFonts w:ascii="宋体" w:hAnsi="宋体" w:cs="宋体"/>
                <w:b/>
                <w:bCs/>
                <w:szCs w:val="21"/>
              </w:rPr>
            </w:pPr>
            <w:r>
              <w:rPr>
                <w:rFonts w:hint="eastAsia" w:ascii="宋体" w:hAnsi="宋体" w:cs="宋体"/>
                <w:szCs w:val="21"/>
              </w:rPr>
              <w:t>针对以上两点，包含的要点齐全无缺漏项、内容与要点相符、内容完善且能够适用于本项目的得2分；内容包含的要点齐全、内容与要点相符，但仅有纲要内容简略，未展开阐述的得1分；内容包含的要点有缺漏的得0.5分；内容与本项目实施无关或未提供方案的不得分。</w:t>
            </w:r>
          </w:p>
        </w:tc>
        <w:tc>
          <w:tcPr>
            <w:tcW w:w="504" w:type="pct"/>
            <w:vAlign w:val="center"/>
          </w:tcPr>
          <w:p w14:paraId="0947A682">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4</w:t>
            </w:r>
          </w:p>
        </w:tc>
        <w:tc>
          <w:tcPr>
            <w:tcW w:w="539" w:type="pct"/>
            <w:vAlign w:val="center"/>
          </w:tcPr>
          <w:p w14:paraId="5B8F4EFC">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0</w:t>
            </w:r>
          </w:p>
        </w:tc>
        <w:tc>
          <w:tcPr>
            <w:tcW w:w="535" w:type="pct"/>
            <w:vAlign w:val="center"/>
          </w:tcPr>
          <w:p w14:paraId="1C86B51F">
            <w:pPr>
              <w:spacing w:line="360" w:lineRule="auto"/>
              <w:jc w:val="center"/>
              <w:rPr>
                <w:rFonts w:asciiTheme="minorEastAsia" w:hAnsiTheme="minorEastAsia" w:cstheme="minorEastAsia"/>
                <w:bCs/>
                <w:szCs w:val="21"/>
              </w:rPr>
            </w:pPr>
            <w:r>
              <w:rPr>
                <w:rFonts w:hint="eastAsia" w:asciiTheme="minorEastAsia" w:hAnsiTheme="minorEastAsia" w:cstheme="minorEastAsia"/>
                <w:bCs/>
                <w:szCs w:val="21"/>
              </w:rPr>
              <w:t>主观分</w:t>
            </w:r>
          </w:p>
        </w:tc>
      </w:tr>
    </w:tbl>
    <w:p w14:paraId="1921EF90">
      <w:pPr>
        <w:pStyle w:val="18"/>
        <w:ind w:firstLine="480" w:firstLineChars="200"/>
        <w:rPr>
          <w:rFonts w:asciiTheme="minorEastAsia" w:hAnsiTheme="minorEastAsia" w:eastAsiaTheme="minorEastAsia" w:cstheme="minorEastAsia"/>
          <w:sz w:val="24"/>
          <w:szCs w:val="24"/>
        </w:rPr>
      </w:pPr>
    </w:p>
    <w:p w14:paraId="7DF40BBA">
      <w:pPr>
        <w:rPr>
          <w:rFonts w:asciiTheme="minorEastAsia" w:hAnsiTheme="minorEastAsia" w:cstheme="minorEastAsia"/>
          <w:sz w:val="24"/>
        </w:rPr>
      </w:pPr>
      <w:r>
        <w:rPr>
          <w:rFonts w:hint="eastAsia" w:asciiTheme="minorEastAsia" w:hAnsiTheme="minorEastAsia" w:cstheme="minorEastAsia"/>
          <w:sz w:val="24"/>
        </w:rPr>
        <w:br w:type="page"/>
      </w:r>
    </w:p>
    <w:p w14:paraId="3265B986">
      <w:pPr>
        <w:pStyle w:val="2"/>
        <w:spacing w:before="312" w:after="312"/>
      </w:pPr>
      <w:bookmarkStart w:id="205" w:name="_Toc20705"/>
      <w:r>
        <w:rPr>
          <w:rFonts w:hint="eastAsia"/>
        </w:rPr>
        <w:t>第六章  投标文件格式</w:t>
      </w:r>
      <w:bookmarkEnd w:id="205"/>
    </w:p>
    <w:p w14:paraId="0F6B22F0">
      <w:pPr>
        <w:spacing w:line="360" w:lineRule="auto"/>
        <w:ind w:firstLine="480" w:firstLineChars="200"/>
        <w:rPr>
          <w:rFonts w:asciiTheme="minorEastAsia" w:hAnsiTheme="minorEastAsia" w:cstheme="minorEastAsia"/>
          <w:sz w:val="24"/>
        </w:rPr>
      </w:pPr>
    </w:p>
    <w:p w14:paraId="75B31EBD">
      <w:pPr>
        <w:spacing w:line="360" w:lineRule="auto"/>
        <w:ind w:firstLine="480" w:firstLineChars="200"/>
        <w:rPr>
          <w:rFonts w:asciiTheme="minorEastAsia" w:hAnsiTheme="minorEastAsia" w:cstheme="minorEastAsia"/>
          <w:sz w:val="24"/>
        </w:rPr>
      </w:pPr>
    </w:p>
    <w:p w14:paraId="198CA96B">
      <w:pPr>
        <w:spacing w:line="360" w:lineRule="auto"/>
        <w:jc w:val="center"/>
        <w:rPr>
          <w:rFonts w:ascii="黑体" w:hAnsi="黑体" w:eastAsia="黑体" w:cs="黑体"/>
          <w:sz w:val="84"/>
          <w:szCs w:val="84"/>
        </w:rPr>
      </w:pPr>
      <w:r>
        <w:rPr>
          <w:rFonts w:hint="eastAsia" w:ascii="黑体" w:hAnsi="黑体" w:eastAsia="黑体" w:cs="黑体"/>
          <w:sz w:val="84"/>
          <w:szCs w:val="84"/>
        </w:rPr>
        <w:t>投  标  文  件</w:t>
      </w:r>
    </w:p>
    <w:p w14:paraId="56D08D5E">
      <w:pPr>
        <w:spacing w:line="360" w:lineRule="auto"/>
        <w:ind w:firstLine="480" w:firstLineChars="200"/>
        <w:rPr>
          <w:rFonts w:asciiTheme="minorEastAsia" w:hAnsiTheme="minorEastAsia" w:cstheme="minorEastAsia"/>
          <w:sz w:val="24"/>
        </w:rPr>
      </w:pPr>
    </w:p>
    <w:p w14:paraId="7AA9EC0E">
      <w:pPr>
        <w:spacing w:line="360" w:lineRule="auto"/>
        <w:ind w:firstLine="480" w:firstLineChars="200"/>
        <w:rPr>
          <w:rFonts w:asciiTheme="minorEastAsia" w:hAnsiTheme="minorEastAsia" w:cstheme="minorEastAsia"/>
          <w:sz w:val="24"/>
        </w:rPr>
      </w:pPr>
    </w:p>
    <w:p w14:paraId="1BDBCC91">
      <w:pPr>
        <w:spacing w:line="360" w:lineRule="auto"/>
        <w:ind w:firstLine="480" w:firstLineChars="200"/>
        <w:rPr>
          <w:rFonts w:asciiTheme="minorEastAsia" w:hAnsiTheme="minorEastAsia" w:cstheme="minorEastAsia"/>
          <w:sz w:val="24"/>
        </w:rPr>
      </w:pPr>
    </w:p>
    <w:p w14:paraId="04445480">
      <w:pPr>
        <w:spacing w:line="360" w:lineRule="auto"/>
        <w:ind w:firstLine="480" w:firstLineChars="200"/>
        <w:rPr>
          <w:rFonts w:asciiTheme="minorEastAsia" w:hAnsiTheme="minorEastAsia" w:cstheme="minorEastAsia"/>
          <w:sz w:val="24"/>
        </w:rPr>
      </w:pPr>
    </w:p>
    <w:p w14:paraId="4AAD9131">
      <w:pPr>
        <w:spacing w:line="360" w:lineRule="auto"/>
        <w:ind w:firstLine="480" w:firstLineChars="200"/>
        <w:rPr>
          <w:rFonts w:asciiTheme="minorEastAsia" w:hAnsiTheme="minorEastAsia" w:cstheme="minorEastAsia"/>
          <w:sz w:val="24"/>
        </w:rPr>
      </w:pPr>
    </w:p>
    <w:p w14:paraId="40E47540">
      <w:pPr>
        <w:spacing w:line="360" w:lineRule="auto"/>
        <w:ind w:firstLine="480" w:firstLineChars="200"/>
        <w:rPr>
          <w:rFonts w:asciiTheme="minorEastAsia" w:hAnsiTheme="minorEastAsia" w:cstheme="minorEastAsia"/>
          <w:sz w:val="24"/>
        </w:rPr>
      </w:pPr>
    </w:p>
    <w:p w14:paraId="169E6FD7">
      <w:pPr>
        <w:spacing w:line="360" w:lineRule="auto"/>
        <w:ind w:firstLine="480" w:firstLineChars="200"/>
        <w:rPr>
          <w:rFonts w:asciiTheme="minorEastAsia" w:hAnsiTheme="minorEastAsia" w:cstheme="minorEastAsia"/>
          <w:sz w:val="24"/>
        </w:rPr>
      </w:pPr>
    </w:p>
    <w:p w14:paraId="229E033E">
      <w:pPr>
        <w:spacing w:line="360" w:lineRule="auto"/>
        <w:ind w:firstLine="480" w:firstLineChars="200"/>
        <w:rPr>
          <w:rFonts w:asciiTheme="minorEastAsia" w:hAnsiTheme="minorEastAsia" w:cstheme="minorEastAsia"/>
          <w:sz w:val="24"/>
        </w:rPr>
      </w:pPr>
    </w:p>
    <w:p w14:paraId="702C77FC">
      <w:pPr>
        <w:spacing w:line="360" w:lineRule="auto"/>
        <w:ind w:firstLine="480" w:firstLineChars="200"/>
        <w:rPr>
          <w:rFonts w:asciiTheme="minorEastAsia" w:hAnsiTheme="minorEastAsia" w:cstheme="minorEastAsia"/>
          <w:sz w:val="24"/>
        </w:rPr>
      </w:pPr>
    </w:p>
    <w:p w14:paraId="4C7B40C3">
      <w:pPr>
        <w:spacing w:line="360" w:lineRule="auto"/>
        <w:ind w:firstLine="480" w:firstLineChars="200"/>
        <w:rPr>
          <w:rFonts w:asciiTheme="minorEastAsia" w:hAnsiTheme="minorEastAsia" w:cstheme="minorEastAsia"/>
          <w:sz w:val="24"/>
        </w:rPr>
      </w:pPr>
    </w:p>
    <w:p w14:paraId="3BB8A614">
      <w:pPr>
        <w:spacing w:line="360" w:lineRule="auto"/>
        <w:ind w:firstLine="640" w:firstLineChars="200"/>
        <w:rPr>
          <w:rFonts w:ascii="黑体" w:hAnsi="黑体" w:eastAsia="黑体" w:cs="黑体"/>
          <w:sz w:val="32"/>
          <w:szCs w:val="32"/>
          <w:u w:val="single"/>
        </w:rPr>
      </w:pPr>
      <w:r>
        <w:rPr>
          <w:rFonts w:hint="eastAsia" w:ascii="黑体" w:hAnsi="黑体" w:eastAsia="黑体" w:cs="黑体"/>
          <w:sz w:val="32"/>
          <w:szCs w:val="32"/>
        </w:rPr>
        <w:t>项 目 名 称：</w:t>
      </w:r>
      <w:r>
        <w:rPr>
          <w:rFonts w:hint="eastAsia" w:ascii="黑体" w:hAnsi="黑体" w:eastAsia="黑体" w:cs="黑体"/>
          <w:sz w:val="32"/>
          <w:szCs w:val="32"/>
          <w:u w:val="single"/>
        </w:rPr>
        <w:t xml:space="preserve">                          </w:t>
      </w:r>
    </w:p>
    <w:p w14:paraId="048B8F47">
      <w:pPr>
        <w:spacing w:line="360" w:lineRule="auto"/>
        <w:ind w:firstLine="640" w:firstLineChars="200"/>
        <w:rPr>
          <w:rFonts w:ascii="黑体" w:hAnsi="黑体" w:eastAsia="黑体" w:cs="黑体"/>
          <w:sz w:val="32"/>
          <w:szCs w:val="32"/>
          <w:u w:val="single"/>
        </w:rPr>
      </w:pPr>
      <w:r>
        <w:rPr>
          <w:rFonts w:hint="eastAsia" w:ascii="黑体" w:hAnsi="黑体" w:eastAsia="黑体" w:cs="黑体"/>
          <w:sz w:val="32"/>
          <w:szCs w:val="32"/>
        </w:rPr>
        <w:t>采 购 编 号：</w:t>
      </w:r>
      <w:r>
        <w:rPr>
          <w:rFonts w:hint="eastAsia" w:ascii="黑体" w:hAnsi="黑体" w:eastAsia="黑体" w:cs="黑体"/>
          <w:sz w:val="32"/>
          <w:szCs w:val="32"/>
          <w:u w:val="single"/>
        </w:rPr>
        <w:t xml:space="preserve">                          </w:t>
      </w:r>
    </w:p>
    <w:p w14:paraId="3BA6D4D7">
      <w:pPr>
        <w:spacing w:line="360" w:lineRule="auto"/>
        <w:ind w:firstLine="640" w:firstLineChars="200"/>
        <w:rPr>
          <w:rFonts w:ascii="黑体" w:hAnsi="黑体" w:eastAsia="黑体" w:cs="黑体"/>
          <w:sz w:val="32"/>
          <w:szCs w:val="32"/>
          <w:u w:val="single"/>
        </w:rPr>
      </w:pPr>
      <w:r>
        <w:rPr>
          <w:rFonts w:hint="eastAsia" w:ascii="黑体" w:hAnsi="黑体" w:eastAsia="黑体" w:cs="黑体"/>
          <w:sz w:val="32"/>
          <w:szCs w:val="32"/>
        </w:rPr>
        <w:t>供应商名称 ：</w:t>
      </w:r>
      <w:r>
        <w:rPr>
          <w:rFonts w:hint="eastAsia" w:ascii="黑体" w:hAnsi="黑体" w:eastAsia="黑体" w:cs="黑体"/>
          <w:sz w:val="32"/>
          <w:szCs w:val="32"/>
          <w:u w:val="single"/>
        </w:rPr>
        <w:t xml:space="preserve">                          </w:t>
      </w:r>
    </w:p>
    <w:p w14:paraId="6936E8D9">
      <w:pPr>
        <w:spacing w:line="360" w:lineRule="auto"/>
        <w:ind w:firstLine="640" w:firstLineChars="200"/>
        <w:rPr>
          <w:rFonts w:ascii="黑体" w:hAnsi="黑体" w:eastAsia="黑体" w:cs="黑体"/>
          <w:sz w:val="32"/>
          <w:szCs w:val="32"/>
          <w:u w:val="single"/>
        </w:rPr>
      </w:pPr>
      <w:r>
        <w:rPr>
          <w:rFonts w:hint="eastAsia" w:ascii="黑体" w:hAnsi="黑体" w:eastAsia="黑体" w:cs="黑体"/>
          <w:sz w:val="32"/>
          <w:szCs w:val="32"/>
        </w:rPr>
        <w:t>日      期 ：</w:t>
      </w:r>
      <w:r>
        <w:rPr>
          <w:rFonts w:hint="eastAsia" w:ascii="黑体" w:hAnsi="黑体" w:eastAsia="黑体" w:cs="黑体"/>
          <w:sz w:val="32"/>
          <w:szCs w:val="32"/>
          <w:u w:val="single"/>
        </w:rPr>
        <w:t xml:space="preserve">                          </w:t>
      </w:r>
    </w:p>
    <w:p w14:paraId="2FAF167B">
      <w:pPr>
        <w:rPr>
          <w:rFonts w:ascii="黑体" w:hAnsi="黑体" w:eastAsia="黑体" w:cs="黑体"/>
          <w:sz w:val="32"/>
          <w:szCs w:val="32"/>
        </w:rPr>
      </w:pPr>
      <w:r>
        <w:rPr>
          <w:rFonts w:hint="eastAsia" w:ascii="黑体" w:hAnsi="黑体" w:eastAsia="黑体" w:cs="黑体"/>
          <w:sz w:val="32"/>
          <w:szCs w:val="32"/>
        </w:rPr>
        <w:br w:type="page"/>
      </w:r>
    </w:p>
    <w:p w14:paraId="7A81D789">
      <w:pPr>
        <w:spacing w:line="360" w:lineRule="auto"/>
        <w:jc w:val="center"/>
        <w:rPr>
          <w:rFonts w:ascii="黑体" w:hAnsi="黑体" w:eastAsia="黑体" w:cs="黑体"/>
          <w:sz w:val="32"/>
          <w:szCs w:val="32"/>
        </w:rPr>
      </w:pPr>
      <w:r>
        <w:rPr>
          <w:rFonts w:hint="eastAsia" w:ascii="黑体" w:hAnsi="黑体" w:eastAsia="黑体" w:cs="黑体"/>
          <w:sz w:val="32"/>
          <w:szCs w:val="32"/>
        </w:rPr>
        <w:t>投标文件目录</w:t>
      </w:r>
    </w:p>
    <w:p w14:paraId="4D56E573">
      <w:pPr>
        <w:spacing w:line="360" w:lineRule="auto"/>
        <w:ind w:firstLine="480" w:firstLineChars="200"/>
        <w:rPr>
          <w:rFonts w:asciiTheme="minorEastAsia" w:hAnsiTheme="minorEastAsia" w:cstheme="minorEastAsia"/>
          <w:sz w:val="24"/>
        </w:rPr>
      </w:pPr>
    </w:p>
    <w:p w14:paraId="01B9FFB1">
      <w:pPr>
        <w:spacing w:line="360" w:lineRule="auto"/>
        <w:ind w:firstLine="480" w:firstLineChars="200"/>
        <w:rPr>
          <w:rFonts w:ascii="宋体" w:hAnsi="宋体" w:cs="宋体"/>
          <w:sz w:val="24"/>
        </w:rPr>
      </w:pPr>
      <w:r>
        <w:rPr>
          <w:rFonts w:hint="eastAsia" w:ascii="宋体" w:hAnsi="宋体" w:cs="宋体"/>
          <w:sz w:val="24"/>
          <w:lang w:eastAsia="zh-CN"/>
        </w:rPr>
        <w:t>一</w:t>
      </w:r>
      <w:r>
        <w:rPr>
          <w:rFonts w:hint="eastAsia" w:ascii="宋体" w:hAnsi="宋体" w:cs="宋体"/>
          <w:sz w:val="24"/>
        </w:rPr>
        <w:t>、</w:t>
      </w:r>
      <w:r>
        <w:rPr>
          <w:rFonts w:hint="eastAsia" w:ascii="宋体" w:hAnsi="宋体" w:eastAsia="宋体" w:cs="宋体"/>
          <w:b/>
          <w:bCs/>
          <w:kern w:val="0"/>
          <w:sz w:val="24"/>
        </w:rPr>
        <w:t>资格审查文件</w:t>
      </w:r>
    </w:p>
    <w:p w14:paraId="4228C481">
      <w:pPr>
        <w:spacing w:line="360" w:lineRule="auto"/>
        <w:ind w:firstLine="480" w:firstLineChars="200"/>
        <w:rPr>
          <w:rFonts w:ascii="宋体" w:hAnsi="宋体" w:cs="宋体"/>
          <w:sz w:val="24"/>
        </w:rPr>
      </w:pPr>
      <w:r>
        <w:rPr>
          <w:rFonts w:hint="eastAsia" w:ascii="宋体" w:hAnsi="宋体" w:cs="宋体"/>
          <w:sz w:val="24"/>
        </w:rPr>
        <w:t>1.投标人符合《政府采购法》第二十二条规定条件的声明函（格式见附件5）</w:t>
      </w:r>
    </w:p>
    <w:p w14:paraId="06014D13">
      <w:pPr>
        <w:spacing w:line="360" w:lineRule="auto"/>
        <w:ind w:firstLine="480" w:firstLineChars="200"/>
        <w:rPr>
          <w:rFonts w:ascii="宋体" w:hAnsi="宋体" w:cs="宋体"/>
          <w:sz w:val="24"/>
        </w:rPr>
      </w:pPr>
      <w:r>
        <w:rPr>
          <w:rFonts w:hint="eastAsia" w:ascii="宋体" w:hAnsi="宋体" w:cs="宋体"/>
          <w:sz w:val="24"/>
        </w:rPr>
        <w:t>2.供应商具有独立承担民事责任的能力，提供法人或者其他组织的营业执照等证明文件。</w:t>
      </w:r>
    </w:p>
    <w:p w14:paraId="15FC7770">
      <w:pPr>
        <w:spacing w:line="360" w:lineRule="auto"/>
        <w:ind w:firstLine="480" w:firstLineChars="200"/>
        <w:rPr>
          <w:rFonts w:ascii="宋体" w:hAnsi="宋体" w:cs="宋体"/>
          <w:sz w:val="24"/>
        </w:rPr>
      </w:pPr>
      <w:r>
        <w:rPr>
          <w:rFonts w:hint="eastAsia" w:ascii="宋体" w:hAnsi="宋体" w:cs="宋体"/>
          <w:sz w:val="24"/>
        </w:rPr>
        <w:t>3.法人授权书（格式见附件6）</w:t>
      </w:r>
    </w:p>
    <w:p w14:paraId="42D90BA6">
      <w:pPr>
        <w:spacing w:line="360" w:lineRule="auto"/>
        <w:ind w:firstLine="480" w:firstLineChars="200"/>
        <w:rPr>
          <w:rFonts w:ascii="宋体" w:hAnsi="宋体" w:cs="宋体"/>
          <w:sz w:val="24"/>
        </w:rPr>
      </w:pPr>
      <w:r>
        <w:rPr>
          <w:rFonts w:hint="eastAsia" w:ascii="宋体" w:hAnsi="宋体" w:cs="宋体"/>
          <w:sz w:val="24"/>
        </w:rPr>
        <w:t>4.投标函（格式见附件7）</w:t>
      </w:r>
    </w:p>
    <w:p w14:paraId="6CF2CE81">
      <w:pPr>
        <w:spacing w:line="360" w:lineRule="auto"/>
        <w:ind w:firstLine="480" w:firstLineChars="200"/>
        <w:rPr>
          <w:rFonts w:hint="eastAsia" w:ascii="宋体" w:hAnsi="宋体" w:cs="宋体"/>
          <w:sz w:val="24"/>
        </w:rPr>
      </w:pPr>
      <w:r>
        <w:rPr>
          <w:rFonts w:hint="eastAsia" w:ascii="宋体" w:hAnsi="宋体" w:cs="宋体"/>
          <w:sz w:val="24"/>
        </w:rPr>
        <w:t>总备注：上述“资格审查内容”中1</w:t>
      </w:r>
      <w:r>
        <w:rPr>
          <w:rFonts w:hint="eastAsia" w:ascii="宋体" w:hAnsi="宋体" w:cs="宋体"/>
          <w:sz w:val="24"/>
          <w:lang w:val="en-US" w:eastAsia="zh-CN"/>
        </w:rPr>
        <w:t>-</w:t>
      </w:r>
      <w:r>
        <w:rPr>
          <w:rFonts w:hint="eastAsia" w:ascii="宋体" w:hAnsi="宋体" w:cs="宋体"/>
          <w:sz w:val="24"/>
        </w:rPr>
        <w:t>4条投标人必须在投标文件中提供相关材料，否则作无效投标处理。</w:t>
      </w:r>
    </w:p>
    <w:p w14:paraId="00E774BA">
      <w:pPr>
        <w:pageBreakBefore w:val="0"/>
        <w:kinsoku/>
        <w:wordWrap/>
        <w:overflowPunct/>
        <w:topLinePunct w:val="0"/>
        <w:autoSpaceDE/>
        <w:autoSpaceDN/>
        <w:bidi w:val="0"/>
        <w:adjustRightInd/>
        <w:snapToGrid/>
        <w:spacing w:line="360" w:lineRule="auto"/>
        <w:ind w:firstLine="482"/>
        <w:contextualSpacing/>
        <w:jc w:val="left"/>
        <w:textAlignment w:val="auto"/>
        <w:rPr>
          <w:rFonts w:hint="eastAsia" w:ascii="宋体" w:hAnsi="宋体" w:cs="宋体"/>
          <w:sz w:val="24"/>
        </w:rPr>
      </w:pPr>
      <w:r>
        <w:rPr>
          <w:rFonts w:hint="eastAsia" w:eastAsia="宋体" w:cs="宋体"/>
          <w:b/>
          <w:sz w:val="24"/>
          <w:szCs w:val="24"/>
        </w:rPr>
        <w:t>注：以上材料如为复印件均需加盖投标人公章。</w:t>
      </w:r>
    </w:p>
    <w:p w14:paraId="5E9B8A41">
      <w:pPr>
        <w:spacing w:line="360" w:lineRule="auto"/>
        <w:ind w:firstLine="480" w:firstLineChars="200"/>
        <w:rPr>
          <w:rFonts w:ascii="宋体" w:hAnsi="宋体" w:cs="宋体"/>
          <w:sz w:val="24"/>
        </w:rPr>
      </w:pPr>
      <w:r>
        <w:rPr>
          <w:rFonts w:hint="eastAsia" w:ascii="宋体" w:hAnsi="宋体" w:cs="宋体"/>
          <w:sz w:val="24"/>
          <w:lang w:eastAsia="zh-CN"/>
        </w:rPr>
        <w:t>二</w:t>
      </w:r>
      <w:r>
        <w:rPr>
          <w:rFonts w:hint="eastAsia" w:ascii="宋体" w:hAnsi="宋体" w:cs="宋体"/>
          <w:sz w:val="24"/>
        </w:rPr>
        <w:t>、</w:t>
      </w:r>
      <w:r>
        <w:rPr>
          <w:rFonts w:hint="eastAsia" w:ascii="宋体" w:hAnsi="宋体" w:eastAsia="宋体" w:cs="宋体"/>
          <w:b/>
          <w:bCs/>
          <w:kern w:val="0"/>
          <w:sz w:val="24"/>
        </w:rPr>
        <w:t>技术标文件</w:t>
      </w:r>
    </w:p>
    <w:p w14:paraId="45155294">
      <w:pPr>
        <w:spacing w:line="360" w:lineRule="auto"/>
        <w:ind w:firstLine="480" w:firstLineChars="200"/>
        <w:rPr>
          <w:rFonts w:ascii="宋体" w:hAnsi="宋体" w:cs="宋体"/>
          <w:sz w:val="24"/>
        </w:rPr>
      </w:pPr>
      <w:r>
        <w:rPr>
          <w:rFonts w:hint="eastAsia" w:ascii="宋体" w:hAnsi="宋体" w:cs="宋体"/>
          <w:sz w:val="24"/>
        </w:rPr>
        <w:t>1.技术要求响应及偏离表（格式见附件3）</w:t>
      </w:r>
    </w:p>
    <w:p w14:paraId="7889CE3E">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.商务要求响应及偏离表（格式见附件4）</w:t>
      </w:r>
    </w:p>
    <w:p w14:paraId="61523C41">
      <w:pPr>
        <w:spacing w:line="360" w:lineRule="auto"/>
        <w:ind w:firstLine="480" w:firstLineChars="200"/>
        <w:rPr>
          <w:rFonts w:hint="eastAsia" w:ascii="宋体" w:hAnsi="宋体" w:cs="宋体"/>
          <w:sz w:val="24"/>
          <w:u w:val="single"/>
        </w:rPr>
      </w:pPr>
      <w:r>
        <w:rPr>
          <w:rFonts w:hint="eastAsia" w:ascii="宋体" w:hAnsi="宋体" w:cs="宋体"/>
          <w:sz w:val="24"/>
          <w:u w:val="none"/>
          <w:lang w:val="en-US" w:eastAsia="zh-CN"/>
        </w:rPr>
        <w:t>3</w:t>
      </w:r>
      <w:r>
        <w:rPr>
          <w:rFonts w:hint="eastAsia" w:ascii="宋体" w:hAnsi="宋体" w:cs="宋体"/>
          <w:sz w:val="24"/>
        </w:rPr>
        <w:t>.</w:t>
      </w:r>
      <w:r>
        <w:rPr>
          <w:rFonts w:hint="eastAsia" w:ascii="宋体" w:hAnsi="宋体" w:cs="宋体"/>
          <w:sz w:val="24"/>
          <w:u w:val="single"/>
        </w:rPr>
        <w:t>投标人必须对采购需求中</w:t>
      </w:r>
      <w:r>
        <w:rPr>
          <w:rFonts w:hint="eastAsia" w:ascii="宋体" w:hAnsi="宋体"/>
          <w:b/>
          <w:sz w:val="24"/>
          <w:u w:val="single"/>
        </w:rPr>
        <w:t>标注为“★”项</w:t>
      </w:r>
      <w:r>
        <w:rPr>
          <w:rFonts w:hint="eastAsia" w:ascii="宋体" w:hAnsi="宋体" w:cs="宋体"/>
          <w:sz w:val="24"/>
          <w:u w:val="single"/>
        </w:rPr>
        <w:t>的实质性要求逐条做出响应，并按照招标文件要求提供证明材料，否则</w:t>
      </w:r>
      <w:r>
        <w:rPr>
          <w:rFonts w:hint="eastAsia" w:ascii="宋体" w:hAnsi="宋体" w:cs="宋体"/>
          <w:sz w:val="24"/>
          <w:u w:val="single"/>
          <w:lang w:eastAsia="zh-CN"/>
        </w:rPr>
        <w:t>作</w:t>
      </w:r>
      <w:r>
        <w:rPr>
          <w:rFonts w:hint="eastAsia" w:ascii="宋体" w:hAnsi="宋体" w:cs="宋体"/>
          <w:sz w:val="24"/>
          <w:u w:val="single"/>
        </w:rPr>
        <w:t>无效投标处理。（格式见附件10）</w:t>
      </w:r>
    </w:p>
    <w:p w14:paraId="6687FD89">
      <w:pPr>
        <w:pageBreakBefore w:val="0"/>
        <w:kinsoku/>
        <w:wordWrap/>
        <w:overflowPunct/>
        <w:topLinePunct w:val="0"/>
        <w:autoSpaceDE/>
        <w:autoSpaceDN/>
        <w:bidi w:val="0"/>
        <w:adjustRightInd/>
        <w:snapToGrid/>
        <w:spacing w:line="360" w:lineRule="auto"/>
        <w:ind w:firstLine="480"/>
        <w:contextualSpacing/>
        <w:textAlignment w:val="auto"/>
        <w:rPr>
          <w:rFonts w:hint="eastAsia"/>
        </w:rPr>
      </w:pPr>
      <w:r>
        <w:rPr>
          <w:rFonts w:hint="eastAsia" w:ascii="宋体" w:hAnsi="宋体" w:eastAsia="宋体" w:cs="宋体"/>
          <w:sz w:val="24"/>
          <w:lang w:val="en-US" w:eastAsia="zh-CN"/>
        </w:rPr>
        <w:t>4</w:t>
      </w:r>
      <w:r>
        <w:rPr>
          <w:rFonts w:hint="eastAsia" w:ascii="宋体" w:hAnsi="宋体" w:cs="宋体"/>
          <w:sz w:val="24"/>
        </w:rPr>
        <w:t>.</w:t>
      </w:r>
      <w:r>
        <w:rPr>
          <w:rFonts w:hint="eastAsia" w:ascii="宋体" w:hAnsi="宋体" w:eastAsia="宋体" w:cs="宋体"/>
          <w:sz w:val="24"/>
          <w:lang w:val="en-US" w:eastAsia="zh-CN"/>
        </w:rPr>
        <w:t>投标人</w:t>
      </w:r>
      <w:r>
        <w:rPr>
          <w:rFonts w:hint="eastAsia" w:ascii="Times New Roman" w:hAnsi="Times New Roman" w:eastAsia="宋体" w:cs="宋体"/>
          <w:bCs/>
          <w:sz w:val="24"/>
          <w:szCs w:val="24"/>
        </w:rPr>
        <w:t>认为需要提交的其他资料。</w:t>
      </w:r>
    </w:p>
    <w:p w14:paraId="61BFF62F">
      <w:pPr>
        <w:spacing w:line="360" w:lineRule="auto"/>
        <w:ind w:firstLine="480" w:firstLineChars="200"/>
        <w:rPr>
          <w:rFonts w:ascii="宋体" w:hAnsi="宋体" w:cs="宋体"/>
          <w:sz w:val="24"/>
        </w:rPr>
      </w:pPr>
      <w:r>
        <w:rPr>
          <w:rFonts w:hint="eastAsia" w:ascii="宋体" w:hAnsi="宋体" w:cs="宋体"/>
          <w:sz w:val="24"/>
          <w:lang w:eastAsia="zh-CN"/>
        </w:rPr>
        <w:t>三</w:t>
      </w:r>
      <w:r>
        <w:rPr>
          <w:rFonts w:hint="eastAsia" w:ascii="宋体" w:hAnsi="宋体" w:cs="宋体"/>
          <w:sz w:val="24"/>
        </w:rPr>
        <w:t>、</w:t>
      </w:r>
      <w:r>
        <w:rPr>
          <w:rFonts w:hint="eastAsia" w:ascii="宋体" w:hAnsi="宋体" w:eastAsia="宋体" w:cs="宋体"/>
          <w:b/>
          <w:bCs/>
          <w:kern w:val="0"/>
          <w:sz w:val="24"/>
        </w:rPr>
        <w:t>商务标文件</w:t>
      </w:r>
    </w:p>
    <w:p w14:paraId="4B4800FD">
      <w:pPr>
        <w:spacing w:line="360" w:lineRule="auto"/>
        <w:ind w:firstLine="480" w:firstLineChars="200"/>
        <w:rPr>
          <w:rFonts w:ascii="宋体" w:hAnsi="宋体" w:cs="宋体"/>
          <w:sz w:val="24"/>
        </w:rPr>
      </w:pPr>
      <w:r>
        <w:rPr>
          <w:rFonts w:hint="eastAsia" w:ascii="宋体" w:hAnsi="宋体" w:cs="宋体"/>
          <w:sz w:val="24"/>
        </w:rPr>
        <w:t>1.开标一览表（格式见附件1）</w:t>
      </w:r>
    </w:p>
    <w:p w14:paraId="0C91629B">
      <w:pPr>
        <w:spacing w:line="360" w:lineRule="auto"/>
        <w:ind w:firstLine="480" w:firstLineChars="200"/>
        <w:rPr>
          <w:rFonts w:ascii="宋体" w:hAnsi="宋体" w:cs="宋体"/>
          <w:sz w:val="24"/>
        </w:rPr>
      </w:pPr>
      <w:r>
        <w:rPr>
          <w:rFonts w:hint="eastAsia" w:ascii="宋体" w:hAnsi="宋体" w:cs="宋体"/>
          <w:sz w:val="24"/>
        </w:rPr>
        <w:t>2.投标分项报价表（格式见附件2）</w:t>
      </w:r>
    </w:p>
    <w:p w14:paraId="1ECBB131">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cs="宋体"/>
          <w:sz w:val="24"/>
        </w:rPr>
        <w:t>.中小微企业声明函（格式见附件8）</w:t>
      </w:r>
      <w:r>
        <w:rPr>
          <w:rFonts w:hint="eastAsia" w:ascii="宋体" w:hAnsi="宋体" w:cs="宋体"/>
          <w:sz w:val="24"/>
          <w:lang w:eastAsia="zh-CN"/>
        </w:rPr>
        <w:t>（如涉及，则提供）</w:t>
      </w:r>
    </w:p>
    <w:p w14:paraId="2705E8A2">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4</w:t>
      </w:r>
      <w:r>
        <w:rPr>
          <w:rFonts w:hint="eastAsia" w:ascii="宋体" w:hAnsi="宋体" w:cs="宋体"/>
          <w:sz w:val="24"/>
        </w:rPr>
        <w:t>.残疾人福利性单位声明函（格式见附件9）</w:t>
      </w:r>
      <w:r>
        <w:rPr>
          <w:rFonts w:hint="eastAsia" w:ascii="宋体" w:hAnsi="宋体" w:cs="宋体"/>
          <w:sz w:val="24"/>
          <w:lang w:eastAsia="zh-CN"/>
        </w:rPr>
        <w:t>（如涉及，则提供）</w:t>
      </w:r>
    </w:p>
    <w:p w14:paraId="6B527A22">
      <w:pPr>
        <w:spacing w:line="360" w:lineRule="auto"/>
        <w:ind w:firstLine="482" w:firstLineChars="200"/>
        <w:rPr>
          <w:rFonts w:hint="eastAsia" w:ascii="宋体" w:hAnsi="宋体" w:cs="宋体"/>
          <w:b/>
          <w:bCs/>
          <w:sz w:val="24"/>
          <w:lang w:val="zh-CN" w:eastAsia="zh-CN"/>
        </w:rPr>
      </w:pPr>
      <w:r>
        <w:rPr>
          <w:rFonts w:hint="eastAsia" w:ascii="宋体" w:hAnsi="宋体" w:cs="宋体"/>
          <w:b/>
          <w:bCs/>
          <w:sz w:val="24"/>
          <w:lang w:val="zh-CN" w:eastAsia="zh-CN"/>
        </w:rPr>
        <w:t>四、电子投标文件（一份、单独密封提供）</w:t>
      </w:r>
    </w:p>
    <w:p w14:paraId="0EB6C193">
      <w:pPr>
        <w:spacing w:line="360" w:lineRule="auto"/>
        <w:ind w:firstLine="480" w:firstLineChars="200"/>
        <w:rPr>
          <w:rFonts w:hint="eastAsia" w:ascii="宋体" w:hAnsi="宋体" w:cs="宋体"/>
          <w:sz w:val="24"/>
        </w:rPr>
      </w:pPr>
      <w:r>
        <w:rPr>
          <w:rFonts w:hint="eastAsia" w:ascii="宋体" w:hAnsi="宋体" w:cs="宋体"/>
          <w:sz w:val="24"/>
          <w:lang w:val="zh-CN"/>
        </w:rPr>
        <w:t>电子投标文件的内容为“资格审查文件、技术标文件、商务标文件”的打印盖章（或电子签章）后的投标文件的扫描件（资格审查文件、技术标文件、商务标文件需分别逐页连续扫描为三个独立的PDF文件）。</w:t>
      </w:r>
      <w:bookmarkStart w:id="206" w:name="_GoBack"/>
      <w:bookmarkEnd w:id="206"/>
    </w:p>
    <w:p w14:paraId="0C583386">
      <w:pPr>
        <w:rPr>
          <w:rFonts w:asciiTheme="minorEastAsia" w:hAnsiTheme="minorEastAsia" w:cstheme="minorEastAsia"/>
          <w:sz w:val="24"/>
        </w:rPr>
      </w:pPr>
      <w:r>
        <w:rPr>
          <w:rFonts w:hint="eastAsia" w:asciiTheme="minorEastAsia" w:hAnsiTheme="minorEastAsia" w:cstheme="minorEastAsia"/>
          <w:sz w:val="24"/>
        </w:rPr>
        <w:br w:type="page"/>
      </w:r>
    </w:p>
    <w:p w14:paraId="55C34077">
      <w:pPr>
        <w:spacing w:line="360" w:lineRule="auto"/>
        <w:rPr>
          <w:rFonts w:asciiTheme="minorEastAsia" w:hAnsiTheme="minorEastAsia" w:cstheme="minorEastAsia"/>
          <w:sz w:val="24"/>
        </w:rPr>
      </w:pPr>
      <w:r>
        <w:rPr>
          <w:rFonts w:hint="eastAsia" w:asciiTheme="minorEastAsia" w:hAnsiTheme="minorEastAsia" w:cstheme="minorEastAsia"/>
          <w:b/>
          <w:sz w:val="24"/>
        </w:rPr>
        <w:t>附件1 开标一览表</w:t>
      </w:r>
    </w:p>
    <w:p w14:paraId="08038530">
      <w:pPr>
        <w:spacing w:line="360" w:lineRule="auto"/>
        <w:jc w:val="center"/>
        <w:rPr>
          <w:rFonts w:ascii="黑体" w:hAnsi="黑体" w:eastAsia="黑体" w:cs="黑体"/>
          <w:b/>
          <w:sz w:val="28"/>
          <w:szCs w:val="28"/>
        </w:rPr>
      </w:pPr>
    </w:p>
    <w:p w14:paraId="7008AA0E">
      <w:pPr>
        <w:spacing w:line="360" w:lineRule="auto"/>
        <w:jc w:val="center"/>
        <w:rPr>
          <w:rFonts w:ascii="黑体" w:hAnsi="黑体" w:eastAsia="黑体" w:cs="黑体"/>
          <w:sz w:val="28"/>
          <w:szCs w:val="28"/>
        </w:rPr>
      </w:pPr>
      <w:r>
        <w:rPr>
          <w:rFonts w:hint="eastAsia" w:ascii="黑体" w:hAnsi="黑体" w:eastAsia="黑体" w:cs="黑体"/>
          <w:b/>
          <w:sz w:val="28"/>
          <w:szCs w:val="28"/>
        </w:rPr>
        <w:t>开标一览表</w:t>
      </w:r>
    </w:p>
    <w:p w14:paraId="1C625B16">
      <w:pPr>
        <w:spacing w:line="360" w:lineRule="auto"/>
        <w:ind w:firstLine="482"/>
        <w:rPr>
          <w:rFonts w:asciiTheme="minorEastAsia" w:hAnsiTheme="minorEastAsia" w:cstheme="minorEastAsia"/>
          <w:sz w:val="24"/>
        </w:rPr>
      </w:pPr>
    </w:p>
    <w:p w14:paraId="2D169977">
      <w:pPr>
        <w:spacing w:line="360" w:lineRule="auto"/>
        <w:ind w:firstLine="482"/>
        <w:rPr>
          <w:rFonts w:asciiTheme="minorEastAsia" w:hAnsiTheme="minorEastAsia" w:cstheme="minorEastAsia"/>
          <w:sz w:val="24"/>
        </w:rPr>
      </w:pPr>
      <w:r>
        <w:rPr>
          <w:rFonts w:hint="eastAsia" w:asciiTheme="minorEastAsia" w:hAnsiTheme="minorEastAsia" w:cstheme="minorEastAsia"/>
          <w:sz w:val="24"/>
        </w:rPr>
        <w:t>投标人全称（加盖公章）：</w:t>
      </w:r>
    </w:p>
    <w:p w14:paraId="57A873BF">
      <w:pPr>
        <w:spacing w:line="360" w:lineRule="auto"/>
        <w:ind w:firstLine="482"/>
        <w:rPr>
          <w:rFonts w:asciiTheme="minorEastAsia" w:hAnsiTheme="minorEastAsia" w:cstheme="minorEastAsia"/>
          <w:sz w:val="24"/>
        </w:rPr>
      </w:pPr>
      <w:r>
        <w:rPr>
          <w:rFonts w:hint="eastAsia" w:asciiTheme="minorEastAsia" w:hAnsiTheme="minorEastAsia" w:cstheme="minorEastAsia"/>
          <w:sz w:val="24"/>
        </w:rPr>
        <w:t>项目名称：</w:t>
      </w:r>
    </w:p>
    <w:p w14:paraId="132EDBE2">
      <w:pPr>
        <w:spacing w:line="360" w:lineRule="auto"/>
        <w:ind w:firstLine="482"/>
        <w:rPr>
          <w:rFonts w:asciiTheme="minorEastAsia" w:hAnsiTheme="minorEastAsia" w:cstheme="minorEastAsia"/>
          <w:sz w:val="24"/>
        </w:rPr>
      </w:pPr>
      <w:r>
        <w:rPr>
          <w:rFonts w:hint="eastAsia" w:asciiTheme="minorEastAsia" w:hAnsiTheme="minorEastAsia" w:cstheme="minorEastAsia"/>
          <w:sz w:val="24"/>
        </w:rPr>
        <w:t>项目编号：</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1"/>
        <w:gridCol w:w="6405"/>
      </w:tblGrid>
      <w:tr w14:paraId="5B9F8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886" w:type="dxa"/>
            <w:gridSpan w:val="2"/>
            <w:vAlign w:val="center"/>
          </w:tcPr>
          <w:p w14:paraId="11E0F15C">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投标总报价</w:t>
            </w:r>
          </w:p>
        </w:tc>
      </w:tr>
      <w:tr w14:paraId="3C7A5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886" w:type="dxa"/>
            <w:gridSpan w:val="2"/>
            <w:vAlign w:val="center"/>
          </w:tcPr>
          <w:p w14:paraId="4F67CBC8">
            <w:pPr>
              <w:spacing w:line="360" w:lineRule="auto"/>
              <w:jc w:val="left"/>
              <w:rPr>
                <w:rFonts w:asciiTheme="minorEastAsia" w:hAnsiTheme="minorEastAsia" w:cstheme="minorEastAsia"/>
                <w:sz w:val="24"/>
              </w:rPr>
            </w:pPr>
            <w:r>
              <w:rPr>
                <w:rFonts w:hint="eastAsia" w:asciiTheme="minorEastAsia" w:hAnsiTheme="minorEastAsia" w:cstheme="minorEastAsia"/>
                <w:sz w:val="24"/>
              </w:rPr>
              <w:t>小写：                             （人民币：元）</w:t>
            </w:r>
          </w:p>
        </w:tc>
      </w:tr>
      <w:tr w14:paraId="11ABB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2481" w:type="dxa"/>
            <w:vAlign w:val="center"/>
          </w:tcPr>
          <w:p w14:paraId="022C5F36">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核心产品品牌</w:t>
            </w:r>
          </w:p>
        </w:tc>
        <w:tc>
          <w:tcPr>
            <w:tcW w:w="6405" w:type="dxa"/>
            <w:vAlign w:val="center"/>
          </w:tcPr>
          <w:p w14:paraId="676A7CF1">
            <w:pPr>
              <w:spacing w:line="360" w:lineRule="auto"/>
              <w:jc w:val="left"/>
              <w:rPr>
                <w:rFonts w:asciiTheme="minorEastAsia" w:hAnsiTheme="minorEastAsia" w:cstheme="minorEastAsia"/>
                <w:sz w:val="24"/>
              </w:rPr>
            </w:pPr>
          </w:p>
        </w:tc>
      </w:tr>
    </w:tbl>
    <w:p w14:paraId="1C8417AD">
      <w:pPr>
        <w:spacing w:line="360" w:lineRule="auto"/>
        <w:ind w:firstLine="480" w:firstLineChars="200"/>
        <w:rPr>
          <w:rFonts w:asciiTheme="minorEastAsia" w:hAnsiTheme="minorEastAsia" w:cstheme="minorEastAsia"/>
          <w:sz w:val="24"/>
        </w:rPr>
      </w:pPr>
    </w:p>
    <w:p w14:paraId="1ED08EC0">
      <w:pPr>
        <w:rPr>
          <w:rFonts w:asciiTheme="minorEastAsia" w:hAnsiTheme="minorEastAsia" w:cstheme="minorEastAsia"/>
          <w:sz w:val="24"/>
        </w:rPr>
      </w:pPr>
      <w:r>
        <w:rPr>
          <w:rFonts w:hint="eastAsia" w:asciiTheme="minorEastAsia" w:hAnsiTheme="minorEastAsia" w:cstheme="minorEastAsia"/>
          <w:sz w:val="24"/>
        </w:rPr>
        <w:br w:type="page"/>
      </w:r>
    </w:p>
    <w:p w14:paraId="4F3AA532">
      <w:pPr>
        <w:spacing w:line="360" w:lineRule="auto"/>
        <w:rPr>
          <w:rFonts w:asciiTheme="minorEastAsia" w:hAnsiTheme="minorEastAsia" w:cstheme="minorEastAsia"/>
          <w:b/>
          <w:sz w:val="24"/>
        </w:rPr>
      </w:pPr>
      <w:r>
        <w:rPr>
          <w:rFonts w:hint="eastAsia" w:asciiTheme="minorEastAsia" w:hAnsiTheme="minorEastAsia" w:cstheme="minorEastAsia"/>
          <w:b/>
          <w:sz w:val="24"/>
        </w:rPr>
        <w:t>附件2 投标分项报价表</w:t>
      </w:r>
    </w:p>
    <w:p w14:paraId="67204E16">
      <w:pPr>
        <w:spacing w:line="360" w:lineRule="auto"/>
        <w:ind w:firstLine="480" w:firstLineChars="200"/>
        <w:rPr>
          <w:rFonts w:asciiTheme="minorEastAsia" w:hAnsiTheme="minorEastAsia" w:cstheme="minorEastAsia"/>
          <w:sz w:val="24"/>
        </w:rPr>
      </w:pPr>
    </w:p>
    <w:p w14:paraId="729C29A3">
      <w:pPr>
        <w:spacing w:line="360" w:lineRule="auto"/>
        <w:jc w:val="center"/>
        <w:rPr>
          <w:rFonts w:ascii="黑体" w:hAnsi="黑体" w:eastAsia="黑体" w:cs="黑体"/>
          <w:b/>
          <w:sz w:val="28"/>
          <w:szCs w:val="28"/>
        </w:rPr>
      </w:pPr>
      <w:r>
        <w:rPr>
          <w:rFonts w:hint="eastAsia" w:ascii="黑体" w:hAnsi="黑体" w:eastAsia="黑体" w:cs="黑体"/>
          <w:b/>
          <w:sz w:val="28"/>
          <w:szCs w:val="28"/>
        </w:rPr>
        <w:t>投标分项报价表（货物类）</w:t>
      </w:r>
    </w:p>
    <w:tbl>
      <w:tblPr>
        <w:tblStyle w:val="16"/>
        <w:tblW w:w="926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728"/>
        <w:gridCol w:w="728"/>
        <w:gridCol w:w="938"/>
        <w:gridCol w:w="980"/>
        <w:gridCol w:w="1106"/>
        <w:gridCol w:w="1385"/>
        <w:gridCol w:w="924"/>
        <w:gridCol w:w="1008"/>
        <w:gridCol w:w="966"/>
      </w:tblGrid>
      <w:tr w14:paraId="16F88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500" w:type="dxa"/>
          </w:tcPr>
          <w:p w14:paraId="45B7B6E0">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728" w:type="dxa"/>
            <w:vAlign w:val="center"/>
          </w:tcPr>
          <w:p w14:paraId="1B1EFF76">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728" w:type="dxa"/>
            <w:vAlign w:val="center"/>
          </w:tcPr>
          <w:p w14:paraId="71F8619F">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938" w:type="dxa"/>
            <w:vAlign w:val="center"/>
          </w:tcPr>
          <w:p w14:paraId="42DA0C14">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980" w:type="dxa"/>
            <w:vAlign w:val="center"/>
          </w:tcPr>
          <w:p w14:paraId="71178392">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06" w:type="dxa"/>
            <w:vAlign w:val="center"/>
          </w:tcPr>
          <w:p w14:paraId="49D11F7B">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5</w:t>
            </w:r>
          </w:p>
        </w:tc>
        <w:tc>
          <w:tcPr>
            <w:tcW w:w="1385" w:type="dxa"/>
            <w:vAlign w:val="center"/>
          </w:tcPr>
          <w:p w14:paraId="6482411B">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924" w:type="dxa"/>
            <w:vAlign w:val="center"/>
          </w:tcPr>
          <w:p w14:paraId="7C161E5A">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7</w:t>
            </w:r>
          </w:p>
        </w:tc>
        <w:tc>
          <w:tcPr>
            <w:tcW w:w="1008" w:type="dxa"/>
            <w:vAlign w:val="center"/>
          </w:tcPr>
          <w:p w14:paraId="4A57AF78">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966" w:type="dxa"/>
            <w:vAlign w:val="center"/>
          </w:tcPr>
          <w:p w14:paraId="5A57802C">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9</w:t>
            </w:r>
          </w:p>
        </w:tc>
      </w:tr>
      <w:tr w14:paraId="233B4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trPr>
        <w:tc>
          <w:tcPr>
            <w:tcW w:w="500" w:type="dxa"/>
            <w:vAlign w:val="center"/>
          </w:tcPr>
          <w:p w14:paraId="5D1C970F">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728" w:type="dxa"/>
            <w:vAlign w:val="center"/>
          </w:tcPr>
          <w:p w14:paraId="0ED5AFC0">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产品</w:t>
            </w:r>
          </w:p>
          <w:p w14:paraId="1E8718EC">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名称</w:t>
            </w:r>
          </w:p>
        </w:tc>
        <w:tc>
          <w:tcPr>
            <w:tcW w:w="728" w:type="dxa"/>
            <w:vAlign w:val="center"/>
          </w:tcPr>
          <w:p w14:paraId="6AE59625">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品牌</w:t>
            </w:r>
          </w:p>
        </w:tc>
        <w:tc>
          <w:tcPr>
            <w:tcW w:w="938" w:type="dxa"/>
            <w:vAlign w:val="center"/>
          </w:tcPr>
          <w:p w14:paraId="17FB8449">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规格</w:t>
            </w:r>
          </w:p>
          <w:p w14:paraId="2D5278A8">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型号</w:t>
            </w:r>
          </w:p>
        </w:tc>
        <w:tc>
          <w:tcPr>
            <w:tcW w:w="980" w:type="dxa"/>
            <w:vAlign w:val="center"/>
          </w:tcPr>
          <w:p w14:paraId="125D9BAF">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制造商名称</w:t>
            </w:r>
          </w:p>
        </w:tc>
        <w:tc>
          <w:tcPr>
            <w:tcW w:w="1106" w:type="dxa"/>
            <w:vAlign w:val="center"/>
          </w:tcPr>
          <w:p w14:paraId="59269F4B">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产地</w:t>
            </w:r>
          </w:p>
        </w:tc>
        <w:tc>
          <w:tcPr>
            <w:tcW w:w="1385" w:type="dxa"/>
            <w:vAlign w:val="center"/>
          </w:tcPr>
          <w:p w14:paraId="035F2643">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交付期</w:t>
            </w:r>
          </w:p>
        </w:tc>
        <w:tc>
          <w:tcPr>
            <w:tcW w:w="924" w:type="dxa"/>
            <w:vAlign w:val="center"/>
          </w:tcPr>
          <w:p w14:paraId="1E0AA7A7">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1008" w:type="dxa"/>
            <w:vAlign w:val="center"/>
          </w:tcPr>
          <w:p w14:paraId="7895E85F">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分项</w:t>
            </w:r>
          </w:p>
          <w:p w14:paraId="29EC005A">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966" w:type="dxa"/>
            <w:vAlign w:val="center"/>
          </w:tcPr>
          <w:p w14:paraId="7871A689">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分项</w:t>
            </w:r>
          </w:p>
          <w:p w14:paraId="1084008F">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总价</w:t>
            </w:r>
          </w:p>
        </w:tc>
      </w:tr>
      <w:tr w14:paraId="59688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6" w:hRule="atLeast"/>
        </w:trPr>
        <w:tc>
          <w:tcPr>
            <w:tcW w:w="500" w:type="dxa"/>
            <w:vAlign w:val="center"/>
          </w:tcPr>
          <w:p w14:paraId="2FDDE771">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28" w:type="dxa"/>
            <w:vAlign w:val="center"/>
          </w:tcPr>
          <w:p w14:paraId="098695E0">
            <w:pPr>
              <w:spacing w:line="360" w:lineRule="auto"/>
              <w:jc w:val="center"/>
              <w:rPr>
                <w:rFonts w:asciiTheme="minorEastAsia" w:hAnsiTheme="minorEastAsia" w:cstheme="minorEastAsia"/>
                <w:szCs w:val="21"/>
              </w:rPr>
            </w:pPr>
          </w:p>
        </w:tc>
        <w:tc>
          <w:tcPr>
            <w:tcW w:w="728" w:type="dxa"/>
            <w:vAlign w:val="center"/>
          </w:tcPr>
          <w:p w14:paraId="537C8935">
            <w:pPr>
              <w:spacing w:line="360" w:lineRule="auto"/>
              <w:jc w:val="center"/>
              <w:rPr>
                <w:rFonts w:asciiTheme="minorEastAsia" w:hAnsiTheme="minorEastAsia" w:cstheme="minorEastAsia"/>
                <w:szCs w:val="21"/>
              </w:rPr>
            </w:pPr>
          </w:p>
        </w:tc>
        <w:tc>
          <w:tcPr>
            <w:tcW w:w="938" w:type="dxa"/>
            <w:vAlign w:val="center"/>
          </w:tcPr>
          <w:p w14:paraId="23128007">
            <w:pPr>
              <w:spacing w:line="360" w:lineRule="auto"/>
              <w:jc w:val="center"/>
              <w:rPr>
                <w:rFonts w:asciiTheme="minorEastAsia" w:hAnsiTheme="minorEastAsia" w:cstheme="minorEastAsia"/>
                <w:szCs w:val="21"/>
              </w:rPr>
            </w:pPr>
          </w:p>
        </w:tc>
        <w:tc>
          <w:tcPr>
            <w:tcW w:w="980" w:type="dxa"/>
            <w:vAlign w:val="center"/>
          </w:tcPr>
          <w:p w14:paraId="676A93C8">
            <w:pPr>
              <w:spacing w:line="360" w:lineRule="auto"/>
              <w:jc w:val="center"/>
              <w:rPr>
                <w:rFonts w:asciiTheme="minorEastAsia" w:hAnsiTheme="minorEastAsia" w:cstheme="minorEastAsia"/>
                <w:szCs w:val="21"/>
              </w:rPr>
            </w:pPr>
          </w:p>
        </w:tc>
        <w:tc>
          <w:tcPr>
            <w:tcW w:w="1106" w:type="dxa"/>
          </w:tcPr>
          <w:p w14:paraId="7108D423">
            <w:pPr>
              <w:spacing w:line="360" w:lineRule="auto"/>
              <w:jc w:val="center"/>
              <w:rPr>
                <w:rFonts w:asciiTheme="minorEastAsia" w:hAnsiTheme="minorEastAsia" w:cstheme="minorEastAsia"/>
                <w:szCs w:val="21"/>
              </w:rPr>
            </w:pPr>
          </w:p>
        </w:tc>
        <w:tc>
          <w:tcPr>
            <w:tcW w:w="1385" w:type="dxa"/>
            <w:vAlign w:val="center"/>
          </w:tcPr>
          <w:p w14:paraId="3E77C162">
            <w:pPr>
              <w:spacing w:line="360" w:lineRule="auto"/>
              <w:jc w:val="center"/>
              <w:rPr>
                <w:rFonts w:asciiTheme="minorEastAsia" w:hAnsiTheme="minorEastAsia" w:cstheme="minorEastAsia"/>
                <w:szCs w:val="21"/>
                <w:u w:val="single"/>
              </w:rPr>
            </w:pPr>
            <w:r>
              <w:rPr>
                <w:rFonts w:hint="eastAsia" w:asciiTheme="minorEastAsia" w:hAnsiTheme="minorEastAsia" w:cstheme="minorEastAsia"/>
                <w:szCs w:val="21"/>
              </w:rPr>
              <w:t>合同签订后</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日</w:t>
            </w:r>
          </w:p>
        </w:tc>
        <w:tc>
          <w:tcPr>
            <w:tcW w:w="924" w:type="dxa"/>
            <w:vAlign w:val="center"/>
          </w:tcPr>
          <w:p w14:paraId="541B050A">
            <w:pPr>
              <w:spacing w:line="360" w:lineRule="auto"/>
              <w:jc w:val="center"/>
              <w:rPr>
                <w:rFonts w:asciiTheme="minorEastAsia" w:hAnsiTheme="minorEastAsia" w:cstheme="minorEastAsia"/>
                <w:szCs w:val="21"/>
              </w:rPr>
            </w:pPr>
          </w:p>
        </w:tc>
        <w:tc>
          <w:tcPr>
            <w:tcW w:w="1008" w:type="dxa"/>
            <w:vAlign w:val="center"/>
          </w:tcPr>
          <w:p w14:paraId="01D38BC2">
            <w:pPr>
              <w:spacing w:line="360" w:lineRule="auto"/>
              <w:jc w:val="center"/>
              <w:rPr>
                <w:rFonts w:asciiTheme="minorEastAsia" w:hAnsiTheme="minorEastAsia" w:cstheme="minorEastAsia"/>
                <w:szCs w:val="21"/>
              </w:rPr>
            </w:pPr>
          </w:p>
        </w:tc>
        <w:tc>
          <w:tcPr>
            <w:tcW w:w="966" w:type="dxa"/>
            <w:vAlign w:val="center"/>
          </w:tcPr>
          <w:p w14:paraId="38FB9C6B">
            <w:pPr>
              <w:spacing w:line="360" w:lineRule="auto"/>
              <w:jc w:val="center"/>
              <w:rPr>
                <w:rFonts w:asciiTheme="minorEastAsia" w:hAnsiTheme="minorEastAsia" w:cstheme="minorEastAsia"/>
                <w:szCs w:val="21"/>
              </w:rPr>
            </w:pPr>
          </w:p>
        </w:tc>
      </w:tr>
      <w:tr w14:paraId="1F7F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4" w:hRule="atLeast"/>
        </w:trPr>
        <w:tc>
          <w:tcPr>
            <w:tcW w:w="500" w:type="dxa"/>
            <w:vAlign w:val="center"/>
          </w:tcPr>
          <w:p w14:paraId="29BEBBE6">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728" w:type="dxa"/>
            <w:vAlign w:val="center"/>
          </w:tcPr>
          <w:p w14:paraId="4599F8A4">
            <w:pPr>
              <w:spacing w:line="360" w:lineRule="auto"/>
              <w:jc w:val="center"/>
              <w:rPr>
                <w:rFonts w:asciiTheme="minorEastAsia" w:hAnsiTheme="minorEastAsia" w:cstheme="minorEastAsia"/>
                <w:szCs w:val="21"/>
              </w:rPr>
            </w:pPr>
          </w:p>
        </w:tc>
        <w:tc>
          <w:tcPr>
            <w:tcW w:w="728" w:type="dxa"/>
            <w:vAlign w:val="center"/>
          </w:tcPr>
          <w:p w14:paraId="1558D795">
            <w:pPr>
              <w:spacing w:line="360" w:lineRule="auto"/>
              <w:jc w:val="center"/>
              <w:rPr>
                <w:rFonts w:asciiTheme="minorEastAsia" w:hAnsiTheme="minorEastAsia" w:cstheme="minorEastAsia"/>
                <w:szCs w:val="21"/>
              </w:rPr>
            </w:pPr>
          </w:p>
        </w:tc>
        <w:tc>
          <w:tcPr>
            <w:tcW w:w="938" w:type="dxa"/>
            <w:vAlign w:val="center"/>
          </w:tcPr>
          <w:p w14:paraId="2D6E04E4">
            <w:pPr>
              <w:spacing w:line="360" w:lineRule="auto"/>
              <w:jc w:val="center"/>
              <w:rPr>
                <w:rFonts w:asciiTheme="minorEastAsia" w:hAnsiTheme="minorEastAsia" w:cstheme="minorEastAsia"/>
                <w:szCs w:val="21"/>
              </w:rPr>
            </w:pPr>
          </w:p>
        </w:tc>
        <w:tc>
          <w:tcPr>
            <w:tcW w:w="980" w:type="dxa"/>
            <w:vAlign w:val="center"/>
          </w:tcPr>
          <w:p w14:paraId="67ADE580">
            <w:pPr>
              <w:spacing w:line="360" w:lineRule="auto"/>
              <w:jc w:val="center"/>
              <w:rPr>
                <w:rFonts w:asciiTheme="minorEastAsia" w:hAnsiTheme="minorEastAsia" w:cstheme="minorEastAsia"/>
                <w:szCs w:val="21"/>
              </w:rPr>
            </w:pPr>
          </w:p>
        </w:tc>
        <w:tc>
          <w:tcPr>
            <w:tcW w:w="1106" w:type="dxa"/>
          </w:tcPr>
          <w:p w14:paraId="3CF5C6B9">
            <w:pPr>
              <w:spacing w:line="360" w:lineRule="auto"/>
              <w:jc w:val="center"/>
              <w:rPr>
                <w:rFonts w:asciiTheme="minorEastAsia" w:hAnsiTheme="minorEastAsia" w:cstheme="minorEastAsia"/>
                <w:szCs w:val="21"/>
              </w:rPr>
            </w:pPr>
          </w:p>
        </w:tc>
        <w:tc>
          <w:tcPr>
            <w:tcW w:w="1385" w:type="dxa"/>
            <w:vAlign w:val="center"/>
          </w:tcPr>
          <w:p w14:paraId="7739D0CF">
            <w:pPr>
              <w:spacing w:line="360" w:lineRule="auto"/>
              <w:jc w:val="center"/>
              <w:rPr>
                <w:rFonts w:asciiTheme="minorEastAsia" w:hAnsiTheme="minorEastAsia" w:cstheme="minorEastAsia"/>
                <w:szCs w:val="21"/>
              </w:rPr>
            </w:pPr>
          </w:p>
        </w:tc>
        <w:tc>
          <w:tcPr>
            <w:tcW w:w="924" w:type="dxa"/>
            <w:vAlign w:val="center"/>
          </w:tcPr>
          <w:p w14:paraId="5A11D1D3">
            <w:pPr>
              <w:spacing w:line="360" w:lineRule="auto"/>
              <w:jc w:val="center"/>
              <w:rPr>
                <w:rFonts w:asciiTheme="minorEastAsia" w:hAnsiTheme="minorEastAsia" w:cstheme="minorEastAsia"/>
                <w:szCs w:val="21"/>
              </w:rPr>
            </w:pPr>
          </w:p>
        </w:tc>
        <w:tc>
          <w:tcPr>
            <w:tcW w:w="1008" w:type="dxa"/>
            <w:vAlign w:val="center"/>
          </w:tcPr>
          <w:p w14:paraId="65B5AAF5">
            <w:pPr>
              <w:spacing w:line="360" w:lineRule="auto"/>
              <w:jc w:val="center"/>
              <w:rPr>
                <w:rFonts w:asciiTheme="minorEastAsia" w:hAnsiTheme="minorEastAsia" w:cstheme="minorEastAsia"/>
                <w:szCs w:val="21"/>
              </w:rPr>
            </w:pPr>
          </w:p>
        </w:tc>
        <w:tc>
          <w:tcPr>
            <w:tcW w:w="966" w:type="dxa"/>
            <w:vAlign w:val="center"/>
          </w:tcPr>
          <w:p w14:paraId="53236C77">
            <w:pPr>
              <w:spacing w:line="360" w:lineRule="auto"/>
              <w:jc w:val="center"/>
              <w:rPr>
                <w:rFonts w:asciiTheme="minorEastAsia" w:hAnsiTheme="minorEastAsia" w:cstheme="minorEastAsia"/>
                <w:szCs w:val="21"/>
              </w:rPr>
            </w:pPr>
          </w:p>
        </w:tc>
      </w:tr>
      <w:tr w14:paraId="3737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00" w:type="dxa"/>
            <w:vAlign w:val="center"/>
          </w:tcPr>
          <w:p w14:paraId="6C9A8F9D">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728" w:type="dxa"/>
            <w:vAlign w:val="center"/>
          </w:tcPr>
          <w:p w14:paraId="403A100A">
            <w:pPr>
              <w:spacing w:line="360" w:lineRule="auto"/>
              <w:jc w:val="center"/>
              <w:rPr>
                <w:rFonts w:asciiTheme="minorEastAsia" w:hAnsiTheme="minorEastAsia" w:cstheme="minorEastAsia"/>
                <w:szCs w:val="21"/>
              </w:rPr>
            </w:pPr>
          </w:p>
        </w:tc>
        <w:tc>
          <w:tcPr>
            <w:tcW w:w="728" w:type="dxa"/>
            <w:vAlign w:val="center"/>
          </w:tcPr>
          <w:p w14:paraId="301FDA10">
            <w:pPr>
              <w:spacing w:line="360" w:lineRule="auto"/>
              <w:jc w:val="center"/>
              <w:rPr>
                <w:rFonts w:asciiTheme="minorEastAsia" w:hAnsiTheme="minorEastAsia" w:cstheme="minorEastAsia"/>
                <w:szCs w:val="21"/>
              </w:rPr>
            </w:pPr>
          </w:p>
        </w:tc>
        <w:tc>
          <w:tcPr>
            <w:tcW w:w="938" w:type="dxa"/>
            <w:vAlign w:val="center"/>
          </w:tcPr>
          <w:p w14:paraId="430A1238">
            <w:pPr>
              <w:spacing w:line="360" w:lineRule="auto"/>
              <w:jc w:val="center"/>
              <w:rPr>
                <w:rFonts w:asciiTheme="minorEastAsia" w:hAnsiTheme="minorEastAsia" w:cstheme="minorEastAsia"/>
                <w:szCs w:val="21"/>
              </w:rPr>
            </w:pPr>
          </w:p>
        </w:tc>
        <w:tc>
          <w:tcPr>
            <w:tcW w:w="980" w:type="dxa"/>
            <w:vAlign w:val="center"/>
          </w:tcPr>
          <w:p w14:paraId="0734BB37">
            <w:pPr>
              <w:spacing w:line="360" w:lineRule="auto"/>
              <w:jc w:val="center"/>
              <w:rPr>
                <w:rFonts w:asciiTheme="minorEastAsia" w:hAnsiTheme="minorEastAsia" w:cstheme="minorEastAsia"/>
                <w:szCs w:val="21"/>
              </w:rPr>
            </w:pPr>
          </w:p>
        </w:tc>
        <w:tc>
          <w:tcPr>
            <w:tcW w:w="1106" w:type="dxa"/>
          </w:tcPr>
          <w:p w14:paraId="32B1305C">
            <w:pPr>
              <w:spacing w:line="360" w:lineRule="auto"/>
              <w:jc w:val="center"/>
              <w:rPr>
                <w:rFonts w:asciiTheme="minorEastAsia" w:hAnsiTheme="minorEastAsia" w:cstheme="minorEastAsia"/>
                <w:szCs w:val="21"/>
              </w:rPr>
            </w:pPr>
          </w:p>
        </w:tc>
        <w:tc>
          <w:tcPr>
            <w:tcW w:w="1385" w:type="dxa"/>
            <w:vAlign w:val="center"/>
          </w:tcPr>
          <w:p w14:paraId="30FA4DEB">
            <w:pPr>
              <w:spacing w:line="360" w:lineRule="auto"/>
              <w:jc w:val="center"/>
              <w:rPr>
                <w:rFonts w:asciiTheme="minorEastAsia" w:hAnsiTheme="minorEastAsia" w:cstheme="minorEastAsia"/>
                <w:szCs w:val="21"/>
              </w:rPr>
            </w:pPr>
          </w:p>
        </w:tc>
        <w:tc>
          <w:tcPr>
            <w:tcW w:w="924" w:type="dxa"/>
            <w:vAlign w:val="center"/>
          </w:tcPr>
          <w:p w14:paraId="79CA6068">
            <w:pPr>
              <w:spacing w:line="360" w:lineRule="auto"/>
              <w:jc w:val="center"/>
              <w:rPr>
                <w:rFonts w:asciiTheme="minorEastAsia" w:hAnsiTheme="minorEastAsia" w:cstheme="minorEastAsia"/>
                <w:szCs w:val="21"/>
              </w:rPr>
            </w:pPr>
          </w:p>
        </w:tc>
        <w:tc>
          <w:tcPr>
            <w:tcW w:w="1008" w:type="dxa"/>
            <w:vAlign w:val="center"/>
          </w:tcPr>
          <w:p w14:paraId="332B63B8">
            <w:pPr>
              <w:spacing w:line="360" w:lineRule="auto"/>
              <w:jc w:val="center"/>
              <w:rPr>
                <w:rFonts w:asciiTheme="minorEastAsia" w:hAnsiTheme="minorEastAsia" w:cstheme="minorEastAsia"/>
                <w:szCs w:val="21"/>
              </w:rPr>
            </w:pPr>
          </w:p>
        </w:tc>
        <w:tc>
          <w:tcPr>
            <w:tcW w:w="966" w:type="dxa"/>
            <w:vAlign w:val="center"/>
          </w:tcPr>
          <w:p w14:paraId="2FB81BA9">
            <w:pPr>
              <w:spacing w:line="360" w:lineRule="auto"/>
              <w:jc w:val="center"/>
              <w:rPr>
                <w:rFonts w:asciiTheme="minorEastAsia" w:hAnsiTheme="minorEastAsia" w:cstheme="minorEastAsia"/>
                <w:szCs w:val="21"/>
              </w:rPr>
            </w:pPr>
          </w:p>
        </w:tc>
      </w:tr>
      <w:tr w14:paraId="548BC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500" w:type="dxa"/>
            <w:vAlign w:val="center"/>
          </w:tcPr>
          <w:p w14:paraId="57D766CD">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w:t>
            </w:r>
          </w:p>
        </w:tc>
        <w:tc>
          <w:tcPr>
            <w:tcW w:w="728" w:type="dxa"/>
            <w:vAlign w:val="center"/>
          </w:tcPr>
          <w:p w14:paraId="0495EBAF">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w:t>
            </w:r>
          </w:p>
        </w:tc>
        <w:tc>
          <w:tcPr>
            <w:tcW w:w="728" w:type="dxa"/>
            <w:vAlign w:val="center"/>
          </w:tcPr>
          <w:p w14:paraId="3FFF42CD">
            <w:pPr>
              <w:spacing w:line="360" w:lineRule="auto"/>
              <w:jc w:val="center"/>
              <w:rPr>
                <w:rFonts w:asciiTheme="minorEastAsia" w:hAnsiTheme="minorEastAsia" w:cstheme="minorEastAsia"/>
                <w:szCs w:val="21"/>
              </w:rPr>
            </w:pPr>
          </w:p>
        </w:tc>
        <w:tc>
          <w:tcPr>
            <w:tcW w:w="938" w:type="dxa"/>
            <w:vAlign w:val="center"/>
          </w:tcPr>
          <w:p w14:paraId="14D41625">
            <w:pPr>
              <w:spacing w:line="360" w:lineRule="auto"/>
              <w:jc w:val="center"/>
              <w:rPr>
                <w:rFonts w:asciiTheme="minorEastAsia" w:hAnsiTheme="minorEastAsia" w:cstheme="minorEastAsia"/>
                <w:szCs w:val="21"/>
              </w:rPr>
            </w:pPr>
          </w:p>
        </w:tc>
        <w:tc>
          <w:tcPr>
            <w:tcW w:w="980" w:type="dxa"/>
            <w:vAlign w:val="center"/>
          </w:tcPr>
          <w:p w14:paraId="5AD30EAD">
            <w:pPr>
              <w:spacing w:line="360" w:lineRule="auto"/>
              <w:jc w:val="center"/>
              <w:rPr>
                <w:rFonts w:asciiTheme="minorEastAsia" w:hAnsiTheme="minorEastAsia" w:cstheme="minorEastAsia"/>
                <w:szCs w:val="21"/>
              </w:rPr>
            </w:pPr>
          </w:p>
        </w:tc>
        <w:tc>
          <w:tcPr>
            <w:tcW w:w="1106" w:type="dxa"/>
          </w:tcPr>
          <w:p w14:paraId="119D3D71">
            <w:pPr>
              <w:spacing w:line="360" w:lineRule="auto"/>
              <w:jc w:val="center"/>
              <w:rPr>
                <w:rFonts w:asciiTheme="minorEastAsia" w:hAnsiTheme="minorEastAsia" w:cstheme="minorEastAsia"/>
                <w:szCs w:val="21"/>
              </w:rPr>
            </w:pPr>
          </w:p>
        </w:tc>
        <w:tc>
          <w:tcPr>
            <w:tcW w:w="1385" w:type="dxa"/>
            <w:vAlign w:val="center"/>
          </w:tcPr>
          <w:p w14:paraId="35B4CE1A">
            <w:pPr>
              <w:spacing w:line="360" w:lineRule="auto"/>
              <w:jc w:val="center"/>
              <w:rPr>
                <w:rFonts w:asciiTheme="minorEastAsia" w:hAnsiTheme="minorEastAsia" w:cstheme="minorEastAsia"/>
                <w:szCs w:val="21"/>
              </w:rPr>
            </w:pPr>
          </w:p>
        </w:tc>
        <w:tc>
          <w:tcPr>
            <w:tcW w:w="924" w:type="dxa"/>
            <w:vAlign w:val="center"/>
          </w:tcPr>
          <w:p w14:paraId="29BC91F5">
            <w:pPr>
              <w:spacing w:line="360" w:lineRule="auto"/>
              <w:jc w:val="center"/>
              <w:rPr>
                <w:rFonts w:asciiTheme="minorEastAsia" w:hAnsiTheme="minorEastAsia" w:cstheme="minorEastAsia"/>
                <w:szCs w:val="21"/>
              </w:rPr>
            </w:pPr>
          </w:p>
        </w:tc>
        <w:tc>
          <w:tcPr>
            <w:tcW w:w="1008" w:type="dxa"/>
            <w:vAlign w:val="center"/>
          </w:tcPr>
          <w:p w14:paraId="7E596D07">
            <w:pPr>
              <w:spacing w:line="360" w:lineRule="auto"/>
              <w:jc w:val="center"/>
              <w:rPr>
                <w:rFonts w:asciiTheme="minorEastAsia" w:hAnsiTheme="minorEastAsia" w:cstheme="minorEastAsia"/>
                <w:szCs w:val="21"/>
              </w:rPr>
            </w:pPr>
          </w:p>
        </w:tc>
        <w:tc>
          <w:tcPr>
            <w:tcW w:w="966" w:type="dxa"/>
            <w:vAlign w:val="center"/>
          </w:tcPr>
          <w:p w14:paraId="5DB53F78">
            <w:pPr>
              <w:spacing w:line="360" w:lineRule="auto"/>
              <w:jc w:val="center"/>
              <w:rPr>
                <w:rFonts w:asciiTheme="minorEastAsia" w:hAnsiTheme="minorEastAsia" w:cstheme="minorEastAsia"/>
                <w:szCs w:val="21"/>
              </w:rPr>
            </w:pPr>
          </w:p>
        </w:tc>
      </w:tr>
      <w:tr w14:paraId="081D8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 w:hRule="atLeast"/>
        </w:trPr>
        <w:tc>
          <w:tcPr>
            <w:tcW w:w="500" w:type="dxa"/>
          </w:tcPr>
          <w:p w14:paraId="47E1839A">
            <w:pPr>
              <w:spacing w:line="360" w:lineRule="auto"/>
              <w:jc w:val="center"/>
              <w:rPr>
                <w:rFonts w:asciiTheme="minorEastAsia" w:hAnsiTheme="minorEastAsia" w:cstheme="minorEastAsia"/>
                <w:szCs w:val="21"/>
              </w:rPr>
            </w:pPr>
          </w:p>
        </w:tc>
        <w:tc>
          <w:tcPr>
            <w:tcW w:w="7797" w:type="dxa"/>
            <w:gridSpan w:val="8"/>
            <w:vAlign w:val="center"/>
          </w:tcPr>
          <w:p w14:paraId="0940CBB6">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投标总报价（人民币：元）</w:t>
            </w:r>
          </w:p>
        </w:tc>
        <w:tc>
          <w:tcPr>
            <w:tcW w:w="966" w:type="dxa"/>
          </w:tcPr>
          <w:p w14:paraId="301AFA03">
            <w:pPr>
              <w:spacing w:line="360" w:lineRule="auto"/>
              <w:rPr>
                <w:rFonts w:asciiTheme="minorEastAsia" w:hAnsiTheme="minorEastAsia" w:cstheme="minorEastAsia"/>
                <w:szCs w:val="21"/>
              </w:rPr>
            </w:pPr>
          </w:p>
        </w:tc>
      </w:tr>
    </w:tbl>
    <w:p w14:paraId="3126406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备注：</w:t>
      </w:r>
    </w:p>
    <w:p w14:paraId="50FB8CA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投标报价采用总承包方式，“投标总报价”应包括所投货物（包含与货物相关的服务）费用、安装调试费、测试验收费、培训费、运行维护费用、税金、国际（如果有）国内运输保险、报关清关（如果有）、开证（如果有）、办理全套免税手续费用（如果有）及其他有关的为完成本项目发生的所有费用，招标文件中另有规定的除外。</w:t>
      </w:r>
    </w:p>
    <w:p w14:paraId="77624A2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2.“投标分项报价表”中“投标总报价”数额应当与“开标一览表”中“投标总报价”数额一致。</w:t>
      </w:r>
    </w:p>
    <w:p w14:paraId="40E5754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3.投标人需认真填写本报价表，尤其注意规格型号的准确填写。</w:t>
      </w:r>
    </w:p>
    <w:p w14:paraId="6EAB7DE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4.项目经办人可以根据项目实际需要对表格结构进行调整。</w:t>
      </w:r>
    </w:p>
    <w:p w14:paraId="48D49666">
      <w:pPr>
        <w:spacing w:line="360" w:lineRule="auto"/>
        <w:ind w:firstLine="480" w:firstLineChars="200"/>
        <w:rPr>
          <w:rFonts w:asciiTheme="minorEastAsia" w:hAnsiTheme="minorEastAsia" w:cstheme="minorEastAsia"/>
          <w:sz w:val="24"/>
        </w:rPr>
      </w:pPr>
    </w:p>
    <w:p w14:paraId="10B1523B">
      <w:pPr>
        <w:spacing w:line="360" w:lineRule="auto"/>
        <w:jc w:val="center"/>
        <w:rPr>
          <w:rFonts w:ascii="黑体" w:hAnsi="黑体" w:eastAsia="黑体" w:cs="黑体"/>
          <w:b/>
          <w:sz w:val="28"/>
          <w:szCs w:val="28"/>
        </w:rPr>
      </w:pPr>
    </w:p>
    <w:p w14:paraId="7995ADB2">
      <w:pPr>
        <w:spacing w:line="360" w:lineRule="auto"/>
        <w:jc w:val="center"/>
        <w:rPr>
          <w:rFonts w:ascii="黑体" w:hAnsi="黑体" w:eastAsia="黑体" w:cs="黑体"/>
          <w:b/>
          <w:sz w:val="28"/>
          <w:szCs w:val="28"/>
        </w:rPr>
      </w:pPr>
    </w:p>
    <w:p w14:paraId="1EB449D1">
      <w:pPr>
        <w:spacing w:line="360" w:lineRule="auto"/>
        <w:jc w:val="center"/>
        <w:rPr>
          <w:rFonts w:ascii="黑体" w:hAnsi="黑体" w:eastAsia="黑体" w:cs="黑体"/>
          <w:b/>
          <w:sz w:val="28"/>
          <w:szCs w:val="28"/>
        </w:rPr>
      </w:pPr>
    </w:p>
    <w:p w14:paraId="5FE95EF3">
      <w:r>
        <w:rPr>
          <w:rFonts w:hint="eastAsia"/>
        </w:rPr>
        <w:br w:type="page"/>
      </w:r>
    </w:p>
    <w:p w14:paraId="7560A030">
      <w:pPr>
        <w:spacing w:line="360" w:lineRule="auto"/>
        <w:rPr>
          <w:rFonts w:asciiTheme="minorEastAsia" w:hAnsiTheme="minorEastAsia" w:cstheme="minorEastAsia"/>
          <w:b/>
          <w:sz w:val="24"/>
        </w:rPr>
      </w:pPr>
      <w:r>
        <w:rPr>
          <w:rFonts w:hint="eastAsia" w:asciiTheme="minorEastAsia" w:hAnsiTheme="minorEastAsia" w:cstheme="minorEastAsia"/>
          <w:b/>
          <w:sz w:val="24"/>
        </w:rPr>
        <w:t>附件3 、技术要求响应及偏离表</w:t>
      </w:r>
    </w:p>
    <w:p w14:paraId="0D67C88E">
      <w:pPr>
        <w:spacing w:line="360" w:lineRule="auto"/>
        <w:jc w:val="center"/>
        <w:rPr>
          <w:rFonts w:ascii="仿宋" w:hAnsi="仿宋" w:eastAsia="仿宋"/>
          <w:b/>
          <w:sz w:val="28"/>
          <w:szCs w:val="28"/>
        </w:rPr>
      </w:pPr>
    </w:p>
    <w:p w14:paraId="055072D1">
      <w:pPr>
        <w:spacing w:line="360" w:lineRule="auto"/>
        <w:jc w:val="center"/>
        <w:rPr>
          <w:rFonts w:ascii="黑体" w:hAnsi="黑体" w:eastAsia="黑体" w:cs="黑体"/>
          <w:b/>
          <w:sz w:val="28"/>
          <w:szCs w:val="28"/>
        </w:rPr>
      </w:pPr>
      <w:r>
        <w:rPr>
          <w:rFonts w:hint="eastAsia" w:ascii="黑体" w:hAnsi="黑体" w:eastAsia="黑体" w:cs="黑体"/>
          <w:b/>
          <w:sz w:val="28"/>
          <w:szCs w:val="28"/>
        </w:rPr>
        <w:t>技术要求响应及偏离表</w:t>
      </w: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2"/>
        <w:gridCol w:w="2932"/>
        <w:gridCol w:w="3280"/>
        <w:gridCol w:w="2186"/>
      </w:tblGrid>
      <w:tr w14:paraId="10B99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21" w:type="pct"/>
            <w:vAlign w:val="center"/>
          </w:tcPr>
          <w:p w14:paraId="0B58DD51">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序号</w:t>
            </w:r>
          </w:p>
        </w:tc>
        <w:tc>
          <w:tcPr>
            <w:tcW w:w="1598" w:type="pct"/>
            <w:vAlign w:val="center"/>
          </w:tcPr>
          <w:p w14:paraId="7E3419E3">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技术要求</w:t>
            </w:r>
          </w:p>
        </w:tc>
        <w:tc>
          <w:tcPr>
            <w:tcW w:w="1787" w:type="pct"/>
            <w:vAlign w:val="center"/>
          </w:tcPr>
          <w:p w14:paraId="721D8F82">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投标响应情况</w:t>
            </w:r>
          </w:p>
        </w:tc>
        <w:tc>
          <w:tcPr>
            <w:tcW w:w="1191" w:type="pct"/>
            <w:vAlign w:val="center"/>
          </w:tcPr>
          <w:p w14:paraId="29CB43B2">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超出、符合或偏离</w:t>
            </w:r>
          </w:p>
        </w:tc>
      </w:tr>
      <w:tr w14:paraId="23FEE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421" w:type="pct"/>
          </w:tcPr>
          <w:p w14:paraId="0820A5D8">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w:t>
            </w:r>
          </w:p>
        </w:tc>
        <w:tc>
          <w:tcPr>
            <w:tcW w:w="1598" w:type="pct"/>
          </w:tcPr>
          <w:p w14:paraId="49B62EA5">
            <w:pPr>
              <w:spacing w:line="360" w:lineRule="auto"/>
              <w:jc w:val="center"/>
              <w:rPr>
                <w:rFonts w:asciiTheme="minorEastAsia" w:hAnsiTheme="minorEastAsia" w:cstheme="minorEastAsia"/>
                <w:sz w:val="24"/>
              </w:rPr>
            </w:pPr>
          </w:p>
        </w:tc>
        <w:tc>
          <w:tcPr>
            <w:tcW w:w="1787" w:type="pct"/>
          </w:tcPr>
          <w:p w14:paraId="79FFB0D6">
            <w:pPr>
              <w:spacing w:line="360" w:lineRule="auto"/>
              <w:jc w:val="center"/>
              <w:rPr>
                <w:rFonts w:asciiTheme="minorEastAsia" w:hAnsiTheme="minorEastAsia" w:cstheme="minorEastAsia"/>
                <w:sz w:val="24"/>
              </w:rPr>
            </w:pPr>
          </w:p>
        </w:tc>
        <w:tc>
          <w:tcPr>
            <w:tcW w:w="1191" w:type="pct"/>
          </w:tcPr>
          <w:p w14:paraId="37DCA35F">
            <w:pPr>
              <w:spacing w:line="360" w:lineRule="auto"/>
              <w:jc w:val="center"/>
              <w:rPr>
                <w:rFonts w:asciiTheme="minorEastAsia" w:hAnsiTheme="minorEastAsia" w:cstheme="minorEastAsia"/>
                <w:sz w:val="24"/>
              </w:rPr>
            </w:pPr>
          </w:p>
        </w:tc>
      </w:tr>
      <w:tr w14:paraId="502E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421" w:type="pct"/>
          </w:tcPr>
          <w:p w14:paraId="2F8E1323">
            <w:pPr>
              <w:spacing w:line="360" w:lineRule="auto"/>
              <w:jc w:val="center"/>
              <w:rPr>
                <w:rFonts w:asciiTheme="minorEastAsia" w:hAnsiTheme="minorEastAsia" w:cstheme="minorEastAsia"/>
                <w:sz w:val="24"/>
              </w:rPr>
            </w:pPr>
          </w:p>
        </w:tc>
        <w:tc>
          <w:tcPr>
            <w:tcW w:w="1598" w:type="pct"/>
          </w:tcPr>
          <w:p w14:paraId="481C00EE">
            <w:pPr>
              <w:spacing w:line="360" w:lineRule="auto"/>
              <w:jc w:val="center"/>
              <w:rPr>
                <w:rFonts w:asciiTheme="minorEastAsia" w:hAnsiTheme="minorEastAsia" w:cstheme="minorEastAsia"/>
                <w:sz w:val="24"/>
              </w:rPr>
            </w:pPr>
            <w:r>
              <w:rPr>
                <w:rFonts w:hint="eastAsia" w:asciiTheme="minorEastAsia" w:hAnsiTheme="minorEastAsia" w:cstheme="minorEastAsia"/>
                <w:sz w:val="24"/>
              </w:rPr>
              <w:t>……</w:t>
            </w:r>
          </w:p>
        </w:tc>
        <w:tc>
          <w:tcPr>
            <w:tcW w:w="1787" w:type="pct"/>
          </w:tcPr>
          <w:p w14:paraId="7EF1C6B6">
            <w:pPr>
              <w:spacing w:line="360" w:lineRule="auto"/>
              <w:jc w:val="center"/>
              <w:rPr>
                <w:rFonts w:asciiTheme="minorEastAsia" w:hAnsiTheme="minorEastAsia" w:cstheme="minorEastAsia"/>
                <w:sz w:val="24"/>
              </w:rPr>
            </w:pPr>
          </w:p>
        </w:tc>
        <w:tc>
          <w:tcPr>
            <w:tcW w:w="1191" w:type="pct"/>
          </w:tcPr>
          <w:p w14:paraId="02003E18">
            <w:pPr>
              <w:spacing w:line="360" w:lineRule="auto"/>
              <w:jc w:val="center"/>
              <w:rPr>
                <w:rFonts w:asciiTheme="minorEastAsia" w:hAnsiTheme="minorEastAsia" w:cstheme="minorEastAsia"/>
                <w:sz w:val="24"/>
              </w:rPr>
            </w:pPr>
          </w:p>
        </w:tc>
      </w:tr>
    </w:tbl>
    <w:p w14:paraId="597803EB">
      <w:pPr>
        <w:spacing w:line="360" w:lineRule="auto"/>
        <w:rPr>
          <w:rFonts w:asciiTheme="minorEastAsia" w:hAnsiTheme="minorEastAsia" w:cstheme="minorEastAsia"/>
          <w:sz w:val="24"/>
        </w:rPr>
      </w:pPr>
      <w:r>
        <w:rPr>
          <w:rFonts w:hint="eastAsia" w:asciiTheme="minorEastAsia" w:hAnsiTheme="minorEastAsia" w:cstheme="minorEastAsia"/>
          <w:sz w:val="24"/>
        </w:rPr>
        <w:t>附件3-1  证明材料1，证明材料2，……</w:t>
      </w:r>
    </w:p>
    <w:p w14:paraId="0C1A6F16">
      <w:pPr>
        <w:spacing w:line="360" w:lineRule="auto"/>
        <w:rPr>
          <w:rFonts w:asciiTheme="minorEastAsia" w:hAnsiTheme="minorEastAsia" w:cstheme="minorEastAsia"/>
          <w:sz w:val="24"/>
        </w:rPr>
      </w:pPr>
      <w:r>
        <w:rPr>
          <w:rFonts w:hint="eastAsia" w:asciiTheme="minorEastAsia" w:hAnsiTheme="minorEastAsia" w:cstheme="minorEastAsia"/>
          <w:sz w:val="24"/>
        </w:rPr>
        <w:t>备注：</w:t>
      </w:r>
    </w:p>
    <w:p w14:paraId="6F6AC050">
      <w:pPr>
        <w:spacing w:line="360" w:lineRule="auto"/>
        <w:rPr>
          <w:rFonts w:asciiTheme="minorEastAsia" w:hAnsiTheme="minorEastAsia" w:cstheme="minorEastAsia"/>
          <w:sz w:val="24"/>
        </w:rPr>
      </w:pPr>
      <w:r>
        <w:rPr>
          <w:rFonts w:hint="eastAsia" w:asciiTheme="minorEastAsia" w:hAnsiTheme="minorEastAsia" w:cstheme="minorEastAsia"/>
          <w:sz w:val="24"/>
        </w:rPr>
        <w:t>1.投标人需对技术要求（未加</w:t>
      </w:r>
      <w:r>
        <w:rPr>
          <w:rFonts w:hint="eastAsia" w:ascii="宋体" w:hAnsi="宋体"/>
          <w:b/>
          <w:sz w:val="24"/>
        </w:rPr>
        <w:t>“★”项</w:t>
      </w:r>
      <w:r>
        <w:rPr>
          <w:rFonts w:hint="eastAsia" w:asciiTheme="minorEastAsia" w:hAnsiTheme="minorEastAsia" w:cstheme="minorEastAsia"/>
          <w:sz w:val="24"/>
        </w:rPr>
        <w:t>的非实质性要求）逐条做出明确响应。</w:t>
      </w:r>
    </w:p>
    <w:p w14:paraId="1DE52A79">
      <w:pPr>
        <w:spacing w:line="360" w:lineRule="auto"/>
        <w:rPr>
          <w:rFonts w:asciiTheme="minorEastAsia" w:hAnsiTheme="minorEastAsia" w:cstheme="minorEastAsia"/>
          <w:sz w:val="24"/>
        </w:rPr>
      </w:pPr>
      <w:r>
        <w:rPr>
          <w:rFonts w:hint="eastAsia" w:asciiTheme="minorEastAsia" w:hAnsiTheme="minorEastAsia" w:cstheme="minorEastAsia"/>
          <w:sz w:val="24"/>
        </w:rPr>
        <w:t>2.如果招标文件要求提供证明材料，投标人需将证明材料列于该表之下。</w:t>
      </w:r>
    </w:p>
    <w:p w14:paraId="28FCFD8F">
      <w:pPr>
        <w:spacing w:line="360" w:lineRule="auto"/>
        <w:rPr>
          <w:rFonts w:ascii="仿宋" w:hAnsi="仿宋" w:eastAsia="仿宋"/>
          <w:sz w:val="28"/>
          <w:szCs w:val="28"/>
        </w:rPr>
      </w:pPr>
    </w:p>
    <w:p w14:paraId="220D6780">
      <w:pPr>
        <w:rPr>
          <w:rFonts w:asciiTheme="minorEastAsia" w:hAnsiTheme="minorEastAsia" w:cstheme="minorEastAsia"/>
          <w:sz w:val="24"/>
        </w:rPr>
      </w:pPr>
      <w:r>
        <w:rPr>
          <w:rFonts w:hint="eastAsia" w:asciiTheme="minorEastAsia" w:hAnsiTheme="minorEastAsia" w:cstheme="minorEastAsia"/>
          <w:sz w:val="24"/>
        </w:rPr>
        <w:br w:type="page"/>
      </w:r>
    </w:p>
    <w:p w14:paraId="016F85C4">
      <w:pPr>
        <w:spacing w:line="360" w:lineRule="auto"/>
        <w:rPr>
          <w:rFonts w:asciiTheme="minorEastAsia" w:hAnsiTheme="minorEastAsia" w:cstheme="minorEastAsia"/>
          <w:b/>
          <w:sz w:val="24"/>
        </w:rPr>
      </w:pPr>
      <w:r>
        <w:rPr>
          <w:rFonts w:hint="eastAsia" w:asciiTheme="minorEastAsia" w:hAnsiTheme="minorEastAsia" w:cstheme="minorEastAsia"/>
          <w:b/>
          <w:sz w:val="24"/>
        </w:rPr>
        <w:t>附件4 、商务要求响应及偏离表</w:t>
      </w:r>
    </w:p>
    <w:p w14:paraId="7FB9C4E7">
      <w:pPr>
        <w:spacing w:line="360" w:lineRule="auto"/>
        <w:jc w:val="center"/>
        <w:rPr>
          <w:rFonts w:ascii="仿宋" w:hAnsi="仿宋" w:eastAsia="仿宋"/>
          <w:b/>
          <w:sz w:val="28"/>
          <w:szCs w:val="28"/>
        </w:rPr>
      </w:pPr>
    </w:p>
    <w:p w14:paraId="53FFA0B4">
      <w:pPr>
        <w:spacing w:line="360" w:lineRule="auto"/>
        <w:jc w:val="center"/>
        <w:rPr>
          <w:rFonts w:ascii="黑体" w:hAnsi="黑体" w:eastAsia="黑体" w:cs="黑体"/>
          <w:b/>
          <w:sz w:val="28"/>
          <w:szCs w:val="28"/>
        </w:rPr>
      </w:pPr>
      <w:r>
        <w:rPr>
          <w:rFonts w:hint="eastAsia" w:ascii="黑体" w:hAnsi="黑体" w:eastAsia="黑体" w:cs="黑体"/>
          <w:b/>
          <w:sz w:val="28"/>
          <w:szCs w:val="28"/>
        </w:rPr>
        <w:t>商务要求响应及偏离表</w:t>
      </w: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2953"/>
        <w:gridCol w:w="3280"/>
        <w:gridCol w:w="2186"/>
      </w:tblGrid>
      <w:tr w14:paraId="127CA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10" w:type="pct"/>
            <w:vAlign w:val="center"/>
          </w:tcPr>
          <w:p w14:paraId="1370A42F">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序号</w:t>
            </w:r>
          </w:p>
        </w:tc>
        <w:tc>
          <w:tcPr>
            <w:tcW w:w="1609" w:type="pct"/>
            <w:vAlign w:val="center"/>
          </w:tcPr>
          <w:p w14:paraId="272844B6">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商务要求</w:t>
            </w:r>
          </w:p>
        </w:tc>
        <w:tc>
          <w:tcPr>
            <w:tcW w:w="1787" w:type="pct"/>
            <w:vAlign w:val="center"/>
          </w:tcPr>
          <w:p w14:paraId="3E303B18">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投标响应情况</w:t>
            </w:r>
          </w:p>
        </w:tc>
        <w:tc>
          <w:tcPr>
            <w:tcW w:w="1191" w:type="pct"/>
            <w:vAlign w:val="center"/>
          </w:tcPr>
          <w:p w14:paraId="2C05D572">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超出、符合或偏离</w:t>
            </w:r>
          </w:p>
        </w:tc>
      </w:tr>
      <w:tr w14:paraId="04C7D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410" w:type="pct"/>
          </w:tcPr>
          <w:p w14:paraId="5070F5C7">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w:t>
            </w:r>
          </w:p>
        </w:tc>
        <w:tc>
          <w:tcPr>
            <w:tcW w:w="1609" w:type="pct"/>
          </w:tcPr>
          <w:p w14:paraId="78546948">
            <w:pPr>
              <w:spacing w:line="360" w:lineRule="auto"/>
              <w:jc w:val="center"/>
              <w:rPr>
                <w:rFonts w:asciiTheme="minorEastAsia" w:hAnsiTheme="minorEastAsia" w:cstheme="minorEastAsia"/>
                <w:sz w:val="24"/>
              </w:rPr>
            </w:pPr>
          </w:p>
        </w:tc>
        <w:tc>
          <w:tcPr>
            <w:tcW w:w="1787" w:type="pct"/>
          </w:tcPr>
          <w:p w14:paraId="3C495343">
            <w:pPr>
              <w:spacing w:line="360" w:lineRule="auto"/>
              <w:jc w:val="center"/>
              <w:rPr>
                <w:rFonts w:asciiTheme="minorEastAsia" w:hAnsiTheme="minorEastAsia" w:cstheme="minorEastAsia"/>
                <w:sz w:val="24"/>
              </w:rPr>
            </w:pPr>
          </w:p>
        </w:tc>
        <w:tc>
          <w:tcPr>
            <w:tcW w:w="1191" w:type="pct"/>
          </w:tcPr>
          <w:p w14:paraId="56FBD049">
            <w:pPr>
              <w:spacing w:line="360" w:lineRule="auto"/>
              <w:jc w:val="center"/>
              <w:rPr>
                <w:rFonts w:asciiTheme="minorEastAsia" w:hAnsiTheme="minorEastAsia" w:cstheme="minorEastAsia"/>
                <w:sz w:val="24"/>
              </w:rPr>
            </w:pPr>
          </w:p>
        </w:tc>
      </w:tr>
      <w:tr w14:paraId="7FBA9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410" w:type="pct"/>
          </w:tcPr>
          <w:p w14:paraId="2569DB3A">
            <w:pPr>
              <w:spacing w:line="360" w:lineRule="auto"/>
              <w:jc w:val="center"/>
              <w:rPr>
                <w:rFonts w:asciiTheme="minorEastAsia" w:hAnsiTheme="minorEastAsia" w:cstheme="minorEastAsia"/>
                <w:sz w:val="24"/>
              </w:rPr>
            </w:pPr>
          </w:p>
        </w:tc>
        <w:tc>
          <w:tcPr>
            <w:tcW w:w="1609" w:type="pct"/>
          </w:tcPr>
          <w:p w14:paraId="6FEE8534">
            <w:pPr>
              <w:spacing w:line="360" w:lineRule="auto"/>
              <w:jc w:val="center"/>
              <w:rPr>
                <w:rFonts w:asciiTheme="minorEastAsia" w:hAnsiTheme="minorEastAsia" w:cstheme="minorEastAsia"/>
                <w:sz w:val="24"/>
              </w:rPr>
            </w:pPr>
            <w:r>
              <w:rPr>
                <w:rFonts w:hint="eastAsia" w:asciiTheme="minorEastAsia" w:hAnsiTheme="minorEastAsia" w:cstheme="minorEastAsia"/>
                <w:sz w:val="24"/>
              </w:rPr>
              <w:t>……</w:t>
            </w:r>
          </w:p>
        </w:tc>
        <w:tc>
          <w:tcPr>
            <w:tcW w:w="1787" w:type="pct"/>
          </w:tcPr>
          <w:p w14:paraId="3A8C01B7">
            <w:pPr>
              <w:spacing w:line="360" w:lineRule="auto"/>
              <w:jc w:val="center"/>
              <w:rPr>
                <w:rFonts w:asciiTheme="minorEastAsia" w:hAnsiTheme="minorEastAsia" w:cstheme="minorEastAsia"/>
                <w:sz w:val="24"/>
              </w:rPr>
            </w:pPr>
          </w:p>
        </w:tc>
        <w:tc>
          <w:tcPr>
            <w:tcW w:w="1191" w:type="pct"/>
          </w:tcPr>
          <w:p w14:paraId="5B9AAE1D">
            <w:pPr>
              <w:spacing w:line="360" w:lineRule="auto"/>
              <w:jc w:val="center"/>
              <w:rPr>
                <w:rFonts w:asciiTheme="minorEastAsia" w:hAnsiTheme="minorEastAsia" w:cstheme="minorEastAsia"/>
                <w:sz w:val="24"/>
              </w:rPr>
            </w:pPr>
          </w:p>
        </w:tc>
      </w:tr>
    </w:tbl>
    <w:p w14:paraId="1ED38AD0">
      <w:pPr>
        <w:spacing w:line="360" w:lineRule="auto"/>
        <w:rPr>
          <w:rFonts w:asciiTheme="minorEastAsia" w:hAnsiTheme="minorEastAsia" w:cstheme="minorEastAsia"/>
          <w:sz w:val="24"/>
        </w:rPr>
      </w:pPr>
      <w:r>
        <w:rPr>
          <w:rFonts w:hint="eastAsia" w:asciiTheme="minorEastAsia" w:hAnsiTheme="minorEastAsia" w:cstheme="minorEastAsia"/>
          <w:sz w:val="24"/>
        </w:rPr>
        <w:t>附件4-1  证明材料1，证明材料2，……</w:t>
      </w:r>
    </w:p>
    <w:p w14:paraId="1F927636">
      <w:pPr>
        <w:spacing w:line="360" w:lineRule="auto"/>
        <w:rPr>
          <w:rFonts w:asciiTheme="minorEastAsia" w:hAnsiTheme="minorEastAsia" w:cstheme="minorEastAsia"/>
          <w:sz w:val="24"/>
        </w:rPr>
      </w:pPr>
      <w:r>
        <w:rPr>
          <w:rFonts w:hint="eastAsia" w:asciiTheme="minorEastAsia" w:hAnsiTheme="minorEastAsia" w:cstheme="minorEastAsia"/>
          <w:sz w:val="24"/>
        </w:rPr>
        <w:t>备注：</w:t>
      </w:r>
    </w:p>
    <w:p w14:paraId="1B1C086D">
      <w:pPr>
        <w:spacing w:line="360" w:lineRule="auto"/>
        <w:rPr>
          <w:rFonts w:asciiTheme="minorEastAsia" w:hAnsiTheme="minorEastAsia" w:cstheme="minorEastAsia"/>
          <w:sz w:val="24"/>
        </w:rPr>
      </w:pPr>
      <w:r>
        <w:rPr>
          <w:rFonts w:hint="eastAsia" w:asciiTheme="minorEastAsia" w:hAnsiTheme="minorEastAsia" w:cstheme="minorEastAsia"/>
          <w:sz w:val="24"/>
        </w:rPr>
        <w:t>1.投标人需对商务要求（未加</w:t>
      </w:r>
      <w:r>
        <w:rPr>
          <w:rFonts w:hint="eastAsia" w:ascii="宋体" w:hAnsi="宋体"/>
          <w:b/>
          <w:sz w:val="24"/>
        </w:rPr>
        <w:t>“★”项</w:t>
      </w:r>
      <w:r>
        <w:rPr>
          <w:rFonts w:hint="eastAsia" w:asciiTheme="minorEastAsia" w:hAnsiTheme="minorEastAsia" w:cstheme="minorEastAsia"/>
          <w:sz w:val="24"/>
        </w:rPr>
        <w:t>的非实质性要求）逐条做出明确响应。</w:t>
      </w:r>
    </w:p>
    <w:p w14:paraId="58CBC6DA">
      <w:pPr>
        <w:spacing w:line="360" w:lineRule="auto"/>
        <w:rPr>
          <w:rFonts w:ascii="仿宋" w:hAnsi="仿宋" w:eastAsia="仿宋"/>
          <w:sz w:val="28"/>
          <w:szCs w:val="28"/>
        </w:rPr>
      </w:pPr>
      <w:r>
        <w:rPr>
          <w:rFonts w:hint="eastAsia" w:asciiTheme="minorEastAsia" w:hAnsiTheme="minorEastAsia" w:cstheme="minorEastAsia"/>
          <w:sz w:val="24"/>
        </w:rPr>
        <w:t>2.如果招标文件要求提供证明材料，投标人需将证明材料列于该表之下。</w:t>
      </w:r>
    </w:p>
    <w:p w14:paraId="1FF0A58A">
      <w:pPr>
        <w:rPr>
          <w:rFonts w:asciiTheme="minorEastAsia" w:hAnsiTheme="minorEastAsia" w:cstheme="minorEastAsia"/>
          <w:b/>
          <w:bCs/>
          <w:sz w:val="24"/>
        </w:rPr>
      </w:pPr>
      <w:r>
        <w:rPr>
          <w:rFonts w:hint="eastAsia" w:asciiTheme="minorEastAsia" w:hAnsiTheme="minorEastAsia" w:cstheme="minorEastAsia"/>
          <w:b/>
          <w:bCs/>
          <w:sz w:val="24"/>
        </w:rPr>
        <w:br w:type="page"/>
      </w:r>
    </w:p>
    <w:p w14:paraId="77602FB1">
      <w:pPr>
        <w:pStyle w:val="21"/>
        <w:ind w:firstLine="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附件5、投标人符合《政府采购法》第二十二条规定条件的声明函</w:t>
      </w:r>
      <w:r>
        <w:rPr>
          <w:rFonts w:hint="eastAsia" w:asciiTheme="minorEastAsia" w:hAnsiTheme="minorEastAsia" w:eastAsiaTheme="minorEastAsia" w:cstheme="minorEastAsia"/>
          <w:b/>
          <w:bCs/>
          <w:sz w:val="24"/>
          <w:szCs w:val="24"/>
        </w:rPr>
        <w:t xml:space="preserve">                        </w:t>
      </w:r>
    </w:p>
    <w:p w14:paraId="0D6415AB">
      <w:pPr>
        <w:spacing w:line="360" w:lineRule="auto"/>
        <w:jc w:val="center"/>
        <w:rPr>
          <w:rFonts w:ascii="黑体" w:hAnsi="黑体" w:eastAsia="黑体" w:cs="黑体"/>
          <w:b/>
          <w:sz w:val="28"/>
          <w:szCs w:val="28"/>
        </w:rPr>
      </w:pPr>
    </w:p>
    <w:p w14:paraId="282349E8">
      <w:pPr>
        <w:spacing w:line="360" w:lineRule="auto"/>
        <w:jc w:val="center"/>
        <w:rPr>
          <w:rFonts w:ascii="黑体" w:hAnsi="黑体" w:eastAsia="黑体" w:cs="黑体"/>
          <w:bCs/>
          <w:sz w:val="28"/>
          <w:szCs w:val="28"/>
        </w:rPr>
      </w:pPr>
      <w:r>
        <w:rPr>
          <w:rFonts w:hint="eastAsia" w:ascii="黑体" w:hAnsi="黑体" w:eastAsia="黑体" w:cs="黑体"/>
          <w:b/>
          <w:sz w:val="28"/>
          <w:szCs w:val="28"/>
        </w:rPr>
        <w:t>投标人符合《政府采购法》第二十二条规定条件的声明函</w:t>
      </w:r>
    </w:p>
    <w:p w14:paraId="1FADBE8E">
      <w:pPr>
        <w:spacing w:line="360" w:lineRule="auto"/>
        <w:ind w:firstLine="480"/>
        <w:rPr>
          <w:rFonts w:asciiTheme="minorEastAsia" w:hAnsiTheme="minorEastAsia" w:cstheme="minorEastAsia"/>
          <w:b/>
          <w:bCs/>
          <w:sz w:val="24"/>
        </w:rPr>
      </w:pPr>
      <w:r>
        <w:rPr>
          <w:rFonts w:hint="eastAsia" w:asciiTheme="minorEastAsia" w:hAnsiTheme="minorEastAsia" w:cstheme="minorEastAsia"/>
          <w:bCs/>
          <w:sz w:val="24"/>
        </w:rPr>
        <w:t>我单位参加</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（项目名称），</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（项目编号）投标活动。针对《中华人民共和国政府采购法》第二十二条规定做出如下声明：</w:t>
      </w:r>
    </w:p>
    <w:p w14:paraId="12561E6B">
      <w:pPr>
        <w:spacing w:line="360" w:lineRule="auto"/>
        <w:ind w:firstLine="482"/>
        <w:rPr>
          <w:rFonts w:asciiTheme="minorEastAsia" w:hAnsiTheme="minorEastAsia" w:cstheme="minorEastAsia"/>
          <w:sz w:val="24"/>
        </w:rPr>
      </w:pPr>
      <w:r>
        <w:rPr>
          <w:rFonts w:hint="eastAsia" w:asciiTheme="minorEastAsia" w:hAnsiTheme="minorEastAsia" w:cstheme="minorEastAsia"/>
          <w:bCs/>
          <w:sz w:val="24"/>
        </w:rPr>
        <w:t>1.我单位具有独立承担民事责任的能力；</w:t>
      </w:r>
    </w:p>
    <w:p w14:paraId="5835090B">
      <w:pPr>
        <w:spacing w:line="360" w:lineRule="auto"/>
        <w:ind w:firstLine="482"/>
        <w:rPr>
          <w:rFonts w:asciiTheme="minorEastAsia" w:hAnsiTheme="minorEastAsia" w:cstheme="minorEastAsia"/>
          <w:sz w:val="24"/>
        </w:rPr>
      </w:pPr>
      <w:r>
        <w:rPr>
          <w:rFonts w:hint="eastAsia" w:asciiTheme="minorEastAsia" w:hAnsiTheme="minorEastAsia" w:cstheme="minorEastAsia"/>
          <w:sz w:val="24"/>
        </w:rPr>
        <w:t>2.我单位具有良好的商业信誉和健全的财务会计制度；</w:t>
      </w:r>
    </w:p>
    <w:p w14:paraId="2D702FBF">
      <w:pPr>
        <w:spacing w:line="360" w:lineRule="auto"/>
        <w:ind w:firstLine="482"/>
        <w:rPr>
          <w:rFonts w:asciiTheme="minorEastAsia" w:hAnsiTheme="minorEastAsia" w:cstheme="minorEastAsia"/>
          <w:sz w:val="24"/>
        </w:rPr>
      </w:pPr>
      <w:r>
        <w:rPr>
          <w:rFonts w:hint="eastAsia" w:asciiTheme="minorEastAsia" w:hAnsiTheme="minorEastAsia" w:cstheme="minorEastAsia"/>
          <w:sz w:val="24"/>
        </w:rPr>
        <w:t>3.我单位具有履行合同所必需的设备和专业技术能力；</w:t>
      </w:r>
    </w:p>
    <w:p w14:paraId="2FCE9D06">
      <w:pPr>
        <w:spacing w:line="360" w:lineRule="auto"/>
        <w:ind w:firstLine="482"/>
        <w:rPr>
          <w:rFonts w:asciiTheme="minorEastAsia" w:hAnsiTheme="minorEastAsia" w:cstheme="minorEastAsia"/>
          <w:sz w:val="24"/>
        </w:rPr>
      </w:pPr>
      <w:r>
        <w:rPr>
          <w:rFonts w:hint="eastAsia" w:asciiTheme="minorEastAsia" w:hAnsiTheme="minorEastAsia" w:cstheme="minorEastAsia"/>
          <w:sz w:val="24"/>
        </w:rPr>
        <w:t>4.我单位有依法缴纳税收和社会保障资金的良好记录；</w:t>
      </w:r>
    </w:p>
    <w:p w14:paraId="30C558DC">
      <w:pPr>
        <w:spacing w:line="360" w:lineRule="auto"/>
        <w:ind w:firstLine="482"/>
        <w:rPr>
          <w:rFonts w:asciiTheme="minorEastAsia" w:hAnsiTheme="minorEastAsia" w:cstheme="minorEastAsia"/>
          <w:sz w:val="24"/>
        </w:rPr>
      </w:pPr>
      <w:r>
        <w:rPr>
          <w:rFonts w:hint="eastAsia" w:asciiTheme="minorEastAsia" w:hAnsiTheme="minorEastAsia" w:cstheme="minor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8F598A8">
      <w:pPr>
        <w:spacing w:line="360" w:lineRule="auto"/>
        <w:ind w:firstLine="482"/>
        <w:rPr>
          <w:rFonts w:asciiTheme="minorEastAsia" w:hAnsiTheme="minorEastAsia" w:cstheme="minorEastAsia"/>
          <w:sz w:val="24"/>
        </w:rPr>
      </w:pPr>
      <w:r>
        <w:rPr>
          <w:rFonts w:hint="eastAsia" w:asciiTheme="minorEastAsia" w:hAnsiTheme="minorEastAsia" w:cstheme="minorEastAsia"/>
          <w:sz w:val="24"/>
        </w:rPr>
        <w:t>6.我单位满足法律、行政法规规定的其他条件。</w:t>
      </w:r>
    </w:p>
    <w:p w14:paraId="12F4ED5D">
      <w:pPr>
        <w:spacing w:line="360" w:lineRule="auto"/>
        <w:jc w:val="center"/>
        <w:rPr>
          <w:rFonts w:asciiTheme="minorEastAsia" w:hAnsiTheme="minorEastAsia" w:cstheme="minorEastAsia"/>
          <w:bCs/>
          <w:sz w:val="24"/>
        </w:rPr>
      </w:pPr>
      <w:r>
        <w:rPr>
          <w:rFonts w:hint="eastAsia" w:asciiTheme="minorEastAsia" w:hAnsiTheme="minorEastAsia" w:cstheme="minorEastAsia"/>
          <w:bCs/>
          <w:sz w:val="24"/>
        </w:rPr>
        <w:t xml:space="preserve">                                        </w:t>
      </w:r>
    </w:p>
    <w:p w14:paraId="368B5C8B">
      <w:pPr>
        <w:spacing w:line="360" w:lineRule="auto"/>
        <w:jc w:val="center"/>
        <w:rPr>
          <w:rFonts w:asciiTheme="minorEastAsia" w:hAnsiTheme="minorEastAsia" w:cstheme="minorEastAsia"/>
          <w:bCs/>
          <w:sz w:val="24"/>
        </w:rPr>
      </w:pPr>
      <w:r>
        <w:rPr>
          <w:rFonts w:hint="eastAsia" w:asciiTheme="minorEastAsia" w:hAnsiTheme="minorEastAsia" w:cstheme="minorEastAsia"/>
          <w:bCs/>
          <w:sz w:val="24"/>
        </w:rPr>
        <w:t xml:space="preserve">                            承诺人名称（公章）：</w:t>
      </w:r>
    </w:p>
    <w:p w14:paraId="017A1124">
      <w:pPr>
        <w:spacing w:line="360" w:lineRule="auto"/>
        <w:jc w:val="right"/>
        <w:rPr>
          <w:rFonts w:asciiTheme="minorEastAsia" w:hAnsiTheme="minorEastAsia" w:cstheme="minorEastAsia"/>
          <w:bCs/>
          <w:sz w:val="24"/>
        </w:rPr>
      </w:pPr>
      <w:r>
        <w:rPr>
          <w:rFonts w:hint="eastAsia" w:asciiTheme="minorEastAsia" w:hAnsiTheme="minorEastAsia" w:cstheme="minorEastAsia"/>
          <w:bCs/>
          <w:sz w:val="24"/>
        </w:rPr>
        <w:t xml:space="preserve">    </w:t>
      </w:r>
    </w:p>
    <w:p w14:paraId="413F13D6">
      <w:pPr>
        <w:spacing w:line="360" w:lineRule="auto"/>
        <w:jc w:val="right"/>
        <w:rPr>
          <w:rFonts w:asciiTheme="minorEastAsia" w:hAnsiTheme="minorEastAsia" w:cstheme="minorEastAsia"/>
          <w:bCs/>
          <w:sz w:val="24"/>
        </w:rPr>
      </w:pPr>
      <w:r>
        <w:rPr>
          <w:rFonts w:hint="eastAsia" w:asciiTheme="minorEastAsia" w:hAnsiTheme="minorEastAsia" w:cstheme="minorEastAsia"/>
          <w:bCs/>
          <w:sz w:val="24"/>
        </w:rPr>
        <w:t xml:space="preserve">                                 日期：</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年</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月</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日</w:t>
      </w:r>
    </w:p>
    <w:p w14:paraId="1D35459D">
      <w:pPr>
        <w:spacing w:line="360" w:lineRule="auto"/>
        <w:ind w:firstLine="480" w:firstLineChars="200"/>
        <w:rPr>
          <w:rFonts w:asciiTheme="minorEastAsia" w:hAnsiTheme="minorEastAsia" w:cstheme="minorEastAsia"/>
          <w:sz w:val="24"/>
        </w:rPr>
      </w:pPr>
    </w:p>
    <w:p w14:paraId="1A5D46D4">
      <w:pPr>
        <w:rPr>
          <w:rFonts w:asciiTheme="minorEastAsia" w:hAnsiTheme="minorEastAsia" w:cstheme="minorEastAsia"/>
          <w:sz w:val="24"/>
        </w:rPr>
      </w:pPr>
      <w:r>
        <w:rPr>
          <w:rFonts w:hint="eastAsia" w:asciiTheme="minorEastAsia" w:hAnsiTheme="minorEastAsia" w:cstheme="minorEastAsia"/>
          <w:sz w:val="24"/>
        </w:rPr>
        <w:br w:type="page"/>
      </w:r>
    </w:p>
    <w:p w14:paraId="43B014DA">
      <w:pPr>
        <w:pStyle w:val="21"/>
        <w:ind w:firstLine="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附件6、法人授权书</w:t>
      </w:r>
    </w:p>
    <w:p w14:paraId="230C4A44">
      <w:pPr>
        <w:pStyle w:val="23"/>
        <w:spacing w:line="360" w:lineRule="auto"/>
        <w:ind w:firstLine="480" w:firstLineChars="200"/>
        <w:rPr>
          <w:rFonts w:asciiTheme="minorEastAsia" w:hAnsiTheme="minorEastAsia" w:cstheme="minorEastAsia"/>
          <w:sz w:val="24"/>
          <w:szCs w:val="24"/>
        </w:rPr>
      </w:pPr>
    </w:p>
    <w:p w14:paraId="695227DA">
      <w:pPr>
        <w:spacing w:line="360" w:lineRule="auto"/>
        <w:ind w:firstLine="480"/>
        <w:jc w:val="center"/>
        <w:rPr>
          <w:rFonts w:ascii="黑体" w:hAnsi="黑体" w:eastAsia="黑体" w:cs="黑体"/>
          <w:bCs/>
          <w:sz w:val="28"/>
          <w:szCs w:val="28"/>
        </w:rPr>
      </w:pPr>
      <w:r>
        <w:rPr>
          <w:rFonts w:hint="eastAsia" w:ascii="黑体" w:hAnsi="黑体" w:eastAsia="黑体" w:cs="黑体"/>
          <w:b/>
          <w:sz w:val="28"/>
          <w:szCs w:val="28"/>
        </w:rPr>
        <w:t>法人授权书</w:t>
      </w:r>
    </w:p>
    <w:p w14:paraId="607E7E8D">
      <w:pPr>
        <w:tabs>
          <w:tab w:val="left" w:pos="360"/>
        </w:tabs>
        <w:spacing w:line="360" w:lineRule="auto"/>
        <w:ind w:firstLine="560"/>
        <w:rPr>
          <w:rFonts w:asciiTheme="minorEastAsia" w:hAnsiTheme="minorEastAsia" w:cstheme="minorEastAsia"/>
          <w:sz w:val="24"/>
        </w:rPr>
      </w:pPr>
      <w:r>
        <w:rPr>
          <w:rFonts w:hint="eastAsia" w:asciiTheme="minorEastAsia" w:hAnsiTheme="minorEastAsia" w:cstheme="minorEastAsia"/>
          <w:sz w:val="24"/>
        </w:rPr>
        <w:t>本授权书声明：</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（投标人名称）授权</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（被授权人的姓名）为我方就</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rPr>
        <w:t>号项目采购活动的合法代理人，以本单位名义全权处理一切与该项目采购有关的事务。</w:t>
      </w:r>
    </w:p>
    <w:p w14:paraId="7442A9D9">
      <w:pPr>
        <w:tabs>
          <w:tab w:val="left" w:pos="360"/>
        </w:tabs>
        <w:spacing w:line="360" w:lineRule="auto"/>
        <w:ind w:firstLine="560"/>
        <w:rPr>
          <w:rFonts w:asciiTheme="minorEastAsia" w:hAnsiTheme="minorEastAsia" w:cstheme="minorEastAsia"/>
          <w:sz w:val="24"/>
        </w:rPr>
      </w:pPr>
      <w:r>
        <w:rPr>
          <w:rFonts w:hint="eastAsia" w:asciiTheme="minorEastAsia" w:hAnsiTheme="minorEastAsia" w:cstheme="minorEastAsia"/>
          <w:sz w:val="24"/>
        </w:rPr>
        <w:t>本授权书于______年____月____日起生效，特此声明。</w:t>
      </w:r>
    </w:p>
    <w:p w14:paraId="6803292A">
      <w:pPr>
        <w:tabs>
          <w:tab w:val="left" w:pos="360"/>
        </w:tabs>
        <w:spacing w:line="360" w:lineRule="auto"/>
        <w:rPr>
          <w:rFonts w:asciiTheme="minorEastAsia" w:hAnsiTheme="minorEastAsia" w:cstheme="minorEastAsia"/>
          <w:sz w:val="24"/>
          <w:u w:val="single"/>
        </w:rPr>
      </w:pPr>
      <w:r>
        <w:rPr>
          <w:rFonts w:hint="eastAsia" w:asciiTheme="minorEastAsia" w:hAnsiTheme="minorEastAsia" w:cstheme="minorEastAsia"/>
          <w:sz w:val="24"/>
        </w:rPr>
        <w:t xml:space="preserve">    被授权人身份证号码：</w:t>
      </w:r>
      <w:r>
        <w:rPr>
          <w:rFonts w:hint="eastAsia" w:asciiTheme="minorEastAsia" w:hAnsiTheme="minorEastAsia" w:cstheme="minorEastAsia"/>
          <w:sz w:val="24"/>
          <w:u w:val="single"/>
        </w:rPr>
        <w:t xml:space="preserve">                              </w:t>
      </w:r>
    </w:p>
    <w:p w14:paraId="76C1834E">
      <w:pPr>
        <w:tabs>
          <w:tab w:val="left" w:pos="360"/>
        </w:tabs>
        <w:spacing w:line="360" w:lineRule="auto"/>
        <w:rPr>
          <w:rFonts w:asciiTheme="minorEastAsia" w:hAnsiTheme="minorEastAsia" w:cstheme="minorEastAsia"/>
          <w:sz w:val="24"/>
          <w:u w:val="single"/>
        </w:rPr>
      </w:pPr>
      <w:r>
        <w:rPr>
          <w:rFonts w:hint="eastAsia" w:asciiTheme="minorEastAsia" w:hAnsiTheme="minorEastAsia" w:cstheme="minorEastAsia"/>
          <w:sz w:val="24"/>
        </w:rPr>
        <w:t xml:space="preserve">    被授权人联系电话：（手机）</w:t>
      </w:r>
      <w:r>
        <w:rPr>
          <w:rFonts w:hint="eastAsia" w:asciiTheme="minorEastAsia" w:hAnsiTheme="minorEastAsia" w:cstheme="minorEastAsia"/>
          <w:sz w:val="24"/>
          <w:u w:val="single"/>
        </w:rPr>
        <w:t xml:space="preserve">                          </w:t>
      </w:r>
    </w:p>
    <w:p w14:paraId="6577BC3E">
      <w:pPr>
        <w:tabs>
          <w:tab w:val="left" w:pos="360"/>
        </w:tabs>
        <w:spacing w:line="360" w:lineRule="auto"/>
        <w:ind w:firstLine="560"/>
        <w:rPr>
          <w:rFonts w:asciiTheme="minorEastAsia" w:hAnsiTheme="minorEastAsia" w:cstheme="minorEastAsia"/>
          <w:sz w:val="24"/>
        </w:rPr>
      </w:pPr>
      <w:r>
        <w:rPr>
          <w:rFonts w:hint="eastAsia" w:asciiTheme="minorEastAsia" w:hAnsiTheme="minorEastAsia" w:cstheme="minorEastAsia"/>
          <w:sz w:val="24"/>
        </w:rPr>
        <w:t>授权单位名称：</w:t>
      </w:r>
      <w:r>
        <w:rPr>
          <w:rFonts w:hint="eastAsia" w:asciiTheme="minorEastAsia" w:hAnsiTheme="minorEastAsia" w:cstheme="minorEastAsia"/>
          <w:sz w:val="24"/>
          <w:u w:val="single"/>
        </w:rPr>
        <w:t>（加盖公章）</w:t>
      </w:r>
    </w:p>
    <w:p w14:paraId="24DA4D2C">
      <w:pPr>
        <w:tabs>
          <w:tab w:val="left" w:pos="360"/>
        </w:tabs>
        <w:spacing w:line="360" w:lineRule="auto"/>
        <w:ind w:firstLine="560"/>
        <w:rPr>
          <w:rFonts w:asciiTheme="minorEastAsia" w:hAnsiTheme="minorEastAsia" w:cstheme="minorEastAsia"/>
          <w:sz w:val="24"/>
          <w:u w:val="single"/>
        </w:rPr>
      </w:pPr>
      <w:r>
        <w:rPr>
          <w:rFonts w:hint="eastAsia" w:asciiTheme="minorEastAsia" w:hAnsiTheme="minorEastAsia" w:cstheme="minorEastAsia"/>
          <w:sz w:val="24"/>
        </w:rPr>
        <w:t>单位地址：</w:t>
      </w:r>
      <w:r>
        <w:rPr>
          <w:rFonts w:hint="eastAsia" w:asciiTheme="minorEastAsia" w:hAnsiTheme="minorEastAsia" w:cstheme="minorEastAsia"/>
          <w:sz w:val="24"/>
          <w:u w:val="single"/>
        </w:rPr>
        <w:t xml:space="preserve">                                         </w:t>
      </w:r>
    </w:p>
    <w:p w14:paraId="4E56D2D6">
      <w:pPr>
        <w:pStyle w:val="24"/>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r>
        <w:rPr>
          <w:rFonts w:ascii="仿宋" w:hAnsi="仿宋" w:eastAsia="仿宋" w:cs="Arial"/>
          <w:b/>
          <w:sz w:val="28"/>
          <w:szCs w:val="28"/>
        </w:rPr>
        <w:br w:type="page" w:clear="all"/>
      </w:r>
    </w:p>
    <w:p w14:paraId="554AFD48">
      <w:pPr>
        <w:pStyle w:val="21"/>
        <w:ind w:firstLine="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附件7、投标函</w:t>
      </w:r>
    </w:p>
    <w:p w14:paraId="7DC71825">
      <w:pPr>
        <w:pStyle w:val="20"/>
        <w:spacing w:before="0" w:after="0"/>
        <w:ind w:firstLineChars="200"/>
        <w:rPr>
          <w:rFonts w:asciiTheme="minorEastAsia" w:hAnsiTheme="minorEastAsia" w:cstheme="minorEastAsia"/>
        </w:rPr>
      </w:pPr>
    </w:p>
    <w:p w14:paraId="08412F8B">
      <w:pPr>
        <w:tabs>
          <w:tab w:val="left" w:pos="360"/>
        </w:tabs>
        <w:spacing w:line="360" w:lineRule="auto"/>
        <w:jc w:val="center"/>
        <w:rPr>
          <w:rFonts w:ascii="黑体" w:hAnsi="黑体" w:eastAsia="黑体" w:cs="黑体"/>
          <w:sz w:val="28"/>
          <w:szCs w:val="28"/>
        </w:rPr>
      </w:pPr>
      <w:r>
        <w:rPr>
          <w:rFonts w:hint="eastAsia" w:ascii="黑体" w:hAnsi="黑体" w:eastAsia="黑体" w:cs="黑体"/>
          <w:b/>
          <w:sz w:val="28"/>
          <w:szCs w:val="28"/>
        </w:rPr>
        <w:t>投标函</w:t>
      </w:r>
    </w:p>
    <w:p w14:paraId="5E0AC0AF">
      <w:pPr>
        <w:spacing w:line="360" w:lineRule="auto"/>
        <w:jc w:val="left"/>
        <w:rPr>
          <w:rFonts w:asciiTheme="minorEastAsia" w:hAnsiTheme="minorEastAsia" w:cstheme="minorEastAsia"/>
          <w:sz w:val="24"/>
        </w:rPr>
      </w:pPr>
      <w:r>
        <w:rPr>
          <w:rFonts w:hint="eastAsia" w:asciiTheme="minorEastAsia" w:hAnsiTheme="minorEastAsia" w:cstheme="minorEastAsia"/>
          <w:sz w:val="24"/>
        </w:rPr>
        <w:t>致：</w:t>
      </w:r>
      <w:r>
        <w:rPr>
          <w:rFonts w:hint="eastAsia" w:ascii="Times New Roman" w:hAnsi="Times New Roman"/>
          <w:bCs/>
          <w:sz w:val="24"/>
        </w:rPr>
        <w:t>南通市公安局通州湾示范区分局</w:t>
      </w:r>
    </w:p>
    <w:p w14:paraId="14F8225A">
      <w:pPr>
        <w:spacing w:line="360" w:lineRule="auto"/>
        <w:ind w:firstLine="560"/>
        <w:jc w:val="left"/>
        <w:rPr>
          <w:rFonts w:asciiTheme="minorEastAsia" w:hAnsiTheme="minorEastAsia" w:cstheme="minorEastAsia"/>
          <w:sz w:val="24"/>
        </w:rPr>
      </w:pPr>
      <w:r>
        <w:rPr>
          <w:rFonts w:hint="eastAsia" w:asciiTheme="minorEastAsia" w:hAnsiTheme="minorEastAsia" w:cstheme="minorEastAsia"/>
          <w:sz w:val="24"/>
        </w:rPr>
        <w:t>根据贵方的</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rPr>
        <w:t>招标文件，正式授权下述签字人_____(姓名)代表我方_______（投标人的名称），全权处理本次项目投标的有关事宜。</w:t>
      </w:r>
    </w:p>
    <w:p w14:paraId="6FC7AB80">
      <w:pPr>
        <w:spacing w:line="360" w:lineRule="auto"/>
        <w:ind w:firstLine="560"/>
        <w:jc w:val="left"/>
        <w:rPr>
          <w:rFonts w:asciiTheme="minorEastAsia" w:hAnsiTheme="minorEastAsia" w:cstheme="minorEastAsia"/>
          <w:sz w:val="24"/>
        </w:rPr>
      </w:pPr>
      <w:r>
        <w:rPr>
          <w:rFonts w:hint="eastAsia" w:asciiTheme="minorEastAsia" w:hAnsiTheme="minorEastAsia" w:cstheme="minorEastAsia"/>
          <w:sz w:val="24"/>
        </w:rPr>
        <w:t>据此函，__________签字人兹宣布同意如下：</w:t>
      </w:r>
    </w:p>
    <w:p w14:paraId="2A282B82">
      <w:pPr>
        <w:spacing w:line="360" w:lineRule="auto"/>
        <w:ind w:firstLine="480"/>
        <w:jc w:val="left"/>
        <w:rPr>
          <w:rFonts w:asciiTheme="minorEastAsia" w:hAnsiTheme="minorEastAsia" w:cstheme="minorEastAsia"/>
          <w:sz w:val="24"/>
        </w:rPr>
      </w:pPr>
      <w:r>
        <w:rPr>
          <w:rFonts w:hint="eastAsia" w:asciiTheme="minorEastAsia" w:hAnsiTheme="minorEastAsia" w:cstheme="minorEastAsia"/>
          <w:sz w:val="24"/>
        </w:rPr>
        <w:t>1.按招标文件规定的各项要求，向买方提供所需货物（包含与货物相关的服务）。</w:t>
      </w:r>
    </w:p>
    <w:p w14:paraId="7D105DAF">
      <w:pPr>
        <w:spacing w:line="360" w:lineRule="auto"/>
        <w:ind w:firstLine="560"/>
        <w:jc w:val="left"/>
        <w:rPr>
          <w:rFonts w:asciiTheme="minorEastAsia" w:hAnsiTheme="minorEastAsia" w:cstheme="minorEastAsia"/>
          <w:sz w:val="24"/>
        </w:rPr>
      </w:pPr>
      <w:r>
        <w:rPr>
          <w:rFonts w:hint="eastAsia" w:asciiTheme="minorEastAsia" w:hAnsiTheme="minorEastAsia" w:cstheme="minorEastAsia"/>
          <w:sz w:val="24"/>
        </w:rPr>
        <w:t>2.我们完全理解贵方不一定将合同授予最低报价的投标人。</w:t>
      </w:r>
    </w:p>
    <w:p w14:paraId="0A9171E9">
      <w:pPr>
        <w:spacing w:line="360" w:lineRule="auto"/>
        <w:ind w:firstLine="560"/>
        <w:jc w:val="left"/>
        <w:rPr>
          <w:rFonts w:asciiTheme="minorEastAsia" w:hAnsiTheme="minorEastAsia" w:cstheme="minorEastAsia"/>
          <w:sz w:val="24"/>
        </w:rPr>
      </w:pPr>
      <w:r>
        <w:rPr>
          <w:rFonts w:hint="eastAsia" w:asciiTheme="minorEastAsia" w:hAnsiTheme="minorEastAsia" w:cstheme="minorEastAsia"/>
          <w:sz w:val="24"/>
        </w:rPr>
        <w:t>3.我们已详细审核全部招标文件及其有效补充文件，我们知道必须放弃提出含糊不清或误解问题的权利。</w:t>
      </w:r>
    </w:p>
    <w:p w14:paraId="4A636DD6">
      <w:pPr>
        <w:spacing w:line="360" w:lineRule="auto"/>
        <w:ind w:firstLine="480"/>
        <w:jc w:val="left"/>
        <w:rPr>
          <w:rFonts w:asciiTheme="minorEastAsia" w:hAnsiTheme="minorEastAsia" w:cstheme="minorEastAsia"/>
          <w:sz w:val="24"/>
        </w:rPr>
      </w:pPr>
      <w:r>
        <w:rPr>
          <w:rFonts w:hint="eastAsia" w:asciiTheme="minorEastAsia" w:hAnsiTheme="minorEastAsia" w:cstheme="minorEastAsia"/>
          <w:sz w:val="24"/>
        </w:rPr>
        <w:t>4.我们同意从规定的开标日期起遵循本投标文件，并在规定的投标有效期期满之前均具有约束力。</w:t>
      </w:r>
    </w:p>
    <w:p w14:paraId="77796ABB">
      <w:pPr>
        <w:spacing w:line="360" w:lineRule="auto"/>
        <w:ind w:firstLine="480"/>
        <w:jc w:val="left"/>
        <w:rPr>
          <w:rFonts w:asciiTheme="minorEastAsia" w:hAnsiTheme="minorEastAsia" w:cstheme="minorEastAsia"/>
          <w:sz w:val="24"/>
        </w:rPr>
      </w:pPr>
      <w:r>
        <w:rPr>
          <w:rFonts w:hint="eastAsia" w:asciiTheme="minorEastAsia" w:hAnsiTheme="minorEastAsia" w:cstheme="minorEastAsia"/>
          <w:sz w:val="24"/>
        </w:rPr>
        <w:t>5.同意向贵方提供贵方可能另外要求的与投标有关的任何证据或资料，并保证我方已提供和将要提供的文件是真实的、准确的。</w:t>
      </w:r>
    </w:p>
    <w:p w14:paraId="732BAE7E">
      <w:pPr>
        <w:spacing w:line="360" w:lineRule="auto"/>
        <w:ind w:firstLine="480"/>
        <w:jc w:val="left"/>
        <w:rPr>
          <w:rFonts w:asciiTheme="minorEastAsia" w:hAnsiTheme="minorEastAsia" w:cstheme="minorEastAsia"/>
          <w:sz w:val="24"/>
        </w:rPr>
      </w:pPr>
      <w:r>
        <w:rPr>
          <w:rFonts w:hint="eastAsia" w:asciiTheme="minorEastAsia" w:hAnsiTheme="minorEastAsia" w:cstheme="minorEastAsia"/>
          <w:sz w:val="24"/>
        </w:rPr>
        <w:t>6.一旦我方中标,我方将根据招标文件的规定，严格履行合同的责任和义务,并保证在招标文件规定的时间完成项目，交付买方验收、使用。</w:t>
      </w:r>
    </w:p>
    <w:p w14:paraId="2C2CB962">
      <w:pPr>
        <w:spacing w:line="360" w:lineRule="auto"/>
        <w:ind w:left="425"/>
        <w:jc w:val="left"/>
        <w:rPr>
          <w:rFonts w:asciiTheme="minorEastAsia" w:hAnsiTheme="minorEastAsia" w:cstheme="minorEastAsia"/>
          <w:sz w:val="24"/>
        </w:rPr>
      </w:pPr>
      <w:r>
        <w:rPr>
          <w:rFonts w:hint="eastAsia" w:asciiTheme="minorEastAsia" w:hAnsiTheme="minorEastAsia" w:cstheme="minorEastAsia"/>
          <w:sz w:val="24"/>
        </w:rPr>
        <w:t>7.与本投标有关的正式通讯地址为：</w:t>
      </w:r>
    </w:p>
    <w:p w14:paraId="70218343">
      <w:pPr>
        <w:spacing w:line="360" w:lineRule="auto"/>
        <w:ind w:left="420" w:firstLine="560"/>
        <w:jc w:val="left"/>
        <w:rPr>
          <w:rFonts w:asciiTheme="minorEastAsia" w:hAnsiTheme="minorEastAsia" w:cstheme="minorEastAsia"/>
          <w:sz w:val="24"/>
        </w:rPr>
      </w:pPr>
      <w:r>
        <w:rPr>
          <w:rFonts w:hint="eastAsia" w:asciiTheme="minorEastAsia" w:hAnsiTheme="minorEastAsia" w:cstheme="minorEastAsia"/>
          <w:sz w:val="24"/>
        </w:rPr>
        <w:t>地          址：</w:t>
      </w:r>
    </w:p>
    <w:p w14:paraId="6B007E2F">
      <w:pPr>
        <w:spacing w:line="360" w:lineRule="auto"/>
        <w:ind w:left="420" w:firstLine="560"/>
        <w:jc w:val="left"/>
        <w:rPr>
          <w:rFonts w:asciiTheme="minorEastAsia" w:hAnsiTheme="minorEastAsia" w:cstheme="minorEastAsia"/>
          <w:sz w:val="24"/>
        </w:rPr>
      </w:pPr>
      <w:r>
        <w:rPr>
          <w:rFonts w:hint="eastAsia" w:asciiTheme="minorEastAsia" w:hAnsiTheme="minorEastAsia" w:cstheme="minorEastAsia"/>
          <w:sz w:val="24"/>
        </w:rPr>
        <w:t>邮          编：</w:t>
      </w:r>
    </w:p>
    <w:p w14:paraId="11067421">
      <w:pPr>
        <w:spacing w:line="360" w:lineRule="auto"/>
        <w:ind w:left="420" w:firstLine="560"/>
        <w:jc w:val="left"/>
        <w:rPr>
          <w:rFonts w:asciiTheme="minorEastAsia" w:hAnsiTheme="minorEastAsia" w:cstheme="minorEastAsia"/>
          <w:sz w:val="24"/>
        </w:rPr>
      </w:pPr>
      <w:r>
        <w:rPr>
          <w:rFonts w:hint="eastAsia" w:asciiTheme="minorEastAsia" w:hAnsiTheme="minorEastAsia" w:cstheme="minorEastAsia"/>
          <w:sz w:val="24"/>
        </w:rPr>
        <w:t>电          话：</w:t>
      </w:r>
    </w:p>
    <w:p w14:paraId="1103129C">
      <w:pPr>
        <w:spacing w:line="360" w:lineRule="auto"/>
        <w:ind w:left="420" w:firstLine="560"/>
        <w:jc w:val="left"/>
        <w:rPr>
          <w:rFonts w:asciiTheme="minorEastAsia" w:hAnsiTheme="minorEastAsia" w:cstheme="minorEastAsia"/>
          <w:sz w:val="24"/>
        </w:rPr>
      </w:pPr>
      <w:r>
        <w:rPr>
          <w:rFonts w:hint="eastAsia" w:asciiTheme="minorEastAsia" w:hAnsiTheme="minorEastAsia" w:cstheme="minorEastAsia"/>
          <w:sz w:val="24"/>
        </w:rPr>
        <w:t>传          真：</w:t>
      </w:r>
    </w:p>
    <w:p w14:paraId="6C093061">
      <w:pPr>
        <w:spacing w:line="360" w:lineRule="auto"/>
        <w:ind w:left="420" w:firstLine="560"/>
        <w:jc w:val="left"/>
        <w:rPr>
          <w:rFonts w:asciiTheme="minorEastAsia" w:hAnsiTheme="minorEastAsia" w:cstheme="minorEastAsia"/>
          <w:sz w:val="24"/>
        </w:rPr>
      </w:pPr>
      <w:r>
        <w:rPr>
          <w:rFonts w:hint="eastAsia" w:asciiTheme="minorEastAsia" w:hAnsiTheme="minorEastAsia" w:cstheme="minorEastAsia"/>
          <w:sz w:val="24"/>
        </w:rPr>
        <w:t>投标人开户行：</w:t>
      </w:r>
    </w:p>
    <w:p w14:paraId="5A8656BE">
      <w:pPr>
        <w:spacing w:line="360" w:lineRule="auto"/>
        <w:ind w:left="420" w:firstLine="560"/>
        <w:jc w:val="left"/>
        <w:rPr>
          <w:rFonts w:asciiTheme="minorEastAsia" w:hAnsiTheme="minorEastAsia" w:cstheme="minorEastAsia"/>
          <w:sz w:val="24"/>
        </w:rPr>
      </w:pPr>
      <w:r>
        <w:rPr>
          <w:rFonts w:hint="eastAsia" w:asciiTheme="minorEastAsia" w:hAnsiTheme="minorEastAsia" w:cstheme="minorEastAsia"/>
          <w:sz w:val="24"/>
        </w:rPr>
        <w:t xml:space="preserve">账          号： </w:t>
      </w:r>
    </w:p>
    <w:p w14:paraId="5C3C7F34">
      <w:pPr>
        <w:spacing w:line="360" w:lineRule="auto"/>
        <w:ind w:left="420" w:firstLine="560"/>
        <w:jc w:val="left"/>
        <w:rPr>
          <w:rFonts w:asciiTheme="minorEastAsia" w:hAnsiTheme="minorEastAsia" w:cstheme="minorEastAsia"/>
          <w:sz w:val="24"/>
        </w:rPr>
      </w:pPr>
      <w:r>
        <w:rPr>
          <w:rFonts w:hint="eastAsia" w:asciiTheme="minorEastAsia" w:hAnsiTheme="minorEastAsia" w:cstheme="minorEastAsia"/>
          <w:sz w:val="24"/>
        </w:rPr>
        <w:t>日           期：________年____月____日</w:t>
      </w:r>
    </w:p>
    <w:p w14:paraId="64F2C41F">
      <w:pPr>
        <w:rPr>
          <w:rFonts w:asciiTheme="minorEastAsia" w:hAnsiTheme="minorEastAsia" w:cstheme="minorEastAsia"/>
          <w:sz w:val="24"/>
        </w:rPr>
      </w:pPr>
      <w:r>
        <w:rPr>
          <w:rFonts w:hint="eastAsia" w:asciiTheme="minorEastAsia" w:hAnsiTheme="minorEastAsia" w:cstheme="minorEastAsia"/>
          <w:sz w:val="24"/>
        </w:rPr>
        <w:br w:type="page"/>
      </w:r>
    </w:p>
    <w:p w14:paraId="1368FEFA">
      <w:pPr>
        <w:pStyle w:val="21"/>
        <w:ind w:firstLine="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附件8、中小微企业声明函</w:t>
      </w:r>
    </w:p>
    <w:p w14:paraId="7A0B45A8">
      <w:pPr>
        <w:spacing w:line="360" w:lineRule="auto"/>
        <w:ind w:firstLine="480" w:firstLineChars="200"/>
        <w:rPr>
          <w:rFonts w:asciiTheme="minorEastAsia" w:hAnsiTheme="minorEastAsia" w:cstheme="minorEastAsia"/>
          <w:sz w:val="24"/>
        </w:rPr>
      </w:pPr>
    </w:p>
    <w:p w14:paraId="0BA8D4DE">
      <w:pPr>
        <w:spacing w:line="360" w:lineRule="auto"/>
        <w:ind w:firstLine="281"/>
        <w:jc w:val="center"/>
        <w:rPr>
          <w:rFonts w:ascii="黑体" w:hAnsi="黑体" w:eastAsia="黑体" w:cs="黑体"/>
          <w:b/>
          <w:sz w:val="28"/>
          <w:szCs w:val="28"/>
        </w:rPr>
      </w:pPr>
      <w:r>
        <w:rPr>
          <w:rFonts w:hint="eastAsia" w:ascii="黑体" w:hAnsi="黑体" w:eastAsia="黑体" w:cs="黑体"/>
          <w:b/>
          <w:sz w:val="28"/>
          <w:szCs w:val="28"/>
        </w:rPr>
        <w:t>中小微企业声明函（货物类项目）</w:t>
      </w:r>
    </w:p>
    <w:p w14:paraId="2410E85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本公司（联合体）郑重声明，根据《政府采购促进中小企业发展管理办法》(财库〔2020〕46号)的规定，本公司（联合体）参加</w:t>
      </w:r>
      <w:r>
        <w:rPr>
          <w:rFonts w:hint="eastAsia" w:asciiTheme="minorEastAsia" w:hAnsiTheme="minorEastAsia" w:cstheme="minorEastAsia"/>
          <w:b/>
          <w:bCs/>
          <w:sz w:val="24"/>
        </w:rPr>
        <w:t>南通市公安局通州湾示范区分局</w:t>
      </w:r>
      <w:r>
        <w:rPr>
          <w:rFonts w:hint="eastAsia" w:asciiTheme="minorEastAsia" w:hAnsiTheme="minorEastAsia" w:cstheme="minorEastAsia"/>
          <w:sz w:val="24"/>
        </w:rPr>
        <w:t>组织的</w:t>
      </w:r>
      <w:r>
        <w:rPr>
          <w:rFonts w:hint="eastAsia" w:asciiTheme="minorEastAsia" w:hAnsiTheme="minorEastAsia" w:cstheme="minorEastAsia"/>
          <w:sz w:val="24"/>
          <w:u w:val="single"/>
        </w:rPr>
        <w:t xml:space="preserve">    （单位名称）</w:t>
      </w:r>
      <w:r>
        <w:rPr>
          <w:rFonts w:hint="eastAsia" w:asciiTheme="minorEastAsia" w:hAnsiTheme="minorEastAsia" w:cstheme="minorEastAsia"/>
          <w:sz w:val="24"/>
        </w:rPr>
        <w:t>采购编号为</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（项目名称）  </w:t>
      </w:r>
      <w:r>
        <w:rPr>
          <w:rFonts w:hint="eastAsia" w:asciiTheme="minorEastAsia" w:hAnsiTheme="minorEastAsia" w:cstheme="minorEastAsia"/>
          <w:sz w:val="24"/>
        </w:rPr>
        <w:t>的采购活动，提供的货物全部由符合政策要求的中小微企业制造。根据《工业和信息化部、国家统计局、国家发展和改革委员会、财政部关于印发中小企业划型标准规定的通知》(工信部联企业〔2011〕300号)的规定，相关企业（含联合体中的中小微企业、签订分包意向协议的中小微企业）的具体情况如下：</w:t>
      </w:r>
    </w:p>
    <w:p w14:paraId="1FE59305">
      <w:pPr>
        <w:spacing w:line="360" w:lineRule="auto"/>
        <w:ind w:firstLine="420"/>
        <w:rPr>
          <w:rFonts w:asciiTheme="minorEastAsia" w:hAnsiTheme="minorEastAsia" w:cstheme="minorEastAsia"/>
          <w:i/>
          <w:sz w:val="24"/>
          <w:u w:val="single"/>
        </w:rPr>
      </w:pPr>
      <w:r>
        <w:rPr>
          <w:rFonts w:hint="eastAsia" w:asciiTheme="minorEastAsia" w:hAnsiTheme="minorEastAsia" w:cstheme="minorEastAsia"/>
          <w:sz w:val="24"/>
        </w:rPr>
        <w:t>1.</w:t>
      </w:r>
      <w:r>
        <w:rPr>
          <w:rFonts w:hint="eastAsia" w:asciiTheme="minorEastAsia" w:hAnsiTheme="minorEastAsia" w:cstheme="minorEastAsia"/>
          <w:sz w:val="24"/>
          <w:u w:val="single"/>
        </w:rPr>
        <w:t>（标的名称）</w:t>
      </w:r>
      <w:r>
        <w:rPr>
          <w:rFonts w:hint="eastAsia" w:asciiTheme="minorEastAsia" w:hAnsiTheme="minorEastAsia" w:cstheme="minorEastAsia"/>
          <w:i/>
          <w:sz w:val="24"/>
        </w:rPr>
        <w:t>，</w:t>
      </w:r>
      <w:r>
        <w:rPr>
          <w:rFonts w:hint="eastAsia" w:asciiTheme="minorEastAsia" w:hAnsiTheme="minorEastAsia" w:cstheme="minorEastAsia"/>
          <w:sz w:val="24"/>
        </w:rPr>
        <w:t>属于</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行业；制造商为</w:t>
      </w:r>
      <w:r>
        <w:rPr>
          <w:rFonts w:hint="eastAsia" w:asciiTheme="minorEastAsia" w:hAnsiTheme="minorEastAsia" w:cstheme="minorEastAsia"/>
          <w:sz w:val="24"/>
          <w:u w:val="single"/>
        </w:rPr>
        <w:t>（企业名称）</w:t>
      </w:r>
      <w:r>
        <w:rPr>
          <w:rFonts w:hint="eastAsia" w:asciiTheme="minorEastAsia" w:hAnsiTheme="minorEastAsia" w:cstheme="minorEastAsia"/>
          <w:sz w:val="24"/>
        </w:rPr>
        <w:t>，从业人员</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人，营业收入为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万元，资产总额为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万元，属于</w:t>
      </w:r>
      <w:r>
        <w:rPr>
          <w:rFonts w:hint="eastAsia" w:asciiTheme="minorEastAsia" w:hAnsiTheme="minorEastAsia" w:cstheme="minorEastAsia"/>
          <w:sz w:val="24"/>
          <w:u w:val="single"/>
        </w:rPr>
        <w:t>（□中型企业 □小型企业 □微型企业）；</w:t>
      </w:r>
    </w:p>
    <w:p w14:paraId="5C74395D">
      <w:pPr>
        <w:spacing w:line="360" w:lineRule="auto"/>
        <w:ind w:firstLine="420"/>
        <w:rPr>
          <w:rFonts w:asciiTheme="minorEastAsia" w:hAnsiTheme="minorEastAsia" w:cstheme="minorEastAsia"/>
          <w:i/>
          <w:sz w:val="24"/>
          <w:u w:val="single"/>
        </w:rPr>
      </w:pPr>
      <w:r>
        <w:rPr>
          <w:rFonts w:hint="eastAsia" w:asciiTheme="minorEastAsia" w:hAnsiTheme="minorEastAsia" w:cstheme="minorEastAsia"/>
          <w:sz w:val="24"/>
        </w:rPr>
        <w:t>2.</w:t>
      </w:r>
      <w:r>
        <w:rPr>
          <w:rFonts w:hint="eastAsia" w:asciiTheme="minorEastAsia" w:hAnsiTheme="minorEastAsia" w:cstheme="minorEastAsia"/>
          <w:sz w:val="24"/>
          <w:u w:val="single"/>
        </w:rPr>
        <w:t>（标的名称）</w:t>
      </w:r>
      <w:r>
        <w:rPr>
          <w:rFonts w:hint="eastAsia" w:asciiTheme="minorEastAsia" w:hAnsiTheme="minorEastAsia" w:cstheme="minorEastAsia"/>
          <w:i/>
          <w:sz w:val="24"/>
        </w:rPr>
        <w:t>，</w:t>
      </w:r>
      <w:r>
        <w:rPr>
          <w:rFonts w:hint="eastAsia" w:asciiTheme="minorEastAsia" w:hAnsiTheme="minorEastAsia" w:cstheme="minorEastAsia"/>
          <w:sz w:val="24"/>
        </w:rPr>
        <w:t>属于</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行业；制造商为</w:t>
      </w:r>
      <w:r>
        <w:rPr>
          <w:rFonts w:hint="eastAsia" w:asciiTheme="minorEastAsia" w:hAnsiTheme="minorEastAsia" w:cstheme="minorEastAsia"/>
          <w:sz w:val="24"/>
          <w:u w:val="single"/>
        </w:rPr>
        <w:t>（企业名称）</w:t>
      </w:r>
      <w:r>
        <w:rPr>
          <w:rFonts w:hint="eastAsia" w:asciiTheme="minorEastAsia" w:hAnsiTheme="minorEastAsia" w:cstheme="minorEastAsia"/>
          <w:sz w:val="24"/>
        </w:rPr>
        <w:t>，从业人员</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人，营业收入为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万元，资产总额为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万元，属于</w:t>
      </w:r>
      <w:r>
        <w:rPr>
          <w:rFonts w:hint="eastAsia" w:asciiTheme="minorEastAsia" w:hAnsiTheme="minorEastAsia" w:cstheme="minorEastAsia"/>
          <w:sz w:val="24"/>
          <w:u w:val="single"/>
        </w:rPr>
        <w:t>（□中型企业 □小型企业 □微型企业）；</w:t>
      </w:r>
    </w:p>
    <w:p w14:paraId="55A62257">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以上企业，不属于大企业的分支机构，不存在控股股东为大企业的情形，也不存在与大企业的负责人为同一人的情形。</w:t>
      </w:r>
    </w:p>
    <w:p w14:paraId="07107D0F">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本企业对上述声明内容的真实性负责。如有虚假，将依法承担相应责任</w:t>
      </w:r>
    </w:p>
    <w:p w14:paraId="39EDCC89">
      <w:pPr>
        <w:spacing w:line="360" w:lineRule="auto"/>
        <w:ind w:right="180" w:firstLine="420"/>
        <w:jc w:val="right"/>
        <w:rPr>
          <w:rFonts w:asciiTheme="minorEastAsia" w:hAnsiTheme="minorEastAsia" w:cstheme="minorEastAsia"/>
          <w:sz w:val="24"/>
        </w:rPr>
      </w:pPr>
    </w:p>
    <w:p w14:paraId="3192EB5A">
      <w:pPr>
        <w:spacing w:line="360" w:lineRule="auto"/>
        <w:ind w:right="180" w:firstLine="420"/>
        <w:jc w:val="right"/>
        <w:rPr>
          <w:rFonts w:asciiTheme="minorEastAsia" w:hAnsiTheme="minorEastAsia" w:cstheme="minorEastAsia"/>
          <w:sz w:val="24"/>
        </w:rPr>
      </w:pPr>
      <w:r>
        <w:rPr>
          <w:rFonts w:hint="eastAsia" w:asciiTheme="minorEastAsia" w:hAnsiTheme="minorEastAsia" w:cstheme="minorEastAsia"/>
          <w:sz w:val="24"/>
        </w:rPr>
        <w:t>企业名称（加盖公章）：</w:t>
      </w:r>
    </w:p>
    <w:p w14:paraId="302D49EE">
      <w:pPr>
        <w:spacing w:line="360" w:lineRule="auto"/>
        <w:ind w:right="480" w:firstLine="6300"/>
        <w:rPr>
          <w:rFonts w:asciiTheme="minorEastAsia" w:hAnsiTheme="minorEastAsia" w:cstheme="minorEastAsia"/>
          <w:sz w:val="24"/>
        </w:rPr>
      </w:pPr>
      <w:r>
        <w:rPr>
          <w:rFonts w:hint="eastAsia" w:asciiTheme="minorEastAsia" w:hAnsiTheme="minorEastAsia" w:cstheme="minorEastAsia"/>
          <w:sz w:val="24"/>
        </w:rPr>
        <w:t>日  期：</w:t>
      </w:r>
    </w:p>
    <w:p w14:paraId="55130938">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备注：</w:t>
      </w:r>
    </w:p>
    <w:p w14:paraId="799CEA8F">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1.从业人员、营业收入、资产总额填报上一年度数据，无上一年度数据的新成立企业可不填报。</w:t>
      </w:r>
    </w:p>
    <w:p w14:paraId="6FD293AD">
      <w:pPr>
        <w:spacing w:line="360" w:lineRule="auto"/>
        <w:ind w:firstLine="562"/>
        <w:rPr>
          <w:rFonts w:asciiTheme="minorEastAsia" w:hAnsiTheme="minorEastAsia" w:cstheme="minorEastAsia"/>
          <w:b/>
          <w:sz w:val="24"/>
        </w:rPr>
      </w:pPr>
      <w:r>
        <w:rPr>
          <w:rFonts w:hint="eastAsia" w:asciiTheme="minorEastAsia" w:hAnsiTheme="minorEastAsia" w:cstheme="minorEastAsia"/>
          <w:b/>
          <w:sz w:val="24"/>
        </w:rPr>
        <w:t>2.专门面向中小微型企业采购的项目，供应商如不提供此声明函，则不能通过资格审查；非专门面向中小微型企业采购的项目，供应商如不提供此声明函，价格将不做相应扣除。</w:t>
      </w:r>
    </w:p>
    <w:p w14:paraId="62AF0D4D">
      <w:pPr>
        <w:spacing w:line="360" w:lineRule="auto"/>
        <w:ind w:left="561"/>
        <w:rPr>
          <w:rFonts w:asciiTheme="minorEastAsia" w:hAnsiTheme="minorEastAsia" w:cstheme="minorEastAsia"/>
          <w:sz w:val="24"/>
        </w:rPr>
      </w:pPr>
      <w:r>
        <w:rPr>
          <w:rFonts w:hint="eastAsia" w:asciiTheme="minorEastAsia" w:hAnsiTheme="minorEastAsia" w:cstheme="minorEastAsia"/>
          <w:sz w:val="24"/>
        </w:rPr>
        <w:t>3.</w:t>
      </w:r>
      <w:r>
        <w:rPr>
          <w:rFonts w:hint="eastAsia" w:ascii="宋体" w:hAnsi="宋体" w:eastAsia="宋体" w:cs="宋体"/>
          <w:b/>
          <w:bCs/>
          <w:szCs w:val="21"/>
        </w:rPr>
        <w:t>对应项目需求中采购清单表里涉及“工业”类别的产品</w:t>
      </w:r>
      <w:r>
        <w:rPr>
          <w:rFonts w:hint="eastAsia" w:asciiTheme="minorEastAsia" w:hAnsiTheme="minorEastAsia" w:cstheme="minorEastAsia"/>
          <w:sz w:val="24"/>
        </w:rPr>
        <w:t>。</w:t>
      </w:r>
    </w:p>
    <w:p w14:paraId="59122ABD">
      <w:pPr>
        <w:spacing w:line="360" w:lineRule="auto"/>
        <w:jc w:val="left"/>
        <w:rPr>
          <w:rFonts w:asciiTheme="minorEastAsia" w:hAnsiTheme="minorEastAsia" w:cstheme="minorEastAsia"/>
          <w:b/>
          <w:sz w:val="24"/>
        </w:rPr>
      </w:pPr>
      <w:r>
        <w:rPr>
          <w:rFonts w:hint="eastAsia" w:asciiTheme="minorEastAsia" w:hAnsiTheme="minorEastAsia" w:cstheme="minorEastAsia"/>
          <w:b/>
          <w:sz w:val="24"/>
        </w:rPr>
        <w:br w:type="page" w:clear="all"/>
      </w:r>
      <w:r>
        <w:rPr>
          <w:rFonts w:hint="eastAsia" w:asciiTheme="minorEastAsia" w:hAnsiTheme="minorEastAsia" w:cstheme="minorEastAsia"/>
          <w:b/>
          <w:sz w:val="24"/>
        </w:rPr>
        <w:t>附件9、残疾人福利性单位声明函</w:t>
      </w:r>
    </w:p>
    <w:p w14:paraId="08104D5F">
      <w:pPr>
        <w:spacing w:line="360" w:lineRule="auto"/>
        <w:ind w:firstLine="480" w:firstLineChars="200"/>
        <w:rPr>
          <w:rFonts w:asciiTheme="minorEastAsia" w:hAnsiTheme="minorEastAsia" w:cstheme="minorEastAsia"/>
          <w:sz w:val="24"/>
        </w:rPr>
      </w:pPr>
    </w:p>
    <w:p w14:paraId="06138DBD">
      <w:pPr>
        <w:spacing w:line="360" w:lineRule="auto"/>
        <w:jc w:val="center"/>
        <w:rPr>
          <w:rFonts w:ascii="黑体" w:hAnsi="黑体" w:eastAsia="黑体" w:cs="黑体"/>
          <w:sz w:val="28"/>
          <w:szCs w:val="28"/>
        </w:rPr>
      </w:pPr>
      <w:r>
        <w:rPr>
          <w:rFonts w:hint="eastAsia" w:ascii="黑体" w:hAnsi="黑体" w:eastAsia="黑体" w:cs="黑体"/>
          <w:b/>
          <w:sz w:val="28"/>
          <w:szCs w:val="28"/>
        </w:rPr>
        <w:t>残疾人福利性单位声明函</w:t>
      </w:r>
    </w:p>
    <w:p w14:paraId="1B19F06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单位的采购文件编号为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的</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项目（分包号：**）采购活动由本单位提供服务。</w:t>
      </w:r>
    </w:p>
    <w:p w14:paraId="2AF785B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本单位对上述声明的真实性负责。如有虚假，将依法承担相应责任。</w:t>
      </w:r>
    </w:p>
    <w:p w14:paraId="72094D36">
      <w:pPr>
        <w:spacing w:line="360" w:lineRule="auto"/>
        <w:ind w:firstLine="480" w:firstLineChars="200"/>
        <w:rPr>
          <w:rFonts w:asciiTheme="minorEastAsia" w:hAnsiTheme="minorEastAsia" w:cstheme="minorEastAsia"/>
          <w:sz w:val="24"/>
        </w:rPr>
      </w:pPr>
    </w:p>
    <w:p w14:paraId="5F3A651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（备注：1、供应商如不提供此声明函，价格将不做相应扣除。2、中标人为残疾人福利单位的，此声明函将随中标结果同时公告，接受社会监督）</w:t>
      </w:r>
    </w:p>
    <w:p w14:paraId="427F9D9D">
      <w:pPr>
        <w:spacing w:line="360" w:lineRule="auto"/>
        <w:ind w:firstLine="504" w:firstLineChars="200"/>
        <w:rPr>
          <w:rFonts w:asciiTheme="minorEastAsia" w:hAnsiTheme="minorEastAsia" w:cstheme="minorEastAsia"/>
          <w:spacing w:val="6"/>
          <w:sz w:val="24"/>
        </w:rPr>
      </w:pPr>
    </w:p>
    <w:p w14:paraId="49E839CA">
      <w:pPr>
        <w:tabs>
          <w:tab w:val="left" w:pos="4860"/>
        </w:tabs>
        <w:spacing w:line="360" w:lineRule="auto"/>
        <w:ind w:firstLine="504" w:firstLineChars="200"/>
        <w:jc w:val="center"/>
        <w:rPr>
          <w:rFonts w:asciiTheme="minorEastAsia" w:hAnsiTheme="minorEastAsia" w:cstheme="minorEastAsia"/>
          <w:sz w:val="24"/>
        </w:rPr>
      </w:pPr>
      <w:r>
        <w:rPr>
          <w:rFonts w:hint="eastAsia" w:asciiTheme="minorEastAsia" w:hAnsiTheme="minorEastAsia" w:cstheme="minorEastAsia"/>
          <w:spacing w:val="6"/>
          <w:sz w:val="24"/>
        </w:rPr>
        <w:t xml:space="preserve">             </w:t>
      </w:r>
      <w:r>
        <w:rPr>
          <w:rFonts w:hint="eastAsia" w:asciiTheme="minorEastAsia" w:hAnsiTheme="minorEastAsia" w:cstheme="minorEastAsia"/>
          <w:sz w:val="24"/>
        </w:rPr>
        <w:t xml:space="preserve">          供应商全称（加盖公章）：</w:t>
      </w:r>
    </w:p>
    <w:p w14:paraId="46C27578">
      <w:pPr>
        <w:tabs>
          <w:tab w:val="left" w:pos="4860"/>
        </w:tabs>
        <w:spacing w:line="360" w:lineRule="auto"/>
        <w:ind w:firstLine="480" w:firstLineChars="200"/>
        <w:jc w:val="center"/>
        <w:rPr>
          <w:rFonts w:asciiTheme="minorEastAsia" w:hAnsiTheme="minorEastAsia" w:cstheme="minorEastAsia"/>
          <w:sz w:val="24"/>
        </w:rPr>
      </w:pPr>
      <w:r>
        <w:rPr>
          <w:rFonts w:hint="eastAsia" w:asciiTheme="minorEastAsia" w:hAnsiTheme="minorEastAsia" w:cstheme="minorEastAsia"/>
          <w:sz w:val="24"/>
        </w:rPr>
        <w:t xml:space="preserve">        日  期：</w:t>
      </w:r>
    </w:p>
    <w:p w14:paraId="0620C5A4">
      <w:pPr>
        <w:spacing w:line="360" w:lineRule="auto"/>
        <w:ind w:firstLine="482" w:firstLineChars="200"/>
        <w:rPr>
          <w:rFonts w:asciiTheme="minorEastAsia" w:hAnsiTheme="minorEastAsia" w:cstheme="minorEastAsia"/>
          <w:b/>
          <w:sz w:val="24"/>
        </w:rPr>
      </w:pPr>
    </w:p>
    <w:p w14:paraId="4A60B3C3">
      <w:pPr>
        <w:rPr>
          <w:rFonts w:asciiTheme="minorEastAsia" w:hAnsiTheme="minorEastAsia" w:cstheme="minorEastAsia"/>
          <w:sz w:val="24"/>
        </w:rPr>
      </w:pPr>
      <w:r>
        <w:rPr>
          <w:rFonts w:hint="eastAsia" w:asciiTheme="minorEastAsia" w:hAnsiTheme="minorEastAsia" w:cstheme="minorEastAsia"/>
          <w:sz w:val="24"/>
        </w:rPr>
        <w:br w:type="page"/>
      </w:r>
    </w:p>
    <w:p w14:paraId="5F173366">
      <w:pPr>
        <w:spacing w:line="360" w:lineRule="auto"/>
        <w:rPr>
          <w:rFonts w:asciiTheme="minorEastAsia" w:hAnsiTheme="minorEastAsia" w:cstheme="minorEastAsia"/>
          <w:b/>
          <w:sz w:val="24"/>
        </w:rPr>
      </w:pPr>
      <w:r>
        <w:rPr>
          <w:rFonts w:hint="eastAsia" w:asciiTheme="minorEastAsia" w:hAnsiTheme="minorEastAsia" w:cstheme="minorEastAsia"/>
          <w:b/>
          <w:sz w:val="24"/>
        </w:rPr>
        <w:t>附件10、实质性要求响应及偏离表</w:t>
      </w:r>
    </w:p>
    <w:p w14:paraId="22EE2B0B">
      <w:pPr>
        <w:spacing w:line="360" w:lineRule="auto"/>
        <w:rPr>
          <w:rFonts w:asciiTheme="minorEastAsia" w:hAnsiTheme="minorEastAsia" w:cstheme="minorEastAsia"/>
          <w:b/>
          <w:sz w:val="24"/>
        </w:rPr>
      </w:pPr>
    </w:p>
    <w:p w14:paraId="666955A8">
      <w:pPr>
        <w:spacing w:line="360" w:lineRule="auto"/>
        <w:jc w:val="center"/>
        <w:rPr>
          <w:rFonts w:ascii="黑体" w:hAnsi="黑体" w:eastAsia="黑体" w:cs="黑体"/>
          <w:sz w:val="28"/>
          <w:szCs w:val="28"/>
        </w:rPr>
      </w:pPr>
      <w:r>
        <w:rPr>
          <w:rFonts w:hint="eastAsia" w:ascii="黑体" w:hAnsi="黑体" w:eastAsia="黑体" w:cs="黑体"/>
          <w:b/>
          <w:sz w:val="28"/>
          <w:szCs w:val="28"/>
        </w:rPr>
        <w:t>实质性要求响应及偏离表</w:t>
      </w:r>
    </w:p>
    <w:tbl>
      <w:tblPr>
        <w:tblStyle w:val="16"/>
        <w:tblW w:w="899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
        <w:gridCol w:w="3870"/>
        <w:gridCol w:w="2707"/>
        <w:gridCol w:w="1526"/>
      </w:tblGrid>
      <w:tr w14:paraId="74499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94" w:type="dxa"/>
            <w:vAlign w:val="center"/>
          </w:tcPr>
          <w:p w14:paraId="2454D8C4">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序号</w:t>
            </w:r>
          </w:p>
        </w:tc>
        <w:tc>
          <w:tcPr>
            <w:tcW w:w="3870" w:type="dxa"/>
            <w:vAlign w:val="center"/>
          </w:tcPr>
          <w:p w14:paraId="6076C654">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技术要求和商务要求中的实质性要求</w:t>
            </w:r>
            <w:r>
              <w:rPr>
                <w:rFonts w:hint="eastAsia" w:asciiTheme="minorEastAsia" w:hAnsiTheme="minorEastAsia" w:cstheme="minorEastAsia"/>
                <w:b/>
                <w:bCs/>
                <w:sz w:val="24"/>
                <w:u w:val="single"/>
              </w:rPr>
              <w:t>（加★内容）</w:t>
            </w:r>
          </w:p>
        </w:tc>
        <w:tc>
          <w:tcPr>
            <w:tcW w:w="2707" w:type="dxa"/>
            <w:vAlign w:val="center"/>
          </w:tcPr>
          <w:p w14:paraId="680E4A74">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投标响应情况</w:t>
            </w:r>
          </w:p>
        </w:tc>
        <w:tc>
          <w:tcPr>
            <w:tcW w:w="1526" w:type="dxa"/>
            <w:vAlign w:val="center"/>
          </w:tcPr>
          <w:p w14:paraId="5A74D82B">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超出、符合或偏离</w:t>
            </w:r>
          </w:p>
        </w:tc>
      </w:tr>
      <w:tr w14:paraId="6829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94" w:type="dxa"/>
          </w:tcPr>
          <w:p w14:paraId="2717575D">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w:t>
            </w:r>
          </w:p>
        </w:tc>
        <w:tc>
          <w:tcPr>
            <w:tcW w:w="3870" w:type="dxa"/>
          </w:tcPr>
          <w:p w14:paraId="64D60D4D">
            <w:pPr>
              <w:spacing w:line="360" w:lineRule="auto"/>
              <w:jc w:val="center"/>
              <w:rPr>
                <w:rFonts w:asciiTheme="minorEastAsia" w:hAnsiTheme="minorEastAsia" w:cstheme="minorEastAsia"/>
                <w:sz w:val="24"/>
              </w:rPr>
            </w:pPr>
          </w:p>
        </w:tc>
        <w:tc>
          <w:tcPr>
            <w:tcW w:w="2707" w:type="dxa"/>
          </w:tcPr>
          <w:p w14:paraId="001038E8">
            <w:pPr>
              <w:spacing w:line="360" w:lineRule="auto"/>
              <w:jc w:val="center"/>
              <w:rPr>
                <w:rFonts w:asciiTheme="minorEastAsia" w:hAnsiTheme="minorEastAsia" w:cstheme="minorEastAsia"/>
                <w:sz w:val="24"/>
              </w:rPr>
            </w:pPr>
          </w:p>
        </w:tc>
        <w:tc>
          <w:tcPr>
            <w:tcW w:w="1526" w:type="dxa"/>
          </w:tcPr>
          <w:p w14:paraId="4774F056">
            <w:pPr>
              <w:spacing w:line="360" w:lineRule="auto"/>
              <w:jc w:val="center"/>
              <w:rPr>
                <w:rFonts w:asciiTheme="minorEastAsia" w:hAnsiTheme="minorEastAsia" w:cstheme="minorEastAsia"/>
                <w:sz w:val="24"/>
              </w:rPr>
            </w:pPr>
          </w:p>
        </w:tc>
      </w:tr>
      <w:tr w14:paraId="6B3C1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94" w:type="dxa"/>
          </w:tcPr>
          <w:p w14:paraId="201F5D93">
            <w:pPr>
              <w:spacing w:line="360" w:lineRule="auto"/>
              <w:jc w:val="center"/>
              <w:rPr>
                <w:rFonts w:asciiTheme="minorEastAsia" w:hAnsiTheme="minorEastAsia" w:cstheme="minorEastAsia"/>
                <w:sz w:val="24"/>
              </w:rPr>
            </w:pPr>
            <w:r>
              <w:rPr>
                <w:rFonts w:hint="eastAsia" w:asciiTheme="minorEastAsia" w:hAnsiTheme="minorEastAsia" w:cstheme="minorEastAsia"/>
                <w:sz w:val="24"/>
              </w:rPr>
              <w:t>2</w:t>
            </w:r>
          </w:p>
        </w:tc>
        <w:tc>
          <w:tcPr>
            <w:tcW w:w="3870" w:type="dxa"/>
          </w:tcPr>
          <w:p w14:paraId="1DE784D0">
            <w:pPr>
              <w:spacing w:line="360" w:lineRule="auto"/>
              <w:jc w:val="center"/>
              <w:rPr>
                <w:rFonts w:asciiTheme="minorEastAsia" w:hAnsiTheme="minorEastAsia" w:cstheme="minorEastAsia"/>
                <w:sz w:val="24"/>
              </w:rPr>
            </w:pPr>
          </w:p>
        </w:tc>
        <w:tc>
          <w:tcPr>
            <w:tcW w:w="2707" w:type="dxa"/>
          </w:tcPr>
          <w:p w14:paraId="67D07B7B">
            <w:pPr>
              <w:spacing w:line="360" w:lineRule="auto"/>
              <w:jc w:val="center"/>
              <w:rPr>
                <w:rFonts w:asciiTheme="minorEastAsia" w:hAnsiTheme="minorEastAsia" w:cstheme="minorEastAsia"/>
                <w:sz w:val="24"/>
              </w:rPr>
            </w:pPr>
          </w:p>
        </w:tc>
        <w:tc>
          <w:tcPr>
            <w:tcW w:w="1526" w:type="dxa"/>
          </w:tcPr>
          <w:p w14:paraId="13D16CD4">
            <w:pPr>
              <w:spacing w:line="360" w:lineRule="auto"/>
              <w:jc w:val="center"/>
              <w:rPr>
                <w:rFonts w:asciiTheme="minorEastAsia" w:hAnsiTheme="minorEastAsia" w:cstheme="minorEastAsia"/>
                <w:sz w:val="24"/>
              </w:rPr>
            </w:pPr>
          </w:p>
        </w:tc>
      </w:tr>
      <w:tr w14:paraId="751F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94" w:type="dxa"/>
          </w:tcPr>
          <w:p w14:paraId="3DCF97B0">
            <w:pPr>
              <w:spacing w:line="360" w:lineRule="auto"/>
              <w:jc w:val="center"/>
              <w:rPr>
                <w:rFonts w:asciiTheme="minorEastAsia" w:hAnsiTheme="minorEastAsia" w:cstheme="minorEastAsia"/>
                <w:sz w:val="24"/>
              </w:rPr>
            </w:pPr>
          </w:p>
        </w:tc>
        <w:tc>
          <w:tcPr>
            <w:tcW w:w="3870" w:type="dxa"/>
          </w:tcPr>
          <w:p w14:paraId="06320B4D">
            <w:pPr>
              <w:spacing w:line="360" w:lineRule="auto"/>
              <w:jc w:val="center"/>
              <w:rPr>
                <w:rFonts w:asciiTheme="minorEastAsia" w:hAnsiTheme="minorEastAsia" w:cstheme="minorEastAsia"/>
                <w:sz w:val="24"/>
              </w:rPr>
            </w:pPr>
            <w:r>
              <w:rPr>
                <w:rFonts w:hint="eastAsia" w:asciiTheme="minorEastAsia" w:hAnsiTheme="minorEastAsia" w:cstheme="minorEastAsia"/>
                <w:sz w:val="24"/>
              </w:rPr>
              <w:t>……</w:t>
            </w:r>
          </w:p>
        </w:tc>
        <w:tc>
          <w:tcPr>
            <w:tcW w:w="2707" w:type="dxa"/>
          </w:tcPr>
          <w:p w14:paraId="334475F8">
            <w:pPr>
              <w:spacing w:line="360" w:lineRule="auto"/>
              <w:jc w:val="center"/>
              <w:rPr>
                <w:rFonts w:asciiTheme="minorEastAsia" w:hAnsiTheme="minorEastAsia" w:cstheme="minorEastAsia"/>
                <w:sz w:val="24"/>
              </w:rPr>
            </w:pPr>
          </w:p>
        </w:tc>
        <w:tc>
          <w:tcPr>
            <w:tcW w:w="1526" w:type="dxa"/>
          </w:tcPr>
          <w:p w14:paraId="1C591C56">
            <w:pPr>
              <w:spacing w:line="360" w:lineRule="auto"/>
              <w:jc w:val="center"/>
              <w:rPr>
                <w:rFonts w:asciiTheme="minorEastAsia" w:hAnsiTheme="minorEastAsia" w:cstheme="minorEastAsia"/>
                <w:sz w:val="24"/>
              </w:rPr>
            </w:pPr>
          </w:p>
        </w:tc>
      </w:tr>
    </w:tbl>
    <w:p w14:paraId="494B9EFB">
      <w:pPr>
        <w:spacing w:line="360" w:lineRule="auto"/>
        <w:ind w:firstLine="480" w:firstLineChars="200"/>
        <w:rPr>
          <w:rFonts w:asciiTheme="minorEastAsia" w:hAnsiTheme="minorEastAsia" w:cstheme="minorEastAsia"/>
          <w:sz w:val="24"/>
        </w:rPr>
      </w:pPr>
    </w:p>
    <w:p w14:paraId="10E12F2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附件10-1 证明材料1，证明材料2，……</w:t>
      </w:r>
    </w:p>
    <w:p w14:paraId="0CFC5399">
      <w:pPr>
        <w:spacing w:line="360" w:lineRule="auto"/>
        <w:ind w:firstLine="480" w:firstLineChars="200"/>
        <w:rPr>
          <w:rFonts w:asciiTheme="minorEastAsia" w:hAnsiTheme="minorEastAsia" w:cstheme="minorEastAsia"/>
          <w:sz w:val="24"/>
        </w:rPr>
      </w:pPr>
    </w:p>
    <w:p w14:paraId="3CDDD56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备注：</w:t>
      </w:r>
    </w:p>
    <w:p w14:paraId="1E2974D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1.投标人必须对技术要求和商务要求中的实质性要求</w:t>
      </w:r>
      <w:r>
        <w:rPr>
          <w:rFonts w:hint="eastAsia" w:asciiTheme="minorEastAsia" w:hAnsiTheme="minorEastAsia" w:cstheme="minorEastAsia"/>
          <w:i/>
          <w:sz w:val="24"/>
          <w:u w:val="single"/>
        </w:rPr>
        <w:t>（</w:t>
      </w:r>
      <w:r>
        <w:rPr>
          <w:rFonts w:hint="eastAsia" w:asciiTheme="minorEastAsia" w:hAnsiTheme="minorEastAsia" w:cstheme="minorEastAsia"/>
          <w:b/>
          <w:bCs/>
          <w:sz w:val="24"/>
          <w:u w:val="single"/>
        </w:rPr>
        <w:t>加★内容</w:t>
      </w:r>
      <w:r>
        <w:rPr>
          <w:rFonts w:hint="eastAsia" w:asciiTheme="minorEastAsia" w:hAnsiTheme="minorEastAsia" w:cstheme="minorEastAsia"/>
          <w:i/>
          <w:sz w:val="24"/>
          <w:u w:val="single"/>
        </w:rPr>
        <w:t>）</w:t>
      </w:r>
      <w:r>
        <w:rPr>
          <w:rFonts w:hint="eastAsia" w:asciiTheme="minorEastAsia" w:hAnsiTheme="minorEastAsia" w:cstheme="minorEastAsia"/>
          <w:sz w:val="24"/>
        </w:rPr>
        <w:t>逐条做出明确响应，否则作无效投标处理。</w:t>
      </w:r>
    </w:p>
    <w:p w14:paraId="708053D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2.如果招标文件要求提供证明材料，投标人必须将证明材料列于该表之下。</w:t>
      </w:r>
    </w:p>
    <w:p w14:paraId="6DC507C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3.投标人未对实质性要求逐条作出明确响应的，或未按招标文件要求提供证明材料的，该分包作无效投标处理。</w:t>
      </w:r>
    </w:p>
    <w:p w14:paraId="4A28AEAD">
      <w:pPr>
        <w:spacing w:line="360" w:lineRule="auto"/>
        <w:ind w:firstLine="480" w:firstLineChars="200"/>
        <w:rPr>
          <w:rFonts w:asciiTheme="minorEastAsia" w:hAnsiTheme="minorEastAsia" w:cstheme="minorEastAsia"/>
          <w:sz w:val="24"/>
        </w:rPr>
      </w:pPr>
    </w:p>
    <w:p w14:paraId="6F23920C">
      <w:pPr>
        <w:pStyle w:val="18"/>
        <w:ind w:firstLine="480" w:firstLineChars="200"/>
        <w:rPr>
          <w:rFonts w:asciiTheme="minorEastAsia" w:hAnsiTheme="minorEastAsia" w:eastAsiaTheme="minorEastAsia" w:cstheme="minorEastAsia"/>
          <w:sz w:val="24"/>
          <w:szCs w:val="24"/>
        </w:rPr>
      </w:pPr>
    </w:p>
    <w:p w14:paraId="63B1B54A">
      <w:pPr>
        <w:pStyle w:val="18"/>
        <w:ind w:firstLine="480" w:firstLineChars="200"/>
        <w:rPr>
          <w:rFonts w:asciiTheme="minorEastAsia" w:hAnsiTheme="minorEastAsia" w:eastAsiaTheme="minorEastAsia" w:cstheme="minorEastAsia"/>
          <w:sz w:val="24"/>
          <w:szCs w:val="24"/>
        </w:rPr>
      </w:pPr>
    </w:p>
    <w:p w14:paraId="7C5F9AB8">
      <w:pPr>
        <w:spacing w:line="360" w:lineRule="auto"/>
        <w:ind w:firstLine="480" w:firstLineChars="200"/>
        <w:rPr>
          <w:rFonts w:asciiTheme="minorEastAsia" w:hAnsiTheme="minorEastAsia" w:cstheme="minorEastAsia"/>
          <w:sz w:val="24"/>
        </w:rPr>
      </w:pPr>
    </w:p>
    <w:p w14:paraId="12062D20">
      <w:pPr>
        <w:spacing w:line="360" w:lineRule="auto"/>
        <w:ind w:firstLine="480" w:firstLineChars="200"/>
        <w:rPr>
          <w:rFonts w:asciiTheme="minorEastAsia" w:hAnsiTheme="minorEastAsia" w:cstheme="minorEastAsia"/>
          <w:sz w:val="24"/>
        </w:rPr>
      </w:pPr>
    </w:p>
    <w:p w14:paraId="755D35D5">
      <w:pPr>
        <w:spacing w:line="360" w:lineRule="auto"/>
        <w:ind w:firstLine="480" w:firstLineChars="200"/>
        <w:rPr>
          <w:rFonts w:asciiTheme="minorEastAsia" w:hAnsiTheme="minorEastAsia" w:cstheme="minorEastAsia"/>
          <w:sz w:val="24"/>
        </w:rPr>
      </w:pPr>
    </w:p>
    <w:p w14:paraId="01865571">
      <w:pPr>
        <w:spacing w:line="360" w:lineRule="auto"/>
        <w:ind w:firstLine="480" w:firstLineChars="200"/>
        <w:rPr>
          <w:rFonts w:asciiTheme="minorEastAsia" w:hAnsiTheme="minorEastAsia" w:cstheme="minorEastAsia"/>
          <w:sz w:val="24"/>
        </w:rPr>
      </w:pPr>
    </w:p>
    <w:p w14:paraId="1EBD6B9F">
      <w:pPr>
        <w:rPr>
          <w:rFonts w:asciiTheme="minorEastAsia" w:hAnsiTheme="minorEastAsia" w:cstheme="minorEastAsia"/>
          <w:sz w:val="24"/>
        </w:rPr>
      </w:pPr>
      <w:r>
        <w:rPr>
          <w:rFonts w:hint="eastAsia" w:asciiTheme="minorEastAsia" w:hAnsiTheme="minorEastAsia" w:cstheme="minorEastAsia"/>
          <w:sz w:val="24"/>
        </w:rPr>
        <w:br w:type="page"/>
      </w:r>
    </w:p>
    <w:p w14:paraId="2FAA92AE">
      <w:pPr>
        <w:spacing w:line="360" w:lineRule="auto"/>
        <w:jc w:val="center"/>
        <w:rPr>
          <w:rFonts w:ascii="黑体" w:hAnsi="黑体" w:eastAsia="黑体" w:cs="黑体"/>
          <w:sz w:val="28"/>
          <w:szCs w:val="28"/>
        </w:rPr>
      </w:pPr>
      <w:r>
        <w:rPr>
          <w:rFonts w:hint="eastAsia" w:ascii="黑体" w:hAnsi="黑体" w:eastAsia="黑体" w:cs="黑体"/>
          <w:sz w:val="28"/>
          <w:szCs w:val="28"/>
        </w:rPr>
        <w:t>质疑函范本</w:t>
      </w:r>
    </w:p>
    <w:p w14:paraId="6433EFD5">
      <w:pPr>
        <w:spacing w:line="360" w:lineRule="auto"/>
        <w:ind w:firstLine="480" w:firstLineChars="200"/>
        <w:rPr>
          <w:rFonts w:asciiTheme="minorEastAsia" w:hAnsiTheme="minorEastAsia" w:cstheme="minorEastAsia"/>
          <w:sz w:val="24"/>
        </w:rPr>
      </w:pPr>
    </w:p>
    <w:p w14:paraId="03E1D828">
      <w:pPr>
        <w:spacing w:line="360" w:lineRule="auto"/>
        <w:rPr>
          <w:rFonts w:asciiTheme="minorEastAsia" w:hAnsiTheme="minorEastAsia" w:cstheme="minorEastAsia"/>
          <w:bCs/>
          <w:sz w:val="24"/>
        </w:rPr>
      </w:pPr>
      <w:r>
        <w:rPr>
          <w:rFonts w:hint="eastAsia" w:asciiTheme="minorEastAsia" w:hAnsiTheme="minorEastAsia" w:cstheme="minorEastAsia"/>
          <w:bCs/>
          <w:sz w:val="24"/>
        </w:rPr>
        <w:t>一、质疑供应商基本信息</w:t>
      </w:r>
    </w:p>
    <w:p w14:paraId="4CA74406">
      <w:pPr>
        <w:spacing w:line="360" w:lineRule="auto"/>
        <w:rPr>
          <w:rFonts w:asciiTheme="minorEastAsia" w:hAnsiTheme="minorEastAsia" w:cstheme="minorEastAsia"/>
          <w:sz w:val="24"/>
          <w:u w:val="single"/>
        </w:rPr>
      </w:pPr>
      <w:r>
        <w:rPr>
          <w:rFonts w:hint="eastAsia" w:asciiTheme="minorEastAsia" w:hAnsiTheme="minorEastAsia" w:cstheme="minorEastAsia"/>
          <w:sz w:val="24"/>
        </w:rPr>
        <w:t>质疑供应商：</w:t>
      </w:r>
      <w:r>
        <w:rPr>
          <w:rFonts w:hint="eastAsia" w:asciiTheme="minorEastAsia" w:hAnsiTheme="minorEastAsia" w:cstheme="minorEastAsia"/>
          <w:sz w:val="24"/>
          <w:u w:val="single"/>
        </w:rPr>
        <w:t xml:space="preserve">                                                              </w:t>
      </w:r>
    </w:p>
    <w:p w14:paraId="798FAA2E">
      <w:pPr>
        <w:spacing w:line="360" w:lineRule="auto"/>
        <w:rPr>
          <w:rFonts w:asciiTheme="minorEastAsia" w:hAnsiTheme="minorEastAsia" w:cstheme="minorEastAsia"/>
          <w:sz w:val="24"/>
        </w:rPr>
      </w:pPr>
      <w:r>
        <w:rPr>
          <w:rFonts w:hint="eastAsia" w:asciiTheme="minorEastAsia" w:hAnsiTheme="minorEastAsia" w:cstheme="minorEastAsia"/>
          <w:sz w:val="24"/>
        </w:rPr>
        <w:t>地址：</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邮编：</w:t>
      </w:r>
      <w:r>
        <w:rPr>
          <w:rFonts w:hint="eastAsia" w:asciiTheme="minorEastAsia" w:hAnsiTheme="minorEastAsia" w:cstheme="minorEastAsia"/>
          <w:sz w:val="24"/>
          <w:u w:val="single"/>
        </w:rPr>
        <w:t xml:space="preserve">                                    </w:t>
      </w:r>
    </w:p>
    <w:p w14:paraId="3B9E26BE">
      <w:pPr>
        <w:spacing w:line="360" w:lineRule="auto"/>
        <w:rPr>
          <w:rFonts w:asciiTheme="minorEastAsia" w:hAnsiTheme="minorEastAsia" w:cstheme="minorEastAsia"/>
          <w:sz w:val="24"/>
        </w:rPr>
      </w:pPr>
      <w:r>
        <w:rPr>
          <w:rFonts w:hint="eastAsia" w:asciiTheme="minorEastAsia" w:hAnsiTheme="minorEastAsia" w:cstheme="minorEastAsia"/>
          <w:sz w:val="24"/>
        </w:rPr>
        <w:t>联系人：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联系电话：</w:t>
      </w:r>
      <w:r>
        <w:rPr>
          <w:rFonts w:hint="eastAsia" w:asciiTheme="minorEastAsia" w:hAnsiTheme="minorEastAsia" w:cstheme="minorEastAsia"/>
          <w:sz w:val="24"/>
          <w:u w:val="single"/>
        </w:rPr>
        <w:t xml:space="preserve">                                       </w:t>
      </w:r>
    </w:p>
    <w:p w14:paraId="0CFDE5D3">
      <w:pPr>
        <w:spacing w:line="360" w:lineRule="auto"/>
        <w:rPr>
          <w:rFonts w:asciiTheme="minorEastAsia" w:hAnsiTheme="minorEastAsia" w:cstheme="minorEastAsia"/>
          <w:sz w:val="24"/>
          <w:u w:val="single"/>
        </w:rPr>
      </w:pPr>
      <w:r>
        <w:rPr>
          <w:rFonts w:hint="eastAsia" w:asciiTheme="minorEastAsia" w:hAnsiTheme="minorEastAsia" w:cstheme="minorEastAsia"/>
          <w:sz w:val="24"/>
        </w:rPr>
        <w:t>授权代表：</w:t>
      </w:r>
      <w:r>
        <w:rPr>
          <w:rFonts w:hint="eastAsia" w:asciiTheme="minorEastAsia" w:hAnsiTheme="minorEastAsia" w:cstheme="minorEastAsia"/>
          <w:sz w:val="24"/>
          <w:u w:val="single"/>
        </w:rPr>
        <w:t xml:space="preserve">                                                                 </w:t>
      </w:r>
    </w:p>
    <w:p w14:paraId="38F66260">
      <w:pPr>
        <w:spacing w:line="360" w:lineRule="auto"/>
        <w:rPr>
          <w:rFonts w:asciiTheme="minorEastAsia" w:hAnsiTheme="minorEastAsia" w:cstheme="minorEastAsia"/>
          <w:sz w:val="24"/>
        </w:rPr>
      </w:pPr>
      <w:r>
        <w:rPr>
          <w:rFonts w:hint="eastAsia" w:asciiTheme="minorEastAsia" w:hAnsiTheme="minorEastAsia" w:cstheme="minorEastAsia"/>
          <w:sz w:val="24"/>
        </w:rPr>
        <w:t>联系电话：</w:t>
      </w:r>
      <w:r>
        <w:rPr>
          <w:rFonts w:hint="eastAsia" w:asciiTheme="minorEastAsia" w:hAnsiTheme="minorEastAsia" w:cstheme="minorEastAsia"/>
          <w:sz w:val="24"/>
          <w:u w:val="single"/>
        </w:rPr>
        <w:t xml:space="preserve">                                                                </w:t>
      </w:r>
    </w:p>
    <w:p w14:paraId="6642B67D">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地址：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邮编：</w:t>
      </w:r>
      <w:r>
        <w:rPr>
          <w:rFonts w:hint="eastAsia" w:asciiTheme="minorEastAsia" w:hAnsiTheme="minorEastAsia" w:cstheme="minorEastAsia"/>
          <w:sz w:val="24"/>
          <w:u w:val="single"/>
        </w:rPr>
        <w:t xml:space="preserve">                                     </w:t>
      </w:r>
    </w:p>
    <w:p w14:paraId="1D2E0232">
      <w:pPr>
        <w:spacing w:line="360" w:lineRule="auto"/>
        <w:rPr>
          <w:rFonts w:asciiTheme="minorEastAsia" w:hAnsiTheme="minorEastAsia" w:cstheme="minorEastAsia"/>
          <w:bCs/>
          <w:sz w:val="24"/>
        </w:rPr>
      </w:pPr>
      <w:r>
        <w:rPr>
          <w:rFonts w:hint="eastAsia" w:asciiTheme="minorEastAsia" w:hAnsiTheme="minorEastAsia" w:cstheme="minorEastAsia"/>
          <w:bCs/>
          <w:sz w:val="24"/>
        </w:rPr>
        <w:t>二、质疑项目基本情况</w:t>
      </w:r>
    </w:p>
    <w:p w14:paraId="69F72B34">
      <w:pPr>
        <w:spacing w:line="360" w:lineRule="auto"/>
        <w:rPr>
          <w:rFonts w:asciiTheme="minorEastAsia" w:hAnsiTheme="minorEastAsia" w:cstheme="minorEastAsia"/>
          <w:sz w:val="24"/>
        </w:rPr>
      </w:pPr>
      <w:r>
        <w:rPr>
          <w:rFonts w:hint="eastAsia" w:asciiTheme="minorEastAsia" w:hAnsiTheme="minorEastAsia" w:cstheme="minorEastAsia"/>
          <w:sz w:val="24"/>
        </w:rPr>
        <w:t>质疑项目的名称：</w:t>
      </w:r>
      <w:r>
        <w:rPr>
          <w:rFonts w:hint="eastAsia" w:asciiTheme="minorEastAsia" w:hAnsiTheme="minorEastAsia" w:cstheme="minorEastAsia"/>
          <w:sz w:val="24"/>
          <w:u w:val="single"/>
        </w:rPr>
        <w:t xml:space="preserve">                                                          </w:t>
      </w:r>
    </w:p>
    <w:p w14:paraId="178691D9">
      <w:pPr>
        <w:spacing w:line="360" w:lineRule="auto"/>
        <w:rPr>
          <w:rFonts w:asciiTheme="minorEastAsia" w:hAnsiTheme="minorEastAsia" w:cstheme="minorEastAsia"/>
          <w:sz w:val="24"/>
        </w:rPr>
      </w:pPr>
      <w:r>
        <w:rPr>
          <w:rFonts w:hint="eastAsia" w:asciiTheme="minorEastAsia" w:hAnsiTheme="minorEastAsia" w:cstheme="minorEastAsia"/>
          <w:sz w:val="24"/>
        </w:rPr>
        <w:t>质疑项目的编号：</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包号：</w:t>
      </w:r>
      <w:r>
        <w:rPr>
          <w:rFonts w:hint="eastAsia" w:asciiTheme="minorEastAsia" w:hAnsiTheme="minorEastAsia" w:cstheme="minorEastAsia"/>
          <w:sz w:val="24"/>
          <w:u w:val="single"/>
        </w:rPr>
        <w:t xml:space="preserve">                           </w:t>
      </w:r>
    </w:p>
    <w:p w14:paraId="74EF374C">
      <w:pPr>
        <w:spacing w:line="360" w:lineRule="auto"/>
        <w:rPr>
          <w:rFonts w:asciiTheme="minorEastAsia" w:hAnsiTheme="minorEastAsia" w:cstheme="minorEastAsia"/>
          <w:sz w:val="24"/>
          <w:u w:val="single"/>
        </w:rPr>
      </w:pPr>
      <w:r>
        <w:rPr>
          <w:rFonts w:hint="eastAsia" w:asciiTheme="minorEastAsia" w:hAnsiTheme="minorEastAsia" w:cstheme="minorEastAsia"/>
          <w:sz w:val="24"/>
        </w:rPr>
        <w:t>采购人名称：</w:t>
      </w:r>
      <w:r>
        <w:rPr>
          <w:rFonts w:hint="eastAsia" w:asciiTheme="minorEastAsia" w:hAnsiTheme="minorEastAsia" w:cstheme="minorEastAsia"/>
          <w:sz w:val="24"/>
          <w:u w:val="single"/>
        </w:rPr>
        <w:t xml:space="preserve">                                                              </w:t>
      </w:r>
    </w:p>
    <w:p w14:paraId="269EF8D2">
      <w:pPr>
        <w:spacing w:line="360" w:lineRule="auto"/>
        <w:rPr>
          <w:rFonts w:asciiTheme="minorEastAsia" w:hAnsiTheme="minorEastAsia" w:cstheme="minorEastAsia"/>
          <w:sz w:val="24"/>
        </w:rPr>
      </w:pPr>
      <w:r>
        <w:rPr>
          <w:rFonts w:hint="eastAsia" w:asciiTheme="minorEastAsia" w:hAnsiTheme="minorEastAsia" w:cstheme="minorEastAsia"/>
          <w:sz w:val="24"/>
        </w:rPr>
        <w:t>采购文件获取日期：</w:t>
      </w:r>
      <w:r>
        <w:rPr>
          <w:rFonts w:hint="eastAsia" w:asciiTheme="minorEastAsia" w:hAnsiTheme="minorEastAsia" w:cstheme="minorEastAsia"/>
          <w:sz w:val="24"/>
          <w:u w:val="single"/>
        </w:rPr>
        <w:t xml:space="preserve">                                                        </w:t>
      </w:r>
    </w:p>
    <w:p w14:paraId="467B30B3">
      <w:pPr>
        <w:spacing w:line="360" w:lineRule="auto"/>
        <w:rPr>
          <w:rFonts w:asciiTheme="minorEastAsia" w:hAnsiTheme="minorEastAsia" w:cstheme="minorEastAsia"/>
          <w:bCs/>
          <w:sz w:val="24"/>
        </w:rPr>
      </w:pPr>
      <w:r>
        <w:rPr>
          <w:rFonts w:hint="eastAsia" w:asciiTheme="minorEastAsia" w:hAnsiTheme="minorEastAsia" w:cstheme="minorEastAsia"/>
          <w:bCs/>
          <w:sz w:val="24"/>
        </w:rPr>
        <w:t>三、质疑事项具体内容</w:t>
      </w:r>
    </w:p>
    <w:p w14:paraId="488B464F">
      <w:pPr>
        <w:spacing w:line="360" w:lineRule="auto"/>
        <w:rPr>
          <w:rFonts w:asciiTheme="minorEastAsia" w:hAnsiTheme="minorEastAsia" w:cstheme="minorEastAsia"/>
          <w:sz w:val="24"/>
          <w:u w:val="single"/>
        </w:rPr>
      </w:pPr>
      <w:r>
        <w:rPr>
          <w:rFonts w:hint="eastAsia" w:asciiTheme="minorEastAsia" w:hAnsiTheme="minorEastAsia" w:cstheme="minorEastAsia"/>
          <w:sz w:val="24"/>
        </w:rPr>
        <w:t>质疑事项1：</w:t>
      </w:r>
      <w:r>
        <w:rPr>
          <w:rFonts w:hint="eastAsia" w:asciiTheme="minorEastAsia" w:hAnsiTheme="minorEastAsia" w:cstheme="minorEastAsia"/>
          <w:sz w:val="24"/>
          <w:u w:val="single"/>
        </w:rPr>
        <w:t xml:space="preserve">                                                              </w:t>
      </w:r>
    </w:p>
    <w:p w14:paraId="7CBE8673">
      <w:pPr>
        <w:spacing w:line="360" w:lineRule="auto"/>
        <w:rPr>
          <w:rFonts w:asciiTheme="minorEastAsia" w:hAnsiTheme="minorEastAsia" w:cstheme="minorEastAsia"/>
          <w:sz w:val="24"/>
          <w:u w:val="single"/>
        </w:rPr>
      </w:pPr>
      <w:r>
        <w:rPr>
          <w:rFonts w:hint="eastAsia" w:asciiTheme="minorEastAsia" w:hAnsiTheme="minorEastAsia" w:cstheme="minorEastAsia"/>
          <w:sz w:val="24"/>
        </w:rPr>
        <w:t>事实依据：</w:t>
      </w:r>
      <w:r>
        <w:rPr>
          <w:rFonts w:hint="eastAsia" w:asciiTheme="minorEastAsia" w:hAnsiTheme="minorEastAsia" w:cstheme="minorEastAsia"/>
          <w:sz w:val="24"/>
          <w:u w:val="single"/>
        </w:rPr>
        <w:t xml:space="preserve">                                                                </w:t>
      </w:r>
    </w:p>
    <w:p w14:paraId="02473277">
      <w:pPr>
        <w:spacing w:line="360" w:lineRule="auto"/>
        <w:rPr>
          <w:rFonts w:asciiTheme="minorEastAsia" w:hAnsiTheme="minorEastAsia" w:cstheme="minorEastAsia"/>
          <w:sz w:val="24"/>
        </w:rPr>
      </w:pPr>
      <w:r>
        <w:rPr>
          <w:rFonts w:hint="eastAsia" w:asciiTheme="minorEastAsia" w:hAnsiTheme="minorEastAsia" w:cstheme="minorEastAsia"/>
          <w:sz w:val="24"/>
          <w:u w:val="single"/>
        </w:rPr>
        <w:t xml:space="preserve">                                                                           </w:t>
      </w:r>
    </w:p>
    <w:p w14:paraId="4A39086F">
      <w:pPr>
        <w:spacing w:line="360" w:lineRule="auto"/>
        <w:rPr>
          <w:rFonts w:asciiTheme="minorEastAsia" w:hAnsiTheme="minorEastAsia" w:cstheme="minorEastAsia"/>
          <w:sz w:val="24"/>
          <w:u w:val="single"/>
        </w:rPr>
      </w:pPr>
      <w:r>
        <w:rPr>
          <w:rFonts w:hint="eastAsia" w:asciiTheme="minorEastAsia" w:hAnsiTheme="minorEastAsia" w:cstheme="minorEastAsia"/>
          <w:sz w:val="24"/>
        </w:rPr>
        <w:t>法律依据：</w:t>
      </w:r>
      <w:r>
        <w:rPr>
          <w:rFonts w:hint="eastAsia" w:asciiTheme="minorEastAsia" w:hAnsiTheme="minorEastAsia" w:cstheme="minorEastAsia"/>
          <w:sz w:val="24"/>
          <w:u w:val="single"/>
        </w:rPr>
        <w:t xml:space="preserve">                                                                 </w:t>
      </w:r>
    </w:p>
    <w:p w14:paraId="65E142D1">
      <w:pPr>
        <w:spacing w:line="360" w:lineRule="auto"/>
        <w:rPr>
          <w:rFonts w:asciiTheme="minorEastAsia" w:hAnsiTheme="minorEastAsia" w:cstheme="minorEastAsia"/>
          <w:sz w:val="24"/>
          <w:u w:val="single"/>
        </w:rPr>
      </w:pPr>
      <w:r>
        <w:rPr>
          <w:rFonts w:hint="eastAsia" w:asciiTheme="minorEastAsia" w:hAnsiTheme="minorEastAsia" w:cstheme="minorEastAsia"/>
          <w:sz w:val="24"/>
          <w:u w:val="single"/>
        </w:rPr>
        <w:t xml:space="preserve">                                                                           </w:t>
      </w:r>
    </w:p>
    <w:p w14:paraId="28522C36">
      <w:pPr>
        <w:spacing w:line="360" w:lineRule="auto"/>
        <w:rPr>
          <w:rFonts w:asciiTheme="minorEastAsia" w:hAnsiTheme="minorEastAsia" w:cstheme="minorEastAsia"/>
          <w:sz w:val="24"/>
          <w:u w:val="single"/>
        </w:rPr>
      </w:pPr>
      <w:r>
        <w:rPr>
          <w:rFonts w:hint="eastAsia" w:asciiTheme="minorEastAsia" w:hAnsiTheme="minorEastAsia" w:cstheme="minorEastAsia"/>
          <w:sz w:val="24"/>
        </w:rPr>
        <w:t>质疑事项2</w:t>
      </w:r>
    </w:p>
    <w:p w14:paraId="55F45E20">
      <w:pPr>
        <w:spacing w:line="360" w:lineRule="auto"/>
        <w:rPr>
          <w:rFonts w:asciiTheme="minorEastAsia" w:hAnsiTheme="minorEastAsia" w:cstheme="minorEastAsia"/>
          <w:sz w:val="24"/>
        </w:rPr>
      </w:pPr>
      <w:r>
        <w:rPr>
          <w:rFonts w:hint="eastAsia" w:asciiTheme="minorEastAsia" w:hAnsiTheme="minorEastAsia" w:cstheme="minorEastAsia"/>
          <w:sz w:val="24"/>
        </w:rPr>
        <w:t>……</w:t>
      </w:r>
    </w:p>
    <w:p w14:paraId="5235E785">
      <w:pPr>
        <w:spacing w:line="360" w:lineRule="auto"/>
        <w:rPr>
          <w:rFonts w:asciiTheme="minorEastAsia" w:hAnsiTheme="minorEastAsia" w:cstheme="minorEastAsia"/>
          <w:bCs/>
          <w:sz w:val="24"/>
        </w:rPr>
      </w:pPr>
      <w:r>
        <w:rPr>
          <w:rFonts w:hint="eastAsia" w:asciiTheme="minorEastAsia" w:hAnsiTheme="minorEastAsia" w:cstheme="minorEastAsia"/>
          <w:bCs/>
          <w:sz w:val="24"/>
        </w:rPr>
        <w:t>四、与质疑事项相关的质疑请求</w:t>
      </w:r>
    </w:p>
    <w:p w14:paraId="604CB703">
      <w:pPr>
        <w:spacing w:line="360" w:lineRule="auto"/>
        <w:rPr>
          <w:rFonts w:asciiTheme="minorEastAsia" w:hAnsiTheme="minorEastAsia" w:cstheme="minorEastAsia"/>
          <w:sz w:val="24"/>
          <w:u w:val="single"/>
        </w:rPr>
      </w:pPr>
      <w:r>
        <w:rPr>
          <w:rFonts w:hint="eastAsia" w:asciiTheme="minorEastAsia" w:hAnsiTheme="minorEastAsia" w:cstheme="minorEastAsia"/>
          <w:sz w:val="24"/>
        </w:rPr>
        <w:t>请求：</w:t>
      </w:r>
      <w:r>
        <w:rPr>
          <w:rFonts w:hint="eastAsia" w:asciiTheme="minorEastAsia" w:hAnsiTheme="minorEastAsia" w:cstheme="minorEastAsia"/>
          <w:sz w:val="24"/>
          <w:u w:val="single"/>
        </w:rPr>
        <w:t xml:space="preserve">                                                                     </w:t>
      </w:r>
    </w:p>
    <w:p w14:paraId="37BA04B2">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签字(签章)：                   公章：                      </w:t>
      </w:r>
    </w:p>
    <w:p w14:paraId="5DEFC251">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日期：    </w:t>
      </w:r>
    </w:p>
    <w:p w14:paraId="1A71F63F">
      <w:pPr>
        <w:spacing w:line="360" w:lineRule="auto"/>
        <w:rPr>
          <w:rFonts w:asciiTheme="minorEastAsia" w:hAnsiTheme="minorEastAsia" w:cstheme="minorEastAsia"/>
          <w:sz w:val="24"/>
        </w:rPr>
      </w:pPr>
      <w:r>
        <w:rPr>
          <w:rFonts w:hint="eastAsia" w:asciiTheme="minorEastAsia" w:hAnsiTheme="minorEastAsia" w:cstheme="minorEastAsia"/>
          <w:sz w:val="24"/>
        </w:rPr>
        <w:br w:type="page"/>
      </w:r>
    </w:p>
    <w:p w14:paraId="1D0DD9C5">
      <w:pPr>
        <w:spacing w:line="360" w:lineRule="auto"/>
        <w:rPr>
          <w:rFonts w:ascii="黑体" w:hAnsi="黑体" w:eastAsia="黑体" w:cs="黑体"/>
          <w:sz w:val="28"/>
          <w:szCs w:val="28"/>
        </w:rPr>
      </w:pPr>
      <w:r>
        <w:rPr>
          <w:rFonts w:hint="eastAsia" w:ascii="黑体" w:hAnsi="黑体" w:eastAsia="黑体" w:cs="黑体"/>
          <w:sz w:val="28"/>
          <w:szCs w:val="28"/>
        </w:rPr>
        <w:t>质疑函制作说明：</w:t>
      </w:r>
    </w:p>
    <w:p w14:paraId="5577D38E">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1.供应商提出质疑时，应提交质疑函和必要的证明材料。</w:t>
      </w:r>
    </w:p>
    <w:p w14:paraId="1963C600">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75BDD9">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3.质疑供应商若对项目的某一分包进行质疑，质疑函中应列明具体分包号。</w:t>
      </w:r>
    </w:p>
    <w:p w14:paraId="7053E278">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4.质疑函的质疑事项应具体、明确，并有必要的事实依据和法律依据。</w:t>
      </w:r>
    </w:p>
    <w:p w14:paraId="7295E9B6">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5.质疑函的质疑请求应与质疑事项相关。</w:t>
      </w:r>
    </w:p>
    <w:p w14:paraId="1C52B932">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6.质疑供应商为自然人的，质疑函应由本人签字；质疑供应商为法人或者其他组织的，质疑函应由法定代表人、主要负责人，或者其授权代表签字或者盖章，并加盖公章。</w:t>
      </w:r>
    </w:p>
    <w:p w14:paraId="186D291D">
      <w:pPr>
        <w:spacing w:line="360" w:lineRule="auto"/>
        <w:ind w:firstLine="480" w:firstLineChars="200"/>
        <w:rPr>
          <w:rFonts w:asciiTheme="minorEastAsia" w:hAnsiTheme="minorEastAsia" w:cstheme="minorEastAsia"/>
          <w:sz w:val="24"/>
        </w:rPr>
      </w:pPr>
    </w:p>
    <w:p w14:paraId="4C2D949C">
      <w:pPr>
        <w:spacing w:line="360" w:lineRule="auto"/>
        <w:ind w:firstLine="480" w:firstLineChars="200"/>
        <w:rPr>
          <w:rFonts w:asciiTheme="minorEastAsia" w:hAnsiTheme="minorEastAsia" w:cstheme="minorEastAsia"/>
          <w:sz w:val="24"/>
        </w:rPr>
      </w:pPr>
    </w:p>
    <w:p w14:paraId="11C13466">
      <w:pPr>
        <w:spacing w:line="360" w:lineRule="auto"/>
        <w:ind w:firstLine="480" w:firstLineChars="200"/>
        <w:rPr>
          <w:rFonts w:asciiTheme="minorEastAsia" w:hAnsiTheme="minorEastAsia" w:cstheme="minorEastAsia"/>
          <w:sz w:val="24"/>
        </w:rPr>
      </w:pPr>
    </w:p>
    <w:p w14:paraId="5461DF09">
      <w:pPr>
        <w:spacing w:line="360" w:lineRule="auto"/>
        <w:ind w:firstLine="480" w:firstLineChars="200"/>
        <w:rPr>
          <w:rFonts w:asciiTheme="minorEastAsia" w:hAnsiTheme="minorEastAsia" w:cstheme="minorEastAsia"/>
          <w:sz w:val="24"/>
        </w:rPr>
      </w:pPr>
    </w:p>
    <w:p w14:paraId="46DEDB5A">
      <w:pPr>
        <w:spacing w:line="360" w:lineRule="auto"/>
        <w:ind w:firstLine="480" w:firstLineChars="200"/>
        <w:rPr>
          <w:rFonts w:asciiTheme="minorEastAsia" w:hAnsiTheme="minorEastAsia" w:cstheme="minorEastAsia"/>
          <w:sz w:val="24"/>
        </w:rPr>
      </w:pPr>
    </w:p>
    <w:sectPr>
      <w:footerReference r:id="rId3" w:type="default"/>
      <w:pgSz w:w="11906" w:h="16838"/>
      <w:pgMar w:top="1440" w:right="1474" w:bottom="1440"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3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2BC1F">
                          <w:pPr>
                            <w:pStyle w:val="10"/>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4A2BC1F">
                    <w:pPr>
                      <w:pStyle w:val="10"/>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A6F94"/>
    <w:multiLevelType w:val="singleLevel"/>
    <w:tmpl w:val="3A9A6F9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D1"/>
    <w:rsid w:val="000307EA"/>
    <w:rsid w:val="00141676"/>
    <w:rsid w:val="002D4503"/>
    <w:rsid w:val="0061032E"/>
    <w:rsid w:val="006A25D1"/>
    <w:rsid w:val="006C6665"/>
    <w:rsid w:val="007134E3"/>
    <w:rsid w:val="00745A9E"/>
    <w:rsid w:val="00800826"/>
    <w:rsid w:val="008356E8"/>
    <w:rsid w:val="00953888"/>
    <w:rsid w:val="009E5F52"/>
    <w:rsid w:val="00A67E95"/>
    <w:rsid w:val="00AE61C9"/>
    <w:rsid w:val="00C6598C"/>
    <w:rsid w:val="00C975EC"/>
    <w:rsid w:val="00D36040"/>
    <w:rsid w:val="00D432AE"/>
    <w:rsid w:val="00E1273C"/>
    <w:rsid w:val="00E441F8"/>
    <w:rsid w:val="00E85573"/>
    <w:rsid w:val="00E95A9C"/>
    <w:rsid w:val="00EE4D40"/>
    <w:rsid w:val="00FE4037"/>
    <w:rsid w:val="0100390C"/>
    <w:rsid w:val="029C58B6"/>
    <w:rsid w:val="02EA4873"/>
    <w:rsid w:val="06EE2458"/>
    <w:rsid w:val="07E86EA8"/>
    <w:rsid w:val="082337E3"/>
    <w:rsid w:val="0A2166A1"/>
    <w:rsid w:val="0A516F86"/>
    <w:rsid w:val="0B7C0033"/>
    <w:rsid w:val="0CA737D5"/>
    <w:rsid w:val="0CCC4FEA"/>
    <w:rsid w:val="0EBF4F2D"/>
    <w:rsid w:val="0FBC40A8"/>
    <w:rsid w:val="113B273E"/>
    <w:rsid w:val="12266F4A"/>
    <w:rsid w:val="150712B5"/>
    <w:rsid w:val="174C1201"/>
    <w:rsid w:val="17B774F7"/>
    <w:rsid w:val="18A21181"/>
    <w:rsid w:val="1AE051BD"/>
    <w:rsid w:val="1B5A11BB"/>
    <w:rsid w:val="1C4306F9"/>
    <w:rsid w:val="1C7653B9"/>
    <w:rsid w:val="1D796AC8"/>
    <w:rsid w:val="1E831280"/>
    <w:rsid w:val="20315438"/>
    <w:rsid w:val="20DA0A53"/>
    <w:rsid w:val="214867AA"/>
    <w:rsid w:val="21627873"/>
    <w:rsid w:val="21690C01"/>
    <w:rsid w:val="21BD738F"/>
    <w:rsid w:val="21CB7C5D"/>
    <w:rsid w:val="234611FA"/>
    <w:rsid w:val="2388401F"/>
    <w:rsid w:val="276F4A98"/>
    <w:rsid w:val="285223EF"/>
    <w:rsid w:val="28963B51"/>
    <w:rsid w:val="28C037FD"/>
    <w:rsid w:val="29400C48"/>
    <w:rsid w:val="29895B7C"/>
    <w:rsid w:val="2CA945A8"/>
    <w:rsid w:val="2D1B234D"/>
    <w:rsid w:val="2DB142C8"/>
    <w:rsid w:val="2F9037FD"/>
    <w:rsid w:val="30393E95"/>
    <w:rsid w:val="306543BB"/>
    <w:rsid w:val="30FA0D70"/>
    <w:rsid w:val="34120C85"/>
    <w:rsid w:val="35DE3514"/>
    <w:rsid w:val="37B2580D"/>
    <w:rsid w:val="39205BF2"/>
    <w:rsid w:val="3A46605E"/>
    <w:rsid w:val="3A825027"/>
    <w:rsid w:val="3AF46352"/>
    <w:rsid w:val="3D3D4FC4"/>
    <w:rsid w:val="3E1F7B1C"/>
    <w:rsid w:val="3F4C7741"/>
    <w:rsid w:val="40385F17"/>
    <w:rsid w:val="40DE086C"/>
    <w:rsid w:val="41C537DA"/>
    <w:rsid w:val="42894B4A"/>
    <w:rsid w:val="42B31885"/>
    <w:rsid w:val="43204D2E"/>
    <w:rsid w:val="43F343DC"/>
    <w:rsid w:val="44402570"/>
    <w:rsid w:val="44784B34"/>
    <w:rsid w:val="44C166F5"/>
    <w:rsid w:val="45C73FC5"/>
    <w:rsid w:val="46A47E62"/>
    <w:rsid w:val="46CE762A"/>
    <w:rsid w:val="4723522B"/>
    <w:rsid w:val="4783216D"/>
    <w:rsid w:val="478F1C2E"/>
    <w:rsid w:val="48735358"/>
    <w:rsid w:val="4C9666E0"/>
    <w:rsid w:val="4E703038"/>
    <w:rsid w:val="4EE2777A"/>
    <w:rsid w:val="4F6665FD"/>
    <w:rsid w:val="506A211C"/>
    <w:rsid w:val="51253170"/>
    <w:rsid w:val="51736EED"/>
    <w:rsid w:val="51FF3E19"/>
    <w:rsid w:val="53E534E0"/>
    <w:rsid w:val="55B3203E"/>
    <w:rsid w:val="565A053D"/>
    <w:rsid w:val="56881EF5"/>
    <w:rsid w:val="58CB127E"/>
    <w:rsid w:val="59103135"/>
    <w:rsid w:val="5A102D6B"/>
    <w:rsid w:val="5AB81CD6"/>
    <w:rsid w:val="5B8A314C"/>
    <w:rsid w:val="5BDA4CF1"/>
    <w:rsid w:val="5BFC635C"/>
    <w:rsid w:val="5D775E79"/>
    <w:rsid w:val="5D804D2D"/>
    <w:rsid w:val="5DD9443E"/>
    <w:rsid w:val="5E99357D"/>
    <w:rsid w:val="5FBC7B73"/>
    <w:rsid w:val="61354DB1"/>
    <w:rsid w:val="63A37A06"/>
    <w:rsid w:val="63DF02D4"/>
    <w:rsid w:val="65237DA0"/>
    <w:rsid w:val="66252916"/>
    <w:rsid w:val="6723497B"/>
    <w:rsid w:val="68450829"/>
    <w:rsid w:val="686B2852"/>
    <w:rsid w:val="689F6284"/>
    <w:rsid w:val="6908207B"/>
    <w:rsid w:val="6ADF371D"/>
    <w:rsid w:val="6B6537B4"/>
    <w:rsid w:val="6C264CF2"/>
    <w:rsid w:val="6CC85DA9"/>
    <w:rsid w:val="6F241E9A"/>
    <w:rsid w:val="6FC7059A"/>
    <w:rsid w:val="70080CF6"/>
    <w:rsid w:val="70AE52B6"/>
    <w:rsid w:val="719548BD"/>
    <w:rsid w:val="72622B9E"/>
    <w:rsid w:val="726376B6"/>
    <w:rsid w:val="730C5D6B"/>
    <w:rsid w:val="73CA0F4C"/>
    <w:rsid w:val="749F1AE5"/>
    <w:rsid w:val="74EC2851"/>
    <w:rsid w:val="75E754BD"/>
    <w:rsid w:val="76204C41"/>
    <w:rsid w:val="77536BB7"/>
    <w:rsid w:val="77F739E6"/>
    <w:rsid w:val="78A026EA"/>
    <w:rsid w:val="79915775"/>
    <w:rsid w:val="7AC758F2"/>
    <w:rsid w:val="7B13292F"/>
    <w:rsid w:val="7B2F3497"/>
    <w:rsid w:val="7CE00EED"/>
    <w:rsid w:val="7D90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after="100" w:afterLines="100" w:line="360" w:lineRule="auto"/>
      <w:jc w:val="center"/>
      <w:outlineLvl w:val="0"/>
    </w:pPr>
    <w:rPr>
      <w:b/>
      <w:kern w:val="44"/>
      <w:sz w:val="32"/>
    </w:rPr>
  </w:style>
  <w:style w:type="paragraph" w:styleId="3">
    <w:name w:val="heading 2"/>
    <w:basedOn w:val="1"/>
    <w:next w:val="1"/>
    <w:unhideWhenUsed/>
    <w:qFormat/>
    <w:uiPriority w:val="0"/>
    <w:pPr>
      <w:keepNext/>
      <w:keepLines/>
      <w:spacing w:line="360" w:lineRule="auto"/>
      <w:ind w:firstLine="1680" w:firstLineChars="200"/>
      <w:outlineLvl w:val="1"/>
    </w:pPr>
    <w:rPr>
      <w:rFonts w:ascii="Arial" w:hAnsi="Arial" w:eastAsia="黑体"/>
      <w:b/>
      <w:sz w:val="28"/>
    </w:rPr>
  </w:style>
  <w:style w:type="paragraph" w:styleId="4">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unhideWhenUsed/>
    <w:qFormat/>
    <w:uiPriority w:val="0"/>
    <w:pPr>
      <w:jc w:val="left"/>
    </w:pPr>
    <w:rPr>
      <w:rFonts w:ascii="Times New Roman" w:hAnsi="Times New Roman"/>
    </w:rPr>
  </w:style>
  <w:style w:type="paragraph" w:styleId="6">
    <w:name w:val="Body Text"/>
    <w:basedOn w:val="1"/>
    <w:link w:val="28"/>
    <w:qFormat/>
    <w:uiPriority w:val="0"/>
    <w:pPr>
      <w:spacing w:after="120"/>
    </w:pPr>
    <w:rPr>
      <w:rFonts w:ascii="Times New Roman" w:hAnsi="Times New Roman"/>
    </w:rPr>
  </w:style>
  <w:style w:type="paragraph" w:styleId="7">
    <w:name w:val="Body Text Indent"/>
    <w:basedOn w:val="1"/>
    <w:next w:val="8"/>
    <w:qFormat/>
    <w:uiPriority w:val="0"/>
    <w:pPr>
      <w:spacing w:line="520" w:lineRule="exact"/>
      <w:ind w:left="570"/>
    </w:pPr>
    <w:rPr>
      <w:rFonts w:hint="eastAsia" w:ascii="楷体_GB2312"/>
    </w:rPr>
  </w:style>
  <w:style w:type="paragraph" w:styleId="8">
    <w:name w:val="envelope return"/>
    <w:basedOn w:val="1"/>
    <w:unhideWhenUsed/>
    <w:qFormat/>
    <w:uiPriority w:val="99"/>
    <w:rPr>
      <w:rFonts w:ascii="Arial" w:hAnsi="Arial"/>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Body Text Indent 3"/>
    <w:basedOn w:val="1"/>
    <w:qFormat/>
    <w:uiPriority w:val="0"/>
    <w:pPr>
      <w:spacing w:line="360" w:lineRule="auto"/>
      <w:ind w:firstLine="617" w:firstLineChars="257"/>
    </w:pPr>
    <w:rPr>
      <w:sz w:val="24"/>
      <w:szCs w:val="24"/>
    </w:rPr>
  </w:style>
  <w:style w:type="paragraph" w:styleId="14">
    <w:name w:val="toc 2"/>
    <w:basedOn w:val="1"/>
    <w:next w:val="1"/>
    <w:qFormat/>
    <w:uiPriority w:val="0"/>
    <w:pPr>
      <w:ind w:left="420" w:leftChars="200"/>
    </w:pPr>
  </w:style>
  <w:style w:type="paragraph" w:styleId="15">
    <w:name w:val="Body Text First Indent 2"/>
    <w:basedOn w:val="7"/>
    <w:next w:val="13"/>
    <w:unhideWhenUsed/>
    <w:qFormat/>
    <w:uiPriority w:val="0"/>
    <w:pPr>
      <w:ind w:firstLine="420" w:firstLineChars="200"/>
    </w:pPr>
  </w:style>
  <w:style w:type="paragraph" w:customStyle="1" w:styleId="18">
    <w:name w:val="正文文本首行缩进"/>
    <w:basedOn w:val="19"/>
    <w:qFormat/>
    <w:uiPriority w:val="0"/>
    <w:pPr>
      <w:spacing w:line="360" w:lineRule="auto"/>
      <w:ind w:firstLine="200"/>
    </w:pPr>
    <w:rPr>
      <w:rFonts w:ascii="仿宋_GB2312" w:hAnsi="Times New Roman" w:eastAsia="仿宋_GB2312"/>
      <w:sz w:val="30"/>
      <w:szCs w:val="30"/>
    </w:rPr>
  </w:style>
  <w:style w:type="paragraph" w:customStyle="1" w:styleId="19">
    <w:name w:val="正文文本1"/>
    <w:basedOn w:val="1"/>
    <w:next w:val="1"/>
    <w:qFormat/>
    <w:uiPriority w:val="0"/>
    <w:rPr>
      <w:rFonts w:ascii="楷体_GB2312" w:hAnsi="Arial" w:eastAsia="楷体_GB2312"/>
      <w:sz w:val="28"/>
      <w:szCs w:val="28"/>
    </w:rPr>
  </w:style>
  <w:style w:type="paragraph" w:customStyle="1" w:styleId="20">
    <w:name w:val="普通正文"/>
    <w:basedOn w:val="1"/>
    <w:qFormat/>
    <w:uiPriority w:val="0"/>
    <w:pPr>
      <w:spacing w:before="120" w:after="120" w:line="360" w:lineRule="auto"/>
      <w:ind w:firstLine="480"/>
      <w:jc w:val="left"/>
    </w:pPr>
    <w:rPr>
      <w:rFonts w:ascii="Arial" w:hAnsi="Arial"/>
      <w:sz w:val="24"/>
    </w:rPr>
  </w:style>
  <w:style w:type="paragraph" w:customStyle="1" w:styleId="21">
    <w:name w:val="正文首行缩进1"/>
    <w:basedOn w:val="22"/>
    <w:qFormat/>
    <w:uiPriority w:val="0"/>
    <w:pPr>
      <w:spacing w:line="360" w:lineRule="auto"/>
      <w:ind w:firstLine="200"/>
    </w:pPr>
    <w:rPr>
      <w:rFonts w:ascii="仿宋_GB2312" w:eastAsia="仿宋_GB2312"/>
      <w:sz w:val="30"/>
      <w:szCs w:val="30"/>
    </w:rPr>
  </w:style>
  <w:style w:type="paragraph" w:customStyle="1" w:styleId="22">
    <w:name w:val="正文文本2"/>
    <w:basedOn w:val="1"/>
    <w:next w:val="1"/>
    <w:qFormat/>
    <w:uiPriority w:val="0"/>
    <w:rPr>
      <w:rFonts w:ascii="楷体_GB2312" w:hAnsi="Arial" w:eastAsia="楷体_GB2312"/>
      <w:sz w:val="28"/>
      <w:szCs w:val="28"/>
    </w:rPr>
  </w:style>
  <w:style w:type="paragraph" w:customStyle="1" w:styleId="23">
    <w:name w:val="Char"/>
    <w:basedOn w:val="1"/>
    <w:qFormat/>
    <w:uiPriority w:val="0"/>
    <w:pPr>
      <w:tabs>
        <w:tab w:val="left" w:pos="360"/>
      </w:tabs>
      <w:ind w:firstLine="200"/>
    </w:pPr>
    <w:rPr>
      <w:sz w:val="28"/>
      <w:szCs w:val="30"/>
    </w:rPr>
  </w:style>
  <w:style w:type="paragraph" w:customStyle="1" w:styleId="24">
    <w:name w:val="正文缩进1"/>
    <w:basedOn w:val="1"/>
    <w:qFormat/>
    <w:uiPriority w:val="0"/>
    <w:pPr>
      <w:ind w:firstLine="420"/>
    </w:pPr>
  </w:style>
  <w:style w:type="character" w:customStyle="1" w:styleId="25">
    <w:name w:val="批注框文本 Char"/>
    <w:basedOn w:val="17"/>
    <w:link w:val="9"/>
    <w:qFormat/>
    <w:uiPriority w:val="0"/>
    <w:rPr>
      <w:kern w:val="2"/>
      <w:sz w:val="18"/>
      <w:szCs w:val="18"/>
    </w:rPr>
  </w:style>
  <w:style w:type="paragraph" w:customStyle="1" w:styleId="26">
    <w:name w:val="列出段落1"/>
    <w:basedOn w:val="1"/>
    <w:qFormat/>
    <w:uiPriority w:val="0"/>
    <w:pPr>
      <w:ind w:firstLine="420" w:firstLineChars="200"/>
    </w:pPr>
    <w:rPr>
      <w:rFonts w:ascii="Times New Roman" w:hAnsi="Times New Roman" w:eastAsia="宋体" w:cs="Times New Roman"/>
    </w:rPr>
  </w:style>
  <w:style w:type="paragraph" w:styleId="27">
    <w:name w:val="List Paragraph"/>
    <w:basedOn w:val="1"/>
    <w:qFormat/>
    <w:uiPriority w:val="0"/>
    <w:pPr>
      <w:ind w:firstLine="420" w:firstLineChars="200"/>
    </w:pPr>
    <w:rPr>
      <w:rFonts w:ascii="Times New Roman" w:hAnsi="Times New Roman"/>
    </w:rPr>
  </w:style>
  <w:style w:type="character" w:customStyle="1" w:styleId="28">
    <w:name w:val="正文文本 Char"/>
    <w:basedOn w:val="17"/>
    <w:link w:val="6"/>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51</Pages>
  <Words>24217</Words>
  <Characters>25911</Characters>
  <Lines>218</Lines>
  <Paragraphs>61</Paragraphs>
  <TotalTime>0</TotalTime>
  <ScaleCrop>false</ScaleCrop>
  <LinksUpToDate>false</LinksUpToDate>
  <CharactersWithSpaces>28769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2025-07-03T07:40:00Z</dcterms:created>
  <dc:creator>FF</dc:creator>
  <cp:lastModifiedBy>Administrator</cp:lastModifiedBy>
  <dcterms:modified xsi:type="dcterms:W3CDTF">2025-10-21T05:01:23Z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eyJoZGlkIjoiYzgwZTQyNGY3NWY0ZTVkMDMxMDUwZGIwMTYzYTM2NTkifQ==</vt:lpwstr>
  </property>
  <property fmtid="{D5CDD505-2E9C-101B-9397-08002B2CF9AE}" pid="4" name="ICV">
    <vt:lpwstr>B8DF00C048B74F82A710D671EECE8814_13</vt:lpwstr>
  </property>
</Properties>
</file>