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131F4">
      <w:pPr>
        <w:tabs>
          <w:tab w:val="left" w:pos="5760"/>
          <w:tab w:val="left" w:pos="6300"/>
        </w:tabs>
        <w:spacing w:line="360" w:lineRule="auto"/>
        <w:jc w:val="center"/>
        <w:rPr>
          <w:rFonts w:ascii="Times New Roman" w:hAnsi="Times New Roman"/>
          <w:sz w:val="44"/>
          <w:szCs w:val="44"/>
          <w:highlight w:val="none"/>
        </w:rPr>
      </w:pPr>
    </w:p>
    <w:p w14:paraId="5B066C53">
      <w:pPr>
        <w:spacing w:line="360" w:lineRule="auto"/>
        <w:jc w:val="center"/>
        <w:rPr>
          <w:rFonts w:ascii="Times New Roman" w:hAnsi="Times New Roman"/>
          <w:b/>
          <w:sz w:val="48"/>
          <w:szCs w:val="72"/>
          <w:highlight w:val="none"/>
        </w:rPr>
      </w:pPr>
    </w:p>
    <w:p w14:paraId="5EF62FDA">
      <w:pPr>
        <w:spacing w:line="360" w:lineRule="auto"/>
        <w:jc w:val="center"/>
        <w:rPr>
          <w:rFonts w:hint="eastAsia" w:ascii="Times New Roman" w:hAnsi="Times New Roman"/>
          <w:b/>
          <w:sz w:val="52"/>
          <w:szCs w:val="44"/>
          <w:highlight w:val="none"/>
          <w:lang w:eastAsia="zh-CN"/>
        </w:rPr>
      </w:pPr>
      <w:r>
        <w:rPr>
          <w:rFonts w:hint="eastAsia" w:ascii="Times New Roman" w:hAnsi="Times New Roman"/>
          <w:b/>
          <w:sz w:val="52"/>
          <w:szCs w:val="44"/>
          <w:highlight w:val="none"/>
          <w:lang w:eastAsia="zh-CN"/>
        </w:rPr>
        <w:t>南通公安大病特困救助基金会2025民警</w:t>
      </w:r>
    </w:p>
    <w:p w14:paraId="6F2BB407">
      <w:pPr>
        <w:spacing w:line="360" w:lineRule="auto"/>
        <w:jc w:val="center"/>
        <w:rPr>
          <w:rFonts w:hint="eastAsia" w:ascii="Times New Roman" w:hAnsi="Times New Roman" w:eastAsia="宋体"/>
          <w:b/>
          <w:sz w:val="52"/>
          <w:szCs w:val="44"/>
          <w:highlight w:val="none"/>
          <w:lang w:eastAsia="zh-CN"/>
        </w:rPr>
      </w:pPr>
      <w:r>
        <w:rPr>
          <w:rFonts w:hint="eastAsia" w:ascii="Times New Roman" w:hAnsi="Times New Roman"/>
          <w:b/>
          <w:sz w:val="52"/>
          <w:szCs w:val="44"/>
          <w:highlight w:val="none"/>
          <w:lang w:eastAsia="zh-CN"/>
        </w:rPr>
        <w:t>家庭医疗保险项目（三次）</w:t>
      </w:r>
    </w:p>
    <w:p w14:paraId="57637145">
      <w:pPr>
        <w:spacing w:line="360" w:lineRule="auto"/>
        <w:jc w:val="center"/>
        <w:rPr>
          <w:rFonts w:ascii="Times New Roman" w:hAnsi="Times New Roman"/>
          <w:b/>
          <w:sz w:val="72"/>
          <w:szCs w:val="56"/>
          <w:highlight w:val="none"/>
        </w:rPr>
      </w:pPr>
    </w:p>
    <w:p w14:paraId="1F33EC21">
      <w:pPr>
        <w:pStyle w:val="2"/>
        <w:rPr>
          <w:highlight w:val="none"/>
        </w:rPr>
      </w:pPr>
    </w:p>
    <w:p w14:paraId="5B0B15AA">
      <w:pPr>
        <w:pStyle w:val="219"/>
        <w:rPr>
          <w:highlight w:val="none"/>
        </w:rPr>
      </w:pPr>
    </w:p>
    <w:p w14:paraId="6190976B">
      <w:pPr>
        <w:spacing w:line="360" w:lineRule="auto"/>
        <w:jc w:val="center"/>
        <w:rPr>
          <w:rFonts w:ascii="Times New Roman" w:hAnsi="Times New Roman"/>
          <w:b/>
          <w:sz w:val="72"/>
          <w:szCs w:val="56"/>
          <w:highlight w:val="none"/>
        </w:rPr>
      </w:pPr>
      <w:r>
        <w:rPr>
          <w:rFonts w:ascii="Times New Roman" w:hAnsi="Times New Roman"/>
          <w:b/>
          <w:sz w:val="72"/>
          <w:szCs w:val="56"/>
          <w:highlight w:val="none"/>
        </w:rPr>
        <w:t>竞争性磋商文件</w:t>
      </w:r>
    </w:p>
    <w:p w14:paraId="784FE09C">
      <w:pPr>
        <w:spacing w:line="360" w:lineRule="auto"/>
        <w:jc w:val="center"/>
        <w:rPr>
          <w:rFonts w:ascii="Times New Roman" w:hAnsi="Times New Roman"/>
          <w:b/>
          <w:sz w:val="44"/>
          <w:szCs w:val="44"/>
          <w:highlight w:val="none"/>
        </w:rPr>
      </w:pPr>
      <w:r>
        <w:rPr>
          <w:rFonts w:hint="eastAsia" w:ascii="Times New Roman" w:hAnsi="Times New Roman"/>
          <w:b/>
          <w:sz w:val="44"/>
          <w:szCs w:val="44"/>
          <w:highlight w:val="none"/>
        </w:rPr>
        <w:t>（资格后审）</w:t>
      </w:r>
    </w:p>
    <w:p w14:paraId="56EA4801">
      <w:pPr>
        <w:spacing w:line="360" w:lineRule="auto"/>
        <w:jc w:val="center"/>
        <w:rPr>
          <w:rFonts w:ascii="Times New Roman" w:hAnsi="Times New Roman"/>
          <w:b/>
          <w:sz w:val="36"/>
          <w:highlight w:val="none"/>
        </w:rPr>
      </w:pPr>
    </w:p>
    <w:p w14:paraId="5F03CC9D">
      <w:pPr>
        <w:spacing w:line="360" w:lineRule="auto"/>
        <w:rPr>
          <w:rFonts w:ascii="Times New Roman" w:hAnsi="Times New Roman"/>
          <w:b/>
          <w:sz w:val="36"/>
          <w:highlight w:val="none"/>
        </w:rPr>
      </w:pPr>
    </w:p>
    <w:p w14:paraId="115A9AEF">
      <w:pPr>
        <w:spacing w:line="360" w:lineRule="auto"/>
        <w:jc w:val="center"/>
        <w:rPr>
          <w:rFonts w:ascii="Times New Roman" w:hAnsi="Times New Roman"/>
          <w:b/>
          <w:sz w:val="36"/>
          <w:highlight w:val="none"/>
        </w:rPr>
      </w:pPr>
    </w:p>
    <w:p w14:paraId="51C5152B">
      <w:pPr>
        <w:spacing w:line="360" w:lineRule="auto"/>
        <w:jc w:val="center"/>
        <w:rPr>
          <w:rFonts w:ascii="Times New Roman" w:hAnsi="Times New Roman"/>
          <w:b/>
          <w:sz w:val="36"/>
          <w:highlight w:val="none"/>
        </w:rPr>
      </w:pPr>
    </w:p>
    <w:p w14:paraId="0FADFF95">
      <w:pPr>
        <w:pStyle w:val="2"/>
        <w:rPr>
          <w:rFonts w:ascii="Times New Roman" w:hAnsi="Times New Roman"/>
          <w:b/>
          <w:sz w:val="36"/>
          <w:highlight w:val="none"/>
        </w:rPr>
      </w:pPr>
    </w:p>
    <w:p w14:paraId="1E4E8C5F">
      <w:pPr>
        <w:pStyle w:val="2"/>
        <w:rPr>
          <w:rFonts w:ascii="Times New Roman" w:hAnsi="Times New Roman"/>
          <w:b/>
          <w:sz w:val="36"/>
          <w:highlight w:val="none"/>
        </w:rPr>
      </w:pPr>
    </w:p>
    <w:p w14:paraId="5E319B83">
      <w:pPr>
        <w:spacing w:line="360" w:lineRule="auto"/>
        <w:jc w:val="center"/>
        <w:rPr>
          <w:rFonts w:ascii="Times New Roman" w:hAnsi="Times New Roman" w:cs="宋体"/>
          <w:b/>
          <w:sz w:val="30"/>
          <w:szCs w:val="30"/>
          <w:highlight w:val="none"/>
        </w:rPr>
      </w:pPr>
    </w:p>
    <w:p w14:paraId="369A561F">
      <w:pPr>
        <w:spacing w:line="360" w:lineRule="auto"/>
        <w:jc w:val="center"/>
        <w:rPr>
          <w:rFonts w:hint="eastAsia" w:ascii="Times New Roman" w:hAnsi="Times New Roman" w:eastAsia="宋体" w:cs="宋体"/>
          <w:b/>
          <w:sz w:val="30"/>
          <w:szCs w:val="30"/>
          <w:highlight w:val="none"/>
          <w:lang w:eastAsia="zh-CN"/>
        </w:rPr>
      </w:pPr>
      <w:r>
        <w:rPr>
          <w:rFonts w:hint="eastAsia" w:ascii="Times New Roman" w:hAnsi="Times New Roman" w:cs="宋体"/>
          <w:b/>
          <w:sz w:val="30"/>
          <w:szCs w:val="30"/>
          <w:highlight w:val="none"/>
        </w:rPr>
        <w:t>采购单位：</w:t>
      </w:r>
      <w:r>
        <w:rPr>
          <w:rFonts w:hint="eastAsia" w:ascii="Times New Roman" w:hAnsi="Times New Roman" w:cs="宋体"/>
          <w:b/>
          <w:sz w:val="30"/>
          <w:szCs w:val="30"/>
          <w:highlight w:val="none"/>
          <w:lang w:eastAsia="zh-CN"/>
        </w:rPr>
        <w:t>南通公安大病特困救助基金会</w:t>
      </w:r>
    </w:p>
    <w:p w14:paraId="3080A805">
      <w:pPr>
        <w:spacing w:line="360" w:lineRule="auto"/>
        <w:jc w:val="center"/>
        <w:rPr>
          <w:rFonts w:ascii="Times New Roman" w:hAnsi="Times New Roman" w:cs="宋体"/>
          <w:b/>
          <w:sz w:val="30"/>
          <w:szCs w:val="30"/>
          <w:highlight w:val="none"/>
        </w:rPr>
      </w:pPr>
      <w:r>
        <w:rPr>
          <w:rFonts w:hint="eastAsia" w:ascii="Times New Roman" w:hAnsi="Times New Roman" w:cs="宋体"/>
          <w:b/>
          <w:sz w:val="30"/>
          <w:szCs w:val="30"/>
          <w:highlight w:val="none"/>
        </w:rPr>
        <w:t>202</w:t>
      </w:r>
      <w:r>
        <w:rPr>
          <w:rFonts w:hint="eastAsia" w:ascii="Times New Roman" w:hAnsi="Times New Roman" w:cs="宋体"/>
          <w:b/>
          <w:sz w:val="30"/>
          <w:szCs w:val="30"/>
          <w:highlight w:val="none"/>
          <w:lang w:val="en-US" w:eastAsia="zh-CN"/>
        </w:rPr>
        <w:t>5</w:t>
      </w:r>
      <w:r>
        <w:rPr>
          <w:rFonts w:hint="eastAsia" w:ascii="Times New Roman" w:hAnsi="Times New Roman" w:cs="宋体"/>
          <w:b/>
          <w:sz w:val="30"/>
          <w:szCs w:val="30"/>
          <w:highlight w:val="none"/>
        </w:rPr>
        <w:t>年</w:t>
      </w:r>
      <w:r>
        <w:rPr>
          <w:rFonts w:hint="eastAsia" w:ascii="Times New Roman" w:hAnsi="Times New Roman" w:cs="宋体"/>
          <w:b/>
          <w:sz w:val="30"/>
          <w:szCs w:val="30"/>
          <w:highlight w:val="none"/>
          <w:lang w:val="en-US" w:eastAsia="zh-CN"/>
        </w:rPr>
        <w:t>7</w:t>
      </w:r>
      <w:r>
        <w:rPr>
          <w:rFonts w:hint="eastAsia" w:ascii="Times New Roman" w:hAnsi="Times New Roman" w:cs="宋体"/>
          <w:b/>
          <w:sz w:val="30"/>
          <w:szCs w:val="30"/>
          <w:highlight w:val="none"/>
        </w:rPr>
        <w:t>月</w:t>
      </w:r>
      <w:r>
        <w:rPr>
          <w:rFonts w:hint="eastAsia" w:ascii="Times New Roman" w:hAnsi="Times New Roman" w:cs="宋体"/>
          <w:b/>
          <w:sz w:val="30"/>
          <w:szCs w:val="30"/>
          <w:highlight w:val="none"/>
          <w:lang w:val="en-US" w:eastAsia="zh-CN"/>
        </w:rPr>
        <w:t>21</w:t>
      </w:r>
      <w:r>
        <w:rPr>
          <w:rFonts w:hint="eastAsia" w:ascii="Times New Roman" w:hAnsi="Times New Roman" w:cs="宋体"/>
          <w:b/>
          <w:sz w:val="30"/>
          <w:szCs w:val="30"/>
          <w:highlight w:val="none"/>
        </w:rPr>
        <w:t>日</w:t>
      </w:r>
    </w:p>
    <w:p w14:paraId="3AD90DBD">
      <w:pPr>
        <w:widowControl/>
        <w:jc w:val="left"/>
        <w:rPr>
          <w:rFonts w:ascii="Times New Roman" w:hAnsi="Times New Roman"/>
          <w:b/>
          <w:sz w:val="44"/>
          <w:szCs w:val="44"/>
          <w:highlight w:val="none"/>
        </w:rPr>
      </w:pPr>
    </w:p>
    <w:p w14:paraId="41C65BF5">
      <w:pPr>
        <w:spacing w:line="360" w:lineRule="auto"/>
        <w:jc w:val="center"/>
        <w:rPr>
          <w:rFonts w:ascii="Times New Roman" w:hAnsi="Times New Roman"/>
          <w:b/>
          <w:sz w:val="30"/>
          <w:szCs w:val="30"/>
          <w:highlight w:val="none"/>
        </w:rPr>
      </w:pPr>
      <w:r>
        <w:rPr>
          <w:rFonts w:hint="eastAsia" w:ascii="Times New Roman" w:hAnsi="Times New Roman"/>
          <w:b/>
          <w:sz w:val="44"/>
          <w:szCs w:val="44"/>
          <w:highlight w:val="none"/>
        </w:rPr>
        <w:t>目录</w:t>
      </w:r>
    </w:p>
    <w:p w14:paraId="3B28883F">
      <w:pPr>
        <w:pStyle w:val="11"/>
        <w:ind w:firstLine="0"/>
        <w:jc w:val="center"/>
        <w:rPr>
          <w:rFonts w:ascii="Times New Roman" w:hAnsi="Times New Roman" w:eastAsia="宋体"/>
          <w:sz w:val="30"/>
          <w:highlight w:val="none"/>
          <w:lang w:eastAsia="zh-CN"/>
        </w:rPr>
      </w:pPr>
    </w:p>
    <w:p w14:paraId="52F5DC10">
      <w:pPr>
        <w:pStyle w:val="247"/>
        <w:tabs>
          <w:tab w:val="right" w:leader="dot" w:pos="9528"/>
        </w:tabs>
        <w:spacing w:line="1200" w:lineRule="exact"/>
        <w:rPr>
          <w:rFonts w:ascii="Times New Roman" w:hAnsi="Times New Roman" w:eastAsia="宋体"/>
          <w:sz w:val="32"/>
          <w:szCs w:val="32"/>
          <w:highlight w:val="none"/>
        </w:rPr>
      </w:pPr>
      <w:r>
        <w:rPr>
          <w:rFonts w:ascii="Times New Roman" w:hAnsi="Times New Roman" w:eastAsia="宋体"/>
          <w:b/>
          <w:bCs/>
          <w:sz w:val="36"/>
          <w:szCs w:val="36"/>
          <w:highlight w:val="none"/>
        </w:rPr>
        <w:fldChar w:fldCharType="begin"/>
      </w:r>
      <w:r>
        <w:rPr>
          <w:rFonts w:ascii="Times New Roman" w:hAnsi="Times New Roman" w:eastAsia="宋体"/>
          <w:b/>
          <w:bCs/>
          <w:sz w:val="36"/>
          <w:szCs w:val="36"/>
          <w:highlight w:val="none"/>
        </w:rPr>
        <w:instrText xml:space="preserve"> TOC \o "1-1"</w:instrText>
      </w:r>
      <w:r>
        <w:rPr>
          <w:rFonts w:ascii="Times New Roman" w:hAnsi="Times New Roman" w:eastAsia="宋体"/>
          <w:b/>
          <w:bCs/>
          <w:sz w:val="36"/>
          <w:szCs w:val="36"/>
          <w:highlight w:val="none"/>
        </w:rPr>
        <w:fldChar w:fldCharType="separate"/>
      </w:r>
      <w:r>
        <w:rPr>
          <w:rFonts w:ascii="Times New Roman" w:hAnsi="Times New Roman" w:eastAsia="宋体"/>
          <w:sz w:val="32"/>
          <w:szCs w:val="32"/>
          <w:highlight w:val="none"/>
        </w:rPr>
        <w:t>第一章</w:t>
      </w:r>
      <w:r>
        <w:rPr>
          <w:rFonts w:hint="eastAsia" w:ascii="Times New Roman" w:hAnsi="Times New Roman" w:eastAsia="宋体"/>
          <w:sz w:val="32"/>
          <w:szCs w:val="32"/>
          <w:highlight w:val="none"/>
        </w:rPr>
        <w:t xml:space="preserve"> 竞争性磋商公告</w:t>
      </w:r>
    </w:p>
    <w:p w14:paraId="234DFD44">
      <w:pPr>
        <w:pStyle w:val="247"/>
        <w:tabs>
          <w:tab w:val="right" w:leader="dot" w:pos="9528"/>
        </w:tabs>
        <w:spacing w:line="1200" w:lineRule="exact"/>
        <w:rPr>
          <w:rFonts w:ascii="Times New Roman" w:hAnsi="Times New Roman" w:eastAsia="宋体"/>
          <w:sz w:val="32"/>
          <w:szCs w:val="32"/>
          <w:highlight w:val="none"/>
        </w:rPr>
      </w:pPr>
      <w:r>
        <w:rPr>
          <w:rFonts w:ascii="Times New Roman" w:hAnsi="Times New Roman" w:eastAsia="宋体"/>
          <w:sz w:val="32"/>
          <w:szCs w:val="32"/>
          <w:highlight w:val="none"/>
        </w:rPr>
        <w:t>第二章</w:t>
      </w:r>
      <w:r>
        <w:rPr>
          <w:rFonts w:hint="eastAsia" w:ascii="Times New Roman" w:hAnsi="Times New Roman" w:eastAsia="宋体"/>
          <w:sz w:val="32"/>
          <w:szCs w:val="32"/>
          <w:highlight w:val="none"/>
        </w:rPr>
        <w:t xml:space="preserve"> 供应商</w:t>
      </w:r>
      <w:r>
        <w:rPr>
          <w:rFonts w:ascii="Times New Roman" w:hAnsi="Times New Roman" w:eastAsia="宋体"/>
          <w:sz w:val="32"/>
          <w:szCs w:val="32"/>
          <w:highlight w:val="none"/>
        </w:rPr>
        <w:t>须知</w:t>
      </w:r>
    </w:p>
    <w:p w14:paraId="31EFED62">
      <w:pPr>
        <w:pStyle w:val="247"/>
        <w:tabs>
          <w:tab w:val="right" w:leader="dot" w:pos="9528"/>
        </w:tabs>
        <w:spacing w:line="1200" w:lineRule="exact"/>
        <w:rPr>
          <w:rFonts w:ascii="Times New Roman" w:hAnsi="Times New Roman" w:eastAsia="宋体"/>
          <w:sz w:val="32"/>
          <w:szCs w:val="32"/>
          <w:highlight w:val="none"/>
        </w:rPr>
      </w:pPr>
      <w:r>
        <w:rPr>
          <w:rFonts w:ascii="Times New Roman" w:hAnsi="Times New Roman" w:eastAsia="宋体"/>
          <w:sz w:val="32"/>
          <w:szCs w:val="32"/>
          <w:highlight w:val="none"/>
        </w:rPr>
        <w:t>第三章</w:t>
      </w:r>
      <w:r>
        <w:rPr>
          <w:rFonts w:hint="eastAsia" w:ascii="Times New Roman" w:hAnsi="Times New Roman" w:eastAsia="宋体"/>
          <w:sz w:val="32"/>
          <w:szCs w:val="32"/>
          <w:highlight w:val="none"/>
          <w:lang w:val="en-US" w:eastAsia="zh-CN"/>
        </w:rPr>
        <w:t xml:space="preserve"> </w:t>
      </w:r>
      <w:r>
        <w:rPr>
          <w:rFonts w:ascii="Times New Roman" w:hAnsi="Times New Roman" w:eastAsia="宋体"/>
          <w:sz w:val="32"/>
          <w:szCs w:val="32"/>
          <w:highlight w:val="none"/>
        </w:rPr>
        <w:t>项目需求</w:t>
      </w:r>
    </w:p>
    <w:p w14:paraId="56AEB9DD">
      <w:pPr>
        <w:pStyle w:val="247"/>
        <w:tabs>
          <w:tab w:val="right" w:leader="dot" w:pos="9528"/>
        </w:tabs>
        <w:spacing w:line="1200" w:lineRule="exact"/>
        <w:rPr>
          <w:rFonts w:ascii="Times New Roman" w:hAnsi="Times New Roman" w:eastAsia="宋体"/>
          <w:sz w:val="32"/>
          <w:szCs w:val="32"/>
          <w:highlight w:val="none"/>
        </w:rPr>
      </w:pPr>
      <w:r>
        <w:rPr>
          <w:rFonts w:ascii="Times New Roman" w:hAnsi="Times New Roman" w:eastAsia="宋体"/>
          <w:sz w:val="32"/>
          <w:szCs w:val="32"/>
          <w:highlight w:val="none"/>
        </w:rPr>
        <w:t>第</w:t>
      </w:r>
      <w:r>
        <w:rPr>
          <w:rFonts w:hint="eastAsia" w:ascii="Times New Roman" w:hAnsi="Times New Roman" w:eastAsia="宋体"/>
          <w:sz w:val="32"/>
          <w:szCs w:val="32"/>
          <w:highlight w:val="none"/>
        </w:rPr>
        <w:t>四</w:t>
      </w:r>
      <w:r>
        <w:rPr>
          <w:rFonts w:ascii="Times New Roman" w:hAnsi="Times New Roman" w:eastAsia="宋体"/>
          <w:sz w:val="32"/>
          <w:szCs w:val="32"/>
          <w:highlight w:val="none"/>
        </w:rPr>
        <w:t>章</w:t>
      </w:r>
      <w:r>
        <w:rPr>
          <w:rFonts w:hint="eastAsia" w:ascii="Times New Roman" w:hAnsi="Times New Roman" w:eastAsia="宋体"/>
          <w:sz w:val="32"/>
          <w:szCs w:val="32"/>
          <w:highlight w:val="none"/>
        </w:rPr>
        <w:t xml:space="preserve"> 评审方法和程序</w:t>
      </w:r>
    </w:p>
    <w:p w14:paraId="2A4ABF6C">
      <w:pPr>
        <w:pStyle w:val="247"/>
        <w:tabs>
          <w:tab w:val="right" w:leader="dot" w:pos="9528"/>
        </w:tabs>
        <w:spacing w:line="1200" w:lineRule="exact"/>
        <w:rPr>
          <w:rFonts w:ascii="Times New Roman" w:hAnsi="Times New Roman" w:eastAsia="宋体"/>
          <w:sz w:val="32"/>
          <w:szCs w:val="32"/>
          <w:highlight w:val="none"/>
        </w:rPr>
      </w:pPr>
      <w:r>
        <w:rPr>
          <w:rFonts w:ascii="Times New Roman" w:hAnsi="Times New Roman" w:eastAsia="宋体"/>
          <w:sz w:val="32"/>
          <w:szCs w:val="32"/>
          <w:highlight w:val="none"/>
        </w:rPr>
        <w:t>第</w:t>
      </w:r>
      <w:r>
        <w:rPr>
          <w:rFonts w:hint="eastAsia" w:ascii="Times New Roman" w:hAnsi="Times New Roman" w:eastAsia="宋体"/>
          <w:sz w:val="32"/>
          <w:szCs w:val="32"/>
          <w:highlight w:val="none"/>
        </w:rPr>
        <w:t>五</w:t>
      </w:r>
      <w:r>
        <w:rPr>
          <w:rFonts w:ascii="Times New Roman" w:hAnsi="Times New Roman" w:eastAsia="宋体"/>
          <w:sz w:val="32"/>
          <w:szCs w:val="32"/>
          <w:highlight w:val="none"/>
        </w:rPr>
        <w:t>章</w:t>
      </w:r>
      <w:r>
        <w:rPr>
          <w:rFonts w:hint="eastAsia" w:ascii="Times New Roman" w:hAnsi="Times New Roman" w:eastAsia="宋体"/>
          <w:sz w:val="32"/>
          <w:szCs w:val="32"/>
          <w:highlight w:val="none"/>
        </w:rPr>
        <w:t xml:space="preserve"> 合同主要条款</w:t>
      </w:r>
    </w:p>
    <w:p w14:paraId="0674ABA8">
      <w:pPr>
        <w:pStyle w:val="247"/>
        <w:tabs>
          <w:tab w:val="right" w:leader="dot" w:pos="9528"/>
        </w:tabs>
        <w:spacing w:line="1200" w:lineRule="exact"/>
        <w:rPr>
          <w:rFonts w:ascii="Times New Roman" w:hAnsi="Times New Roman" w:eastAsia="宋体"/>
          <w:sz w:val="32"/>
          <w:szCs w:val="32"/>
          <w:highlight w:val="none"/>
        </w:rPr>
      </w:pPr>
      <w:r>
        <w:rPr>
          <w:rFonts w:hint="eastAsia" w:ascii="Times New Roman" w:hAnsi="Times New Roman" w:eastAsia="宋体"/>
          <w:sz w:val="32"/>
          <w:szCs w:val="32"/>
          <w:highlight w:val="none"/>
        </w:rPr>
        <w:t>第六章 合同授予</w:t>
      </w:r>
    </w:p>
    <w:p w14:paraId="765C4268">
      <w:pPr>
        <w:spacing w:line="1200" w:lineRule="exact"/>
        <w:rPr>
          <w:rFonts w:ascii="Times New Roman" w:hAnsi="Times New Roman"/>
          <w:sz w:val="32"/>
          <w:szCs w:val="32"/>
          <w:highlight w:val="none"/>
        </w:rPr>
      </w:pPr>
      <w:r>
        <w:rPr>
          <w:rFonts w:ascii="Times New Roman" w:hAnsi="Times New Roman"/>
          <w:sz w:val="32"/>
          <w:szCs w:val="32"/>
          <w:highlight w:val="none"/>
        </w:rPr>
        <w:t>第七章</w:t>
      </w:r>
      <w:r>
        <w:rPr>
          <w:rFonts w:hint="eastAsia" w:ascii="Times New Roman" w:hAnsi="Times New Roman"/>
          <w:sz w:val="32"/>
          <w:szCs w:val="32"/>
          <w:highlight w:val="none"/>
        </w:rPr>
        <w:t xml:space="preserve"> 质疑提出和处理</w:t>
      </w:r>
    </w:p>
    <w:p w14:paraId="0987399A">
      <w:pPr>
        <w:spacing w:line="1200" w:lineRule="exact"/>
        <w:rPr>
          <w:rFonts w:ascii="Times New Roman" w:hAnsi="Times New Roman"/>
          <w:sz w:val="36"/>
          <w:szCs w:val="36"/>
          <w:highlight w:val="none"/>
        </w:rPr>
      </w:pPr>
      <w:r>
        <w:rPr>
          <w:rFonts w:ascii="Times New Roman" w:hAnsi="Times New Roman"/>
          <w:sz w:val="32"/>
          <w:szCs w:val="32"/>
          <w:highlight w:val="none"/>
        </w:rPr>
        <w:t>第八章</w:t>
      </w:r>
      <w:r>
        <w:rPr>
          <w:rFonts w:hint="eastAsia" w:ascii="Times New Roman" w:hAnsi="Times New Roman"/>
          <w:sz w:val="32"/>
          <w:szCs w:val="32"/>
          <w:highlight w:val="none"/>
        </w:rPr>
        <w:t xml:space="preserve"> 响应文件组成及格式</w:t>
      </w:r>
    </w:p>
    <w:p w14:paraId="1326EB1B">
      <w:pPr>
        <w:rPr>
          <w:rFonts w:ascii="Times New Roman" w:hAnsi="Times New Roman" w:cs="宋体"/>
          <w:b/>
          <w:sz w:val="24"/>
          <w:szCs w:val="24"/>
          <w:highlight w:val="none"/>
        </w:rPr>
      </w:pPr>
      <w:r>
        <w:rPr>
          <w:rFonts w:ascii="Times New Roman" w:hAnsi="Times New Roman"/>
          <w:b/>
          <w:bCs/>
          <w:sz w:val="36"/>
          <w:szCs w:val="36"/>
          <w:highlight w:val="none"/>
        </w:rPr>
        <w:fldChar w:fldCharType="end"/>
      </w:r>
    </w:p>
    <w:p w14:paraId="1D68C71F">
      <w:pPr>
        <w:pStyle w:val="219"/>
        <w:rPr>
          <w:rFonts w:ascii="Times New Roman" w:hAnsi="Times New Roman"/>
          <w:highlight w:val="none"/>
        </w:rPr>
      </w:pPr>
    </w:p>
    <w:p w14:paraId="01FDCE0F">
      <w:pPr>
        <w:rPr>
          <w:rFonts w:ascii="Times New Roman" w:hAnsi="Times New Roman" w:cs="宋体"/>
          <w:b/>
          <w:sz w:val="24"/>
          <w:szCs w:val="24"/>
          <w:highlight w:val="none"/>
        </w:rPr>
      </w:pPr>
    </w:p>
    <w:p w14:paraId="78C6E890">
      <w:pPr>
        <w:pStyle w:val="6"/>
        <w:keepNext w:val="0"/>
        <w:keepLines w:val="0"/>
        <w:spacing w:before="0" w:after="0" w:line="240" w:lineRule="auto"/>
        <w:jc w:val="center"/>
        <w:rPr>
          <w:rFonts w:ascii="Times New Roman" w:hAnsi="Times New Roman" w:eastAsia="宋体"/>
          <w:sz w:val="48"/>
          <w:szCs w:val="44"/>
          <w:highlight w:val="none"/>
        </w:rPr>
      </w:pPr>
      <w:r>
        <w:rPr>
          <w:rFonts w:ascii="Times New Roman" w:hAnsi="Times New Roman" w:eastAsia="宋体"/>
          <w:sz w:val="48"/>
          <w:szCs w:val="44"/>
          <w:highlight w:val="none"/>
        </w:rPr>
        <w:br w:type="page" w:clear="all"/>
      </w:r>
      <w:r>
        <w:rPr>
          <w:rFonts w:hint="eastAsia" w:ascii="Times New Roman" w:hAnsi="Times New Roman" w:eastAsia="宋体"/>
          <w:sz w:val="48"/>
          <w:szCs w:val="44"/>
          <w:highlight w:val="none"/>
        </w:rPr>
        <w:t>第一章 竞争性磋商公告</w:t>
      </w:r>
    </w:p>
    <w:p w14:paraId="54519554">
      <w:pPr>
        <w:pBdr>
          <w:top w:val="single" w:color="000000" w:sz="4" w:space="1"/>
          <w:left w:val="single" w:color="000000" w:sz="4" w:space="4"/>
          <w:bottom w:val="single" w:color="000000" w:sz="4" w:space="1"/>
          <w:right w:val="single" w:color="000000" w:sz="4" w:space="4"/>
        </w:pBdr>
        <w:spacing w:line="440" w:lineRule="exact"/>
        <w:ind w:firstLine="482"/>
        <w:rPr>
          <w:rFonts w:ascii="Times New Roman" w:hAnsi="Times New Roman"/>
          <w:sz w:val="24"/>
          <w:highlight w:val="none"/>
        </w:rPr>
      </w:pPr>
      <w:r>
        <w:rPr>
          <w:rFonts w:hint="eastAsia" w:ascii="Times New Roman" w:hAnsi="Times New Roman"/>
          <w:sz w:val="24"/>
          <w:highlight w:val="none"/>
        </w:rPr>
        <w:t>项目概况</w:t>
      </w:r>
    </w:p>
    <w:p w14:paraId="68CEAA33">
      <w:pPr>
        <w:pBdr>
          <w:top w:val="single" w:color="000000" w:sz="4" w:space="1"/>
          <w:left w:val="single" w:color="000000" w:sz="4" w:space="4"/>
          <w:bottom w:val="single" w:color="000000" w:sz="4" w:space="1"/>
          <w:right w:val="single" w:color="000000" w:sz="4" w:space="4"/>
        </w:pBdr>
        <w:spacing w:line="440" w:lineRule="exact"/>
        <w:ind w:firstLine="482"/>
        <w:rPr>
          <w:rFonts w:ascii="Times New Roman" w:hAnsi="Times New Roman"/>
          <w:sz w:val="24"/>
          <w:highlight w:val="none"/>
        </w:rPr>
      </w:pPr>
      <w:r>
        <w:rPr>
          <w:rFonts w:hint="eastAsia" w:ascii="Times New Roman" w:hAnsi="Times New Roman"/>
          <w:sz w:val="24"/>
          <w:highlight w:val="none"/>
          <w:lang w:eastAsia="zh-CN"/>
        </w:rPr>
        <w:t>南通公安大病特困救助基金会2025民警家庭医疗保险项目（三次）</w:t>
      </w:r>
      <w:r>
        <w:rPr>
          <w:rFonts w:hint="eastAsia" w:ascii="Times New Roman" w:hAnsi="Times New Roman"/>
          <w:sz w:val="24"/>
          <w:highlight w:val="none"/>
        </w:rPr>
        <w:t>的潜在供应商应在南通市公安局官网（http://gaj.nantong.gov.cn/ntsgaj/zfcg/zfcg.html）公示公告--政府采购获取采购文件，并于2025年</w:t>
      </w:r>
      <w:r>
        <w:rPr>
          <w:rFonts w:hint="eastAsia" w:ascii="Times New Roman" w:hAnsi="Times New Roman"/>
          <w:sz w:val="24"/>
          <w:highlight w:val="none"/>
          <w:lang w:val="en-US" w:eastAsia="zh-CN"/>
        </w:rPr>
        <w:t>8</w:t>
      </w:r>
      <w:r>
        <w:rPr>
          <w:rFonts w:hint="eastAsia" w:ascii="Times New Roman" w:hAnsi="Times New Roman"/>
          <w:sz w:val="24"/>
          <w:highlight w:val="none"/>
        </w:rPr>
        <w:t>月</w:t>
      </w:r>
      <w:r>
        <w:rPr>
          <w:rFonts w:hint="eastAsia" w:ascii="Times New Roman" w:hAnsi="Times New Roman"/>
          <w:sz w:val="24"/>
          <w:highlight w:val="none"/>
          <w:lang w:val="en-US" w:eastAsia="zh-CN"/>
        </w:rPr>
        <w:t>1</w:t>
      </w:r>
      <w:r>
        <w:rPr>
          <w:rFonts w:hint="eastAsia" w:ascii="Times New Roman" w:hAnsi="Times New Roman"/>
          <w:sz w:val="24"/>
          <w:highlight w:val="none"/>
        </w:rPr>
        <w:t>日</w:t>
      </w:r>
      <w:r>
        <w:rPr>
          <w:rFonts w:hint="eastAsia" w:ascii="Times New Roman" w:hAnsi="Times New Roman"/>
          <w:sz w:val="24"/>
          <w:highlight w:val="none"/>
          <w:lang w:val="en-US" w:eastAsia="zh-CN"/>
        </w:rPr>
        <w:t>9</w:t>
      </w:r>
      <w:r>
        <w:rPr>
          <w:rFonts w:hint="eastAsia" w:ascii="Times New Roman" w:hAnsi="Times New Roman"/>
          <w:sz w:val="24"/>
          <w:highlight w:val="none"/>
        </w:rPr>
        <w:t>时30分前提交响应文件。</w:t>
      </w:r>
    </w:p>
    <w:p w14:paraId="6BAEAFC6">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Times New Roman" w:hAnsi="Times New Roman"/>
          <w:b/>
          <w:sz w:val="24"/>
          <w:szCs w:val="24"/>
          <w:highlight w:val="none"/>
        </w:rPr>
      </w:pPr>
      <w:r>
        <w:rPr>
          <w:rFonts w:hint="eastAsia" w:ascii="Times New Roman" w:hAnsi="Times New Roman"/>
          <w:b/>
          <w:sz w:val="24"/>
          <w:szCs w:val="24"/>
          <w:highlight w:val="none"/>
        </w:rPr>
        <w:t>一、项目基本情况</w:t>
      </w:r>
    </w:p>
    <w:p w14:paraId="655F05E2">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1、项目名称：</w:t>
      </w:r>
      <w:r>
        <w:rPr>
          <w:rFonts w:hint="eastAsia" w:ascii="宋体" w:hAnsi="宋体" w:cs="宋体"/>
          <w:bCs/>
          <w:sz w:val="24"/>
          <w:szCs w:val="24"/>
          <w:highlight w:val="none"/>
          <w:lang w:eastAsia="zh-CN"/>
        </w:rPr>
        <w:t>南通公安大病特困救助基金会2025民警家庭医疗保险项目（三次）</w:t>
      </w:r>
    </w:p>
    <w:p w14:paraId="54D12F63">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、项目类型：服务</w:t>
      </w:r>
    </w:p>
    <w:p w14:paraId="7F4F724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、采购方式：</w:t>
      </w:r>
      <w:r>
        <w:rPr>
          <w:rFonts w:hint="eastAsia" w:ascii="宋体" w:hAnsi="宋体" w:cs="宋体"/>
          <w:sz w:val="24"/>
          <w:szCs w:val="24"/>
          <w:highlight w:val="none"/>
        </w:rPr>
        <w:t>竞争性磋商</w:t>
      </w:r>
    </w:p>
    <w:p w14:paraId="7A25B01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、预算金额：人民币</w:t>
      </w:r>
      <w:r>
        <w:rPr>
          <w:rFonts w:hint="eastAsia" w:ascii="宋体" w:hAnsi="宋体" w:cs="宋体"/>
          <w:bCs/>
          <w:sz w:val="24"/>
          <w:szCs w:val="24"/>
          <w:highlight w:val="none"/>
          <w:lang w:val="en-US" w:eastAsia="zh-CN"/>
        </w:rPr>
        <w:t>130</w:t>
      </w:r>
      <w:r>
        <w:rPr>
          <w:rFonts w:hint="eastAsia" w:ascii="宋体" w:hAnsi="宋体" w:cs="宋体"/>
          <w:bCs/>
          <w:sz w:val="24"/>
          <w:szCs w:val="24"/>
          <w:highlight w:val="none"/>
        </w:rPr>
        <w:t>万元</w:t>
      </w:r>
    </w:p>
    <w:p w14:paraId="34B4C9A3">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sz w:val="24"/>
          <w:szCs w:val="24"/>
          <w:highlight w:val="none"/>
        </w:rPr>
      </w:pPr>
      <w:r>
        <w:rPr>
          <w:rFonts w:hint="eastAsia" w:ascii="宋体" w:hAnsi="宋体" w:cs="宋体"/>
          <w:b/>
          <w:sz w:val="24"/>
          <w:szCs w:val="24"/>
          <w:highlight w:val="none"/>
          <w:lang w:val="en-US" w:eastAsia="zh-CN"/>
        </w:rPr>
        <w:t>5</w:t>
      </w:r>
      <w:r>
        <w:rPr>
          <w:rFonts w:hint="eastAsia" w:ascii="宋体" w:hAnsi="宋体" w:cs="宋体"/>
          <w:b/>
          <w:sz w:val="24"/>
          <w:szCs w:val="24"/>
          <w:highlight w:val="none"/>
        </w:rPr>
        <w:t>、最高限价：</w:t>
      </w:r>
      <w:r>
        <w:rPr>
          <w:rFonts w:hint="eastAsia" w:ascii="宋体" w:hAnsi="宋体" w:eastAsia="宋体" w:cs="Times New Roman"/>
          <w:sz w:val="24"/>
          <w:szCs w:val="24"/>
          <w:highlight w:val="none"/>
          <w:lang w:eastAsia="zh-CN"/>
        </w:rPr>
        <w:t>在职民警人均保费200元</w:t>
      </w:r>
      <w:r>
        <w:rPr>
          <w:rFonts w:hint="eastAsia" w:ascii="宋体" w:hAnsi="宋体" w:eastAsia="宋体" w:cs="Times New Roman"/>
          <w:sz w:val="24"/>
          <w:szCs w:val="24"/>
          <w:highlight w:val="none"/>
          <w:lang w:val="en-US" w:eastAsia="zh-CN"/>
        </w:rPr>
        <w:t>/人</w:t>
      </w:r>
      <w:r>
        <w:rPr>
          <w:rFonts w:hint="eastAsia" w:ascii="宋体" w:hAnsi="宋体" w:eastAsia="宋体" w:cs="Times New Roman"/>
          <w:sz w:val="24"/>
          <w:szCs w:val="24"/>
          <w:highlight w:val="none"/>
          <w:lang w:eastAsia="zh-CN"/>
        </w:rPr>
        <w:t>、在职民警配偶及成年子女和未成年子女人均保费100元</w:t>
      </w:r>
      <w:r>
        <w:rPr>
          <w:rFonts w:hint="eastAsia" w:ascii="宋体" w:hAnsi="宋体" w:eastAsia="宋体" w:cs="Times New Roman"/>
          <w:sz w:val="24"/>
          <w:szCs w:val="24"/>
          <w:highlight w:val="none"/>
          <w:lang w:val="en-US" w:eastAsia="zh-CN"/>
        </w:rPr>
        <w:t>/人</w:t>
      </w:r>
      <w:r>
        <w:rPr>
          <w:rFonts w:hint="eastAsia" w:ascii="宋体" w:hAnsi="宋体" w:eastAsia="宋体" w:cs="Times New Roman"/>
          <w:sz w:val="24"/>
          <w:szCs w:val="24"/>
          <w:highlight w:val="none"/>
          <w:lang w:eastAsia="zh-CN"/>
        </w:rPr>
        <w:t>，</w:t>
      </w:r>
      <w:r>
        <w:rPr>
          <w:rFonts w:hint="eastAsia" w:ascii="宋体" w:hAnsi="宋体" w:eastAsia="宋体" w:cs="Times New Roman"/>
          <w:b/>
          <w:bCs/>
          <w:sz w:val="24"/>
          <w:szCs w:val="24"/>
          <w:highlight w:val="none"/>
          <w:lang w:eastAsia="zh-CN"/>
        </w:rPr>
        <w:t>报</w:t>
      </w:r>
      <w:r>
        <w:rPr>
          <w:rFonts w:hint="eastAsia" w:ascii="宋体" w:hAnsi="宋体"/>
          <w:b/>
          <w:bCs/>
          <w:sz w:val="24"/>
          <w:szCs w:val="24"/>
          <w:highlight w:val="none"/>
        </w:rPr>
        <w:t>价超过最高限价的将作为无效响应处理。</w:t>
      </w:r>
    </w:p>
    <w:p w14:paraId="66A824C3">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、采购需求：具体内容详见采购文件第三章项目需求。</w:t>
      </w:r>
    </w:p>
    <w:p w14:paraId="77F88E1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rPr>
        <w:t>、服务期限</w:t>
      </w:r>
      <w:r>
        <w:rPr>
          <w:rFonts w:hint="eastAsia" w:ascii="宋体" w:hAnsi="宋体"/>
          <w:sz w:val="24"/>
          <w:szCs w:val="24"/>
          <w:highlight w:val="none"/>
        </w:rPr>
        <w:t>：</w:t>
      </w:r>
      <w:r>
        <w:rPr>
          <w:rFonts w:hint="eastAsia" w:ascii="宋体" w:hAnsi="宋体"/>
          <w:sz w:val="24"/>
          <w:szCs w:val="24"/>
          <w:highlight w:val="none"/>
          <w:lang w:eastAsia="zh-CN"/>
        </w:rPr>
        <w:t>2025年6月30日零时起至2026年6月29日二十四时止（期限一年）</w:t>
      </w:r>
      <w:r>
        <w:rPr>
          <w:rFonts w:hint="eastAsia" w:ascii="宋体" w:hAnsi="宋体"/>
          <w:sz w:val="24"/>
          <w:szCs w:val="24"/>
          <w:highlight w:val="none"/>
        </w:rPr>
        <w:t>。本项目承保期限一年，第二年可视承保情况续签，</w:t>
      </w:r>
      <w:r>
        <w:rPr>
          <w:rFonts w:hint="eastAsia" w:ascii="宋体" w:hAnsi="宋体"/>
          <w:sz w:val="24"/>
          <w:szCs w:val="24"/>
          <w:highlight w:val="none"/>
          <w:lang w:eastAsia="zh-CN"/>
        </w:rPr>
        <w:t>但总承保期限不得超过3年</w:t>
      </w:r>
      <w:r>
        <w:rPr>
          <w:rFonts w:hint="eastAsia" w:ascii="宋体" w:hAnsi="宋体"/>
          <w:sz w:val="24"/>
          <w:szCs w:val="24"/>
          <w:highlight w:val="none"/>
        </w:rPr>
        <w:t>。</w:t>
      </w:r>
    </w:p>
    <w:p w14:paraId="1745E26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rPr>
        <w:t>、本项目（是/否）接受联合体：否。</w:t>
      </w:r>
    </w:p>
    <w:p w14:paraId="2F827A79">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sz w:val="24"/>
          <w:szCs w:val="24"/>
          <w:highlight w:val="none"/>
        </w:rPr>
      </w:pPr>
      <w:r>
        <w:rPr>
          <w:rFonts w:hint="eastAsia" w:ascii="宋体" w:hAnsi="宋体" w:cs="宋体"/>
          <w:b/>
          <w:sz w:val="24"/>
          <w:szCs w:val="24"/>
          <w:highlight w:val="none"/>
        </w:rPr>
        <w:t>二、申请人的资格要求：</w:t>
      </w:r>
    </w:p>
    <w:p w14:paraId="7516D049">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1、满足《中华人民共和国政府采购法》第二十二条规定，并提供声明函：</w:t>
      </w:r>
    </w:p>
    <w:p w14:paraId="236DEB6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（1）具有独立承担民事责任的能力；</w:t>
      </w:r>
    </w:p>
    <w:p w14:paraId="0A95E0B1">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（2）具有良好的商业信誉和健全的财务会计制度；</w:t>
      </w:r>
    </w:p>
    <w:p w14:paraId="7C58094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（3）具有履行合同所必需的设备和专业技术能力；</w:t>
      </w:r>
    </w:p>
    <w:p w14:paraId="3710F9DA">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（4）有依法缴纳税收和社会保障资金的良好记录；</w:t>
      </w:r>
    </w:p>
    <w:p w14:paraId="59870C0C">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（5）参加政府采购活动前三年内，在经营活动中没有重大违法记录；</w:t>
      </w:r>
    </w:p>
    <w:p w14:paraId="2961F98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（6）法律、行政法规规定的其他条件。</w:t>
      </w:r>
    </w:p>
    <w:p w14:paraId="31E0AFA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、本项目的特定资格要求：</w:t>
      </w:r>
    </w:p>
    <w:p w14:paraId="4B034FD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sz w:val="24"/>
          <w:szCs w:val="24"/>
          <w:highlight w:val="none"/>
          <w:lang w:val="en-US" w:eastAsia="zh-CN"/>
        </w:rPr>
      </w:pPr>
      <w:bookmarkStart w:id="0" w:name="OLE_LINK11"/>
      <w:r>
        <w:rPr>
          <w:rFonts w:hint="eastAsia" w:ascii="宋体" w:hAnsi="宋体" w:cs="宋体"/>
          <w:sz w:val="24"/>
          <w:szCs w:val="24"/>
          <w:highlight w:val="none"/>
          <w:lang w:val="en-US" w:eastAsia="zh-CN"/>
        </w:rPr>
        <w:t>（1）供应商法定代表人或企业负责人参加采购活动的，必须提供法定代表人或企业负责人的身份证明及法定代表人本人或企业负责人的身份证复印件；非法定代表人或企业负责人参加采购活动的，必须提供法定代表人或企业负责人的身份证明、法定代表人或企业负责人签字或盖章的授权委托书、法定代表人或企业负责人本人身份证复印件及被授权人本人身份证复印件（格式参见附件）。法定代表人为同一个人的两个及两个以上法人，母公司、全资子公司及其控股公司，都不得在同一采购项目相同标段中同时参加磋商，一经发现，将视同围标处理。</w:t>
      </w:r>
    </w:p>
    <w:p w14:paraId="2CFD6BB2">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）供应商须提供诚信承诺书（格式参见</w:t>
      </w:r>
      <w:r>
        <w:rPr>
          <w:rFonts w:hint="eastAsia" w:ascii="宋体" w:hAnsi="宋体" w:cs="宋体"/>
          <w:sz w:val="24"/>
          <w:szCs w:val="24"/>
          <w:highlight w:val="none"/>
          <w:lang w:val="en-US" w:eastAsia="zh-CN"/>
        </w:rPr>
        <w:t>附件</w:t>
      </w:r>
      <w:r>
        <w:rPr>
          <w:rFonts w:hint="eastAsia" w:ascii="宋体" w:hAnsi="宋体" w:cs="宋体"/>
          <w:sz w:val="24"/>
          <w:szCs w:val="24"/>
          <w:highlight w:val="none"/>
        </w:rPr>
        <w:t>）。</w:t>
      </w:r>
    </w:p>
    <w:p w14:paraId="5A91CD5B">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（3）供应商</w:t>
      </w:r>
      <w:r>
        <w:rPr>
          <w:rFonts w:hint="eastAsia" w:ascii="宋体" w:hAnsi="宋体" w:cs="宋体"/>
          <w:sz w:val="24"/>
          <w:szCs w:val="24"/>
          <w:highlight w:val="none"/>
        </w:rPr>
        <w:t>须</w:t>
      </w:r>
      <w:r>
        <w:rPr>
          <w:rFonts w:hint="eastAsia" w:ascii="宋体" w:hAnsi="宋体" w:cs="宋体"/>
          <w:sz w:val="24"/>
          <w:szCs w:val="24"/>
          <w:highlight w:val="none"/>
          <w:lang w:val="en-US" w:eastAsia="zh-CN"/>
        </w:rPr>
        <w:t>提供保险许可证和营业执照。</w:t>
      </w:r>
    </w:p>
    <w:bookmarkEnd w:id="0"/>
    <w:p w14:paraId="087BBA0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、拒绝下述供应商参加本次采购活动：</w:t>
      </w:r>
    </w:p>
    <w:p w14:paraId="6A441243">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（1）供应商单位负责人为同一人或者存在直接控股、管理关系的不同供应商，不得参加同一合同项下的政府采购活动。</w:t>
      </w:r>
    </w:p>
    <w:p w14:paraId="050142D2">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（2）凡为采购项目提供整体设计、规范编制或者项目管理、监理、检测等服务的供应商，不得再参加本项目的采购活动。</w:t>
      </w:r>
    </w:p>
    <w:p w14:paraId="268FCFA7">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sz w:val="24"/>
          <w:szCs w:val="24"/>
          <w:highlight w:val="none"/>
          <w:lang w:val="zh-CN"/>
        </w:rPr>
      </w:pPr>
      <w:r>
        <w:rPr>
          <w:rFonts w:hint="eastAsia" w:ascii="宋体" w:hAnsi="宋体" w:cs="宋体"/>
          <w:b/>
          <w:sz w:val="24"/>
          <w:szCs w:val="24"/>
          <w:highlight w:val="none"/>
          <w:lang w:val="zh-CN"/>
        </w:rPr>
        <w:t>具体资格要求详见第八章中的“资格审查文件”。</w:t>
      </w:r>
    </w:p>
    <w:p w14:paraId="3149E100">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Cs/>
          <w:sz w:val="24"/>
          <w:szCs w:val="24"/>
          <w:highlight w:val="none"/>
        </w:rPr>
      </w:pPr>
      <w:r>
        <w:rPr>
          <w:rFonts w:hint="eastAsia" w:ascii="宋体" w:hAnsi="宋体" w:cs="宋体"/>
          <w:b/>
          <w:bCs/>
          <w:sz w:val="24"/>
          <w:szCs w:val="24"/>
          <w:highlight w:val="none"/>
        </w:rPr>
        <w:t>三、</w:t>
      </w:r>
      <w:r>
        <w:rPr>
          <w:rFonts w:hint="eastAsia" w:ascii="宋体" w:hAnsi="宋体" w:cs="宋体"/>
          <w:b/>
          <w:sz w:val="24"/>
          <w:szCs w:val="24"/>
          <w:highlight w:val="none"/>
        </w:rPr>
        <w:t>获取采购文件</w:t>
      </w:r>
    </w:p>
    <w:p w14:paraId="28227DA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rPr>
        <w:t>1、获取时间：</w:t>
      </w:r>
      <w:r>
        <w:rPr>
          <w:rFonts w:hint="eastAsia" w:ascii="宋体" w:hAnsi="宋体" w:cs="宋体"/>
          <w:bCs/>
          <w:sz w:val="24"/>
          <w:szCs w:val="24"/>
          <w:highlight w:val="none"/>
          <w:u w:val="single"/>
        </w:rPr>
        <w:t>202</w:t>
      </w:r>
      <w:r>
        <w:rPr>
          <w:rFonts w:hint="eastAsia" w:ascii="宋体" w:hAnsi="宋体" w:cs="宋体"/>
          <w:bCs/>
          <w:sz w:val="24"/>
          <w:szCs w:val="24"/>
          <w:highlight w:val="none"/>
          <w:u w:val="single"/>
          <w:lang w:val="en-US" w:eastAsia="zh-CN"/>
        </w:rPr>
        <w:t>5</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7</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21</w:t>
      </w:r>
      <w:r>
        <w:rPr>
          <w:rFonts w:hint="eastAsia" w:ascii="宋体" w:hAnsi="宋体" w:cs="宋体"/>
          <w:bCs/>
          <w:sz w:val="24"/>
          <w:szCs w:val="24"/>
          <w:highlight w:val="none"/>
          <w:u w:val="single"/>
        </w:rPr>
        <w:t>日起至2025年</w:t>
      </w:r>
      <w:r>
        <w:rPr>
          <w:rFonts w:hint="eastAsia" w:ascii="宋体" w:hAnsi="宋体" w:cs="宋体"/>
          <w:bCs/>
          <w:sz w:val="24"/>
          <w:szCs w:val="24"/>
          <w:highlight w:val="none"/>
          <w:u w:val="single"/>
          <w:lang w:val="en-US" w:eastAsia="zh-CN"/>
        </w:rPr>
        <w:t>7</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29</w:t>
      </w:r>
      <w:r>
        <w:rPr>
          <w:rFonts w:hint="eastAsia" w:ascii="宋体" w:hAnsi="宋体" w:cs="宋体"/>
          <w:bCs/>
          <w:sz w:val="24"/>
          <w:szCs w:val="24"/>
          <w:highlight w:val="none"/>
          <w:u w:val="single"/>
        </w:rPr>
        <w:t>日</w:t>
      </w:r>
      <w:r>
        <w:rPr>
          <w:rFonts w:hint="eastAsia" w:ascii="宋体" w:hAnsi="宋体" w:cs="宋体"/>
          <w:bCs/>
          <w:sz w:val="24"/>
          <w:szCs w:val="24"/>
          <w:highlight w:val="none"/>
        </w:rPr>
        <w:t>。</w:t>
      </w:r>
    </w:p>
    <w:p w14:paraId="5EA7CD3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sz w:val="24"/>
          <w:szCs w:val="24"/>
          <w:highlight w:val="none"/>
        </w:rPr>
        <w:t>2、地点：</w:t>
      </w:r>
      <w:r>
        <w:rPr>
          <w:rFonts w:hint="eastAsia" w:ascii="宋体" w:hAnsi="宋体" w:cs="宋体"/>
          <w:bCs/>
          <w:sz w:val="24"/>
          <w:szCs w:val="24"/>
          <w:highlight w:val="none"/>
        </w:rPr>
        <w:t>在南通市公安局官网（http://gaj.nantong.gov.cn/ntsgaj/zfcg/zfcg.html）公示公告--政府采购获知本项目采购信息。</w:t>
      </w:r>
    </w:p>
    <w:p w14:paraId="7E2B4DE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sz w:val="24"/>
          <w:szCs w:val="24"/>
          <w:highlight w:val="none"/>
        </w:rPr>
        <w:t>3、方式：自行下载</w:t>
      </w:r>
    </w:p>
    <w:p w14:paraId="0DDB4D88">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四、响应文件提交</w:t>
      </w:r>
    </w:p>
    <w:p w14:paraId="662B1E7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1、响应文件接收截止时间：2025年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1</w:t>
      </w:r>
      <w:r>
        <w:rPr>
          <w:rFonts w:hint="eastAsia" w:ascii="宋体" w:hAnsi="宋体" w:cs="宋体"/>
          <w:sz w:val="24"/>
          <w:szCs w:val="24"/>
          <w:highlight w:val="none"/>
        </w:rPr>
        <w:t>日</w:t>
      </w:r>
      <w:r>
        <w:rPr>
          <w:rFonts w:hint="eastAsia" w:ascii="宋体" w:hAnsi="宋体" w:cs="宋体"/>
          <w:sz w:val="24"/>
          <w:szCs w:val="24"/>
          <w:highlight w:val="none"/>
          <w:lang w:val="en-US" w:eastAsia="zh-CN"/>
        </w:rPr>
        <w:t>9</w:t>
      </w:r>
      <w:r>
        <w:rPr>
          <w:rFonts w:hint="eastAsia" w:ascii="宋体" w:hAnsi="宋体" w:cs="宋体"/>
          <w:sz w:val="24"/>
          <w:szCs w:val="24"/>
          <w:highlight w:val="none"/>
        </w:rPr>
        <w:t>时30分（北京时间）。逾时，采购人将拒绝接受响应文件纸质文档。</w:t>
      </w:r>
    </w:p>
    <w:p w14:paraId="2B7ED5E0">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2、响应文件递交地址：</w:t>
      </w:r>
      <w:r>
        <w:rPr>
          <w:rFonts w:hint="eastAsia" w:ascii="宋体" w:hAnsi="宋体" w:eastAsia="宋体" w:cs="宋体"/>
          <w:sz w:val="24"/>
          <w:szCs w:val="24"/>
          <w:highlight w:val="none"/>
        </w:rPr>
        <w:t>南通市崇川区青年中路99号市公安局南门招标室</w:t>
      </w:r>
      <w:r>
        <w:rPr>
          <w:rFonts w:hint="eastAsia" w:ascii="宋体" w:hAnsi="宋体" w:cs="宋体"/>
          <w:sz w:val="24"/>
          <w:szCs w:val="24"/>
          <w:highlight w:val="none"/>
        </w:rPr>
        <w:t>，如有变动另行通知。</w:t>
      </w:r>
    </w:p>
    <w:p w14:paraId="5DC1DD5A">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五、</w:t>
      </w:r>
      <w:r>
        <w:rPr>
          <w:rFonts w:hint="eastAsia" w:ascii="宋体" w:hAnsi="宋体" w:cs="宋体"/>
          <w:b/>
          <w:sz w:val="24"/>
          <w:szCs w:val="24"/>
          <w:highlight w:val="none"/>
        </w:rPr>
        <w:t>开启</w:t>
      </w:r>
    </w:p>
    <w:p w14:paraId="3838F81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时间：2025年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bookmarkStart w:id="171" w:name="_GoBack"/>
      <w:bookmarkEnd w:id="171"/>
      <w:r>
        <w:rPr>
          <w:rFonts w:hint="eastAsia" w:ascii="宋体" w:hAnsi="宋体" w:cs="宋体"/>
          <w:sz w:val="24"/>
          <w:szCs w:val="24"/>
          <w:highlight w:val="none"/>
          <w:lang w:val="en-US" w:eastAsia="zh-CN"/>
        </w:rPr>
        <w:t>1</w:t>
      </w:r>
      <w:r>
        <w:rPr>
          <w:rFonts w:hint="eastAsia" w:ascii="宋体" w:hAnsi="宋体" w:cs="宋体"/>
          <w:sz w:val="24"/>
          <w:szCs w:val="24"/>
          <w:highlight w:val="none"/>
        </w:rPr>
        <w:t>日</w:t>
      </w:r>
      <w:r>
        <w:rPr>
          <w:rFonts w:hint="eastAsia" w:ascii="宋体" w:hAnsi="宋体" w:cs="宋体"/>
          <w:sz w:val="24"/>
          <w:szCs w:val="24"/>
          <w:highlight w:val="none"/>
          <w:lang w:val="en-US" w:eastAsia="zh-CN"/>
        </w:rPr>
        <w:t>9</w:t>
      </w:r>
      <w:r>
        <w:rPr>
          <w:rFonts w:hint="eastAsia" w:ascii="宋体" w:hAnsi="宋体" w:cs="宋体"/>
          <w:sz w:val="24"/>
          <w:szCs w:val="24"/>
          <w:highlight w:val="none"/>
        </w:rPr>
        <w:t>时30分（北京时间）。</w:t>
      </w:r>
    </w:p>
    <w:p w14:paraId="21810E4B">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地点：南通市崇川区青年中路</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9号市公安局南门招标室，如有变动另行通知。</w:t>
      </w:r>
    </w:p>
    <w:p w14:paraId="58431535">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六、公告期限</w:t>
      </w:r>
    </w:p>
    <w:p w14:paraId="5D007BC1">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自本公告发布之日起3个工作日。</w:t>
      </w:r>
    </w:p>
    <w:p w14:paraId="356AD003">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七、其他补充事宜：</w:t>
      </w:r>
    </w:p>
    <w:p w14:paraId="0048E15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rPr>
        <w:t>1、本项目不收取磋商保证金，采购文件中涉及磋商保证金的事项，均按免收保证金。</w:t>
      </w:r>
    </w:p>
    <w:p w14:paraId="1C6EFEB1">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2、履约保证金：免收</w:t>
      </w:r>
    </w:p>
    <w:p w14:paraId="605CA50C">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3、对项目需求部分（供应商其他资格要求、项目需求、评分标准）的询问、质疑请向采购人提出，由采购人负责答复；对项目磋商文件其它部分的询问请向采购人或采购代理提出。</w:t>
      </w:r>
    </w:p>
    <w:p w14:paraId="73D0119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rPr>
        <w:t>4、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66EADB0">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5、本项目为</w:t>
      </w:r>
      <w:r>
        <w:rPr>
          <w:rFonts w:hint="eastAsia" w:ascii="宋体" w:hAnsi="宋体" w:cs="宋体"/>
          <w:b/>
          <w:bCs/>
          <w:sz w:val="24"/>
          <w:szCs w:val="24"/>
          <w:highlight w:val="none"/>
          <w:lang w:val="en-US" w:eastAsia="zh-CN"/>
        </w:rPr>
        <w:t>非政府采购</w:t>
      </w:r>
      <w:r>
        <w:rPr>
          <w:rFonts w:hint="eastAsia" w:ascii="宋体" w:hAnsi="宋体" w:cs="宋体"/>
          <w:b/>
          <w:bCs/>
          <w:sz w:val="24"/>
          <w:szCs w:val="24"/>
          <w:highlight w:val="none"/>
        </w:rPr>
        <w:t>项目，相关要求参照政府采购，不执行政府采购法规定的方式和程序。</w:t>
      </w:r>
    </w:p>
    <w:p w14:paraId="1836B328">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ascii="宋体" w:hAnsi="宋体" w:cs="宋体"/>
          <w:b/>
          <w:sz w:val="24"/>
          <w:szCs w:val="24"/>
          <w:highlight w:val="none"/>
        </w:rPr>
      </w:pPr>
      <w:r>
        <w:rPr>
          <w:rFonts w:hint="eastAsia" w:ascii="宋体" w:hAnsi="宋体" w:cs="宋体"/>
          <w:b/>
          <w:sz w:val="24"/>
          <w:szCs w:val="24"/>
          <w:highlight w:val="none"/>
        </w:rPr>
        <w:t>八、凡对本次采购提出询问，请按以下方式联系</w:t>
      </w:r>
    </w:p>
    <w:p w14:paraId="5C973390">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采购人信息</w:t>
      </w:r>
    </w:p>
    <w:p w14:paraId="20A03C3B">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名称：</w:t>
      </w:r>
      <w:r>
        <w:rPr>
          <w:rFonts w:hint="eastAsia" w:ascii="宋体" w:hAnsi="宋体" w:cs="宋体"/>
          <w:sz w:val="24"/>
          <w:szCs w:val="24"/>
          <w:highlight w:val="none"/>
          <w:lang w:eastAsia="zh-CN"/>
        </w:rPr>
        <w:t>南通公安大病特困救助基金会</w:t>
      </w:r>
    </w:p>
    <w:p w14:paraId="307458E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kern w:val="0"/>
          <w:sz w:val="24"/>
          <w:szCs w:val="24"/>
          <w:highlight w:val="none"/>
        </w:rPr>
      </w:pPr>
      <w:r>
        <w:rPr>
          <w:rFonts w:hint="eastAsia" w:ascii="宋体" w:hAnsi="宋体" w:cs="宋体"/>
          <w:sz w:val="24"/>
          <w:szCs w:val="24"/>
          <w:highlight w:val="none"/>
        </w:rPr>
        <w:t>地址：南通市青年东路99号</w:t>
      </w:r>
    </w:p>
    <w:p w14:paraId="30D5020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联系人：</w:t>
      </w:r>
      <w:r>
        <w:rPr>
          <w:rFonts w:hint="eastAsia" w:ascii="宋体" w:hAnsi="宋体"/>
          <w:color w:val="000000"/>
          <w:sz w:val="24"/>
          <w:szCs w:val="24"/>
          <w:highlight w:val="none"/>
          <w:lang w:val="en-US" w:eastAsia="zh-CN"/>
        </w:rPr>
        <w:t>杭女士</w:t>
      </w:r>
    </w:p>
    <w:p w14:paraId="731F23A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联系方式：13861993949</w:t>
      </w:r>
    </w:p>
    <w:p w14:paraId="06AC94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信息</w:t>
      </w:r>
    </w:p>
    <w:p w14:paraId="7A02EF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中通服网盈科技有限公司</w:t>
      </w:r>
    </w:p>
    <w:p w14:paraId="78F961EF">
      <w:pPr>
        <w:keepNext w:val="0"/>
        <w:keepLines w:val="0"/>
        <w:pageBreakBefore w:val="0"/>
        <w:widowControl w:val="0"/>
        <w:kinsoku/>
        <w:wordWrap/>
        <w:overflowPunct/>
        <w:topLinePunct w:val="0"/>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地址：南通市崇川区环城南路11号</w:t>
      </w:r>
    </w:p>
    <w:p w14:paraId="55067975">
      <w:pPr>
        <w:keepNext w:val="0"/>
        <w:keepLines w:val="0"/>
        <w:pageBreakBefore w:val="0"/>
        <w:widowControl w:val="0"/>
        <w:kinsoku/>
        <w:wordWrap/>
        <w:overflowPunct/>
        <w:topLinePunct w:val="0"/>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联系人：陈珺 尹淑瑜 朱益龙 </w:t>
      </w:r>
    </w:p>
    <w:p w14:paraId="45DEB564">
      <w:pPr>
        <w:keepNext w:val="0"/>
        <w:keepLines w:val="0"/>
        <w:pageBreakBefore w:val="0"/>
        <w:widowControl w:val="0"/>
        <w:kinsoku/>
        <w:wordWrap/>
        <w:overflowPunct/>
        <w:topLinePunct w:val="0"/>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联系电话：15358700202  0513-85599000</w:t>
      </w:r>
    </w:p>
    <w:p w14:paraId="6FC2F4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项目联系方式</w:t>
      </w:r>
    </w:p>
    <w:p w14:paraId="2C44F898">
      <w:pPr>
        <w:keepNext w:val="0"/>
        <w:keepLines w:val="0"/>
        <w:pageBreakBefore w:val="0"/>
        <w:widowControl w:val="0"/>
        <w:kinsoku/>
        <w:wordWrap/>
        <w:overflowPunct/>
        <w:topLinePunct w:val="0"/>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联系人：陈珺 尹淑瑜 朱益龙 </w:t>
      </w:r>
    </w:p>
    <w:p w14:paraId="51D0B3EA">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
          <w:w w:val="80"/>
          <w:sz w:val="24"/>
          <w:szCs w:val="24"/>
          <w:highlight w:val="none"/>
        </w:rPr>
      </w:pPr>
      <w:r>
        <w:rPr>
          <w:rFonts w:hint="eastAsia" w:ascii="宋体" w:hAnsi="宋体" w:eastAsia="宋体" w:cs="宋体"/>
          <w:sz w:val="24"/>
          <w:szCs w:val="24"/>
          <w:highlight w:val="none"/>
        </w:rPr>
        <w:t>联系电话：15358700202  0513-85599000</w:t>
      </w:r>
    </w:p>
    <w:p w14:paraId="3627AF40">
      <w:pPr>
        <w:spacing w:line="440" w:lineRule="exact"/>
        <w:ind w:firstLine="480"/>
        <w:jc w:val="left"/>
        <w:rPr>
          <w:rFonts w:ascii="Times New Roman" w:hAnsi="Times New Roman"/>
          <w:sz w:val="24"/>
          <w:szCs w:val="24"/>
          <w:highlight w:val="none"/>
        </w:rPr>
      </w:pPr>
      <w:r>
        <w:rPr>
          <w:rFonts w:hint="eastAsia" w:ascii="Times New Roman" w:hAnsi="Times New Roman"/>
          <w:sz w:val="24"/>
          <w:szCs w:val="24"/>
          <w:highlight w:val="none"/>
        </w:rPr>
        <w:br w:type="page"/>
      </w:r>
    </w:p>
    <w:p w14:paraId="25CD69FB">
      <w:pPr>
        <w:keepNext w:val="0"/>
        <w:keepLines w:val="0"/>
        <w:pageBreakBefore w:val="0"/>
        <w:widowControl w:val="0"/>
        <w:kinsoku/>
        <w:wordWrap/>
        <w:overflowPunct/>
        <w:topLinePunct w:val="0"/>
        <w:autoSpaceDE/>
        <w:autoSpaceDN/>
        <w:bidi w:val="0"/>
        <w:adjustRightInd/>
        <w:snapToGrid/>
        <w:spacing w:line="460" w:lineRule="exact"/>
        <w:ind w:firstLine="480"/>
        <w:jc w:val="center"/>
        <w:textAlignment w:val="auto"/>
        <w:rPr>
          <w:rFonts w:ascii="Times New Roman" w:hAnsi="Times New Roman"/>
          <w:sz w:val="48"/>
          <w:szCs w:val="44"/>
          <w:highlight w:val="none"/>
        </w:rPr>
      </w:pPr>
      <w:r>
        <w:rPr>
          <w:rFonts w:hint="eastAsia" w:ascii="Times New Roman" w:hAnsi="Times New Roman"/>
          <w:sz w:val="48"/>
          <w:szCs w:val="44"/>
          <w:highlight w:val="none"/>
        </w:rPr>
        <w:t>第二章 供应商须知</w:t>
      </w:r>
    </w:p>
    <w:p w14:paraId="6444433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bCs/>
          <w:sz w:val="24"/>
          <w:szCs w:val="24"/>
          <w:highlight w:val="none"/>
        </w:rPr>
      </w:pPr>
      <w:r>
        <w:rPr>
          <w:rFonts w:hint="eastAsia" w:ascii="Times New Roman" w:hAnsi="Times New Roman" w:cs="宋体"/>
          <w:b/>
          <w:bCs/>
          <w:sz w:val="24"/>
          <w:szCs w:val="24"/>
          <w:highlight w:val="none"/>
        </w:rPr>
        <w:t>一、说明</w:t>
      </w:r>
    </w:p>
    <w:p w14:paraId="3AEC49A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bCs/>
          <w:sz w:val="24"/>
          <w:szCs w:val="24"/>
          <w:highlight w:val="none"/>
        </w:rPr>
      </w:pPr>
      <w:r>
        <w:rPr>
          <w:rFonts w:hint="eastAsia" w:ascii="Times New Roman" w:hAnsi="Times New Roman" w:cs="宋体"/>
          <w:bCs/>
          <w:sz w:val="24"/>
          <w:szCs w:val="24"/>
          <w:highlight w:val="none"/>
        </w:rPr>
        <w:t>1、本竞争性磋商文件仅适用于采购人组织的竞争性磋商采购活动。</w:t>
      </w:r>
    </w:p>
    <w:p w14:paraId="283F44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bCs/>
          <w:sz w:val="24"/>
          <w:szCs w:val="24"/>
          <w:highlight w:val="none"/>
        </w:rPr>
      </w:pPr>
      <w:r>
        <w:rPr>
          <w:rFonts w:hint="eastAsia" w:ascii="Times New Roman" w:hAnsi="Times New Roman" w:cs="宋体"/>
          <w:bCs/>
          <w:sz w:val="24"/>
          <w:szCs w:val="24"/>
          <w:highlight w:val="none"/>
        </w:rPr>
        <w:t>2、竞争性磋商活动及因本次磋商产生的合同受中国法律制约和保护。</w:t>
      </w:r>
    </w:p>
    <w:p w14:paraId="481C662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bCs/>
          <w:sz w:val="24"/>
          <w:szCs w:val="24"/>
          <w:highlight w:val="none"/>
        </w:rPr>
      </w:pPr>
      <w:r>
        <w:rPr>
          <w:rFonts w:hint="eastAsia" w:ascii="Times New Roman" w:hAnsi="Times New Roman" w:cs="宋体"/>
          <w:bCs/>
          <w:sz w:val="24"/>
          <w:szCs w:val="24"/>
          <w:highlight w:val="none"/>
        </w:rPr>
        <w:t>3、竞争性磋商文件的解释权属于采购人。</w:t>
      </w:r>
    </w:p>
    <w:p w14:paraId="495D41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4、供应商应认真审阅磋商文件中所有的事项、格式、条款和规范要求等，如果供应商没有按照磋商文件要求提交响应文件，或者响应文件没有对磋商文件做出实质性响应，将被拒绝参与项目的磋商。</w:t>
      </w:r>
    </w:p>
    <w:p w14:paraId="6E9C81B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sz w:val="24"/>
          <w:szCs w:val="24"/>
          <w:highlight w:val="none"/>
        </w:rPr>
      </w:pPr>
      <w:r>
        <w:rPr>
          <w:rFonts w:hint="eastAsia" w:ascii="Times New Roman" w:hAnsi="Times New Roman" w:cs="宋体"/>
          <w:b/>
          <w:sz w:val="24"/>
          <w:szCs w:val="24"/>
          <w:highlight w:val="none"/>
        </w:rPr>
        <w:t>二、磋商文件的澄清、修改、答疑</w:t>
      </w:r>
    </w:p>
    <w:p w14:paraId="0E600B7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1、采购人、采购代理机构有权对发出的磋商文件进行必要的澄清、修改或补充。</w:t>
      </w:r>
    </w:p>
    <w:p w14:paraId="2039984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2、磋商文件的澄清、修改、补充等内容均以书面明确的形式发布，并以南通市公安局官网发布的信息为准。</w:t>
      </w:r>
    </w:p>
    <w:p w14:paraId="5E2AEE8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3、采购人、采购代理机构对磋商文件的澄清、修改将构成磋商文件的一部分，对响应磋商的供应商具有约束力。</w:t>
      </w:r>
    </w:p>
    <w:p w14:paraId="631ECAD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4、提交首次响应文件截止之日前，采购人、采购代理机构可以对已发出的磋商文件进行必要的澄清或修改，澄清或者修改的内容作为磋商文件的组成部分。澄清或者修改的内容可能影响到响应文件编制的，采购人、采购代理机构在提交首次响应文件截止时间至少5日前，以书面形式通知所有获取磋商文件的供应商；不足5日的，采购人、采购代理机构顺延提交首次响应文件截止时间。</w:t>
      </w:r>
    </w:p>
    <w:p w14:paraId="4B64D0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5、除非采购人、采购代理机构以书面的形式对磋商文件作出澄清、修改及补充，供应商对涉及磋商文件的任何推论、理解和结论所造成的结果，均由供应商自负。</w:t>
      </w:r>
    </w:p>
    <w:p w14:paraId="0F70E8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6、采购单位视情组织答疑会。如有产生答疑且对磋商文件内容有修改，代理机构将按照本须知有关规定，以补充通知（公告）的方式发出。</w:t>
      </w:r>
    </w:p>
    <w:p w14:paraId="76AF7D2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sz w:val="24"/>
          <w:szCs w:val="24"/>
          <w:highlight w:val="none"/>
        </w:rPr>
      </w:pPr>
      <w:r>
        <w:rPr>
          <w:rFonts w:hint="eastAsia" w:ascii="Times New Roman" w:hAnsi="Times New Roman" w:cs="宋体"/>
          <w:b/>
          <w:sz w:val="24"/>
          <w:szCs w:val="24"/>
          <w:highlight w:val="none"/>
        </w:rPr>
        <w:t>三、本项目涉及到的现场勘察</w:t>
      </w:r>
    </w:p>
    <w:p w14:paraId="76224CF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1、根据自身需要，供应商可在响应文件递交之日前对有关现场和周围环境进行勘察，以获取编制响应文件和签署合同所需的信息。勘察现场所发生的费用由供应商自己承担。</w:t>
      </w:r>
    </w:p>
    <w:p w14:paraId="1F45E6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2、采购人向供应商提供的有关现场的资料和数据，是采购人现有的并认为能使供应商可利用的资料。采购人对供应商由此而做出的推论、理解和结论概不负责。</w:t>
      </w:r>
    </w:p>
    <w:p w14:paraId="393E75D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3、经采购人允许，供应商可为勘察目的进入采购人的项目现场，但供应商不得因此使采购人承担有关的责任和蒙受损失。供应商应承担勘察现场的责任和风险。</w:t>
      </w:r>
    </w:p>
    <w:p w14:paraId="6D985F7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b/>
          <w:bCs/>
          <w:sz w:val="24"/>
          <w:szCs w:val="24"/>
          <w:highlight w:val="none"/>
          <w:u w:val="single"/>
        </w:rPr>
      </w:pPr>
      <w:r>
        <w:rPr>
          <w:rFonts w:hint="eastAsia" w:ascii="Times New Roman" w:hAnsi="Times New Roman" w:cs="宋体"/>
          <w:sz w:val="24"/>
          <w:szCs w:val="24"/>
          <w:highlight w:val="none"/>
        </w:rPr>
        <w:t>4、供应商应认真踏勘现场。在现场勘察时，熟悉现场及周围交通道路等情况，以获得一切可能影响其响应的直接资料。供应商磋商成交后，不得以不完全了解现场情况为理由而向采购人提出任何索赔的要求，对此采购人不承担任何责任并将不作任何答复与考虑。</w:t>
      </w:r>
    </w:p>
    <w:p w14:paraId="5597648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sz w:val="24"/>
          <w:szCs w:val="24"/>
          <w:highlight w:val="none"/>
        </w:rPr>
      </w:pPr>
      <w:r>
        <w:rPr>
          <w:rFonts w:hint="eastAsia" w:ascii="Times New Roman" w:hAnsi="Times New Roman" w:cs="宋体"/>
          <w:b/>
          <w:sz w:val="24"/>
          <w:szCs w:val="24"/>
          <w:highlight w:val="none"/>
        </w:rPr>
        <w:t>四、响应文件的编制及装订</w:t>
      </w:r>
    </w:p>
    <w:p w14:paraId="29580AA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供应商按磋商文件要求编写响应文件，并装订成册。响应文件不得行间插字、涂改、增删，如修改错漏处，须经响应文件签署人签字并加盖公章。</w:t>
      </w:r>
    </w:p>
    <w:p w14:paraId="039E811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bCs/>
          <w:color w:val="FF0000"/>
          <w:sz w:val="24"/>
          <w:szCs w:val="24"/>
          <w:highlight w:val="none"/>
        </w:rPr>
      </w:pPr>
      <w:r>
        <w:rPr>
          <w:rFonts w:hint="eastAsia" w:ascii="Times New Roman" w:hAnsi="Times New Roman" w:cs="宋体"/>
          <w:b/>
          <w:bCs/>
          <w:sz w:val="24"/>
          <w:szCs w:val="24"/>
          <w:highlight w:val="none"/>
        </w:rPr>
        <w:t>五、响应文件的份数和签署</w:t>
      </w:r>
    </w:p>
    <w:p w14:paraId="6806649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1、响应文件由：</w:t>
      </w:r>
      <w:r>
        <w:rPr>
          <w:rFonts w:hint="eastAsia"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 1 \* GB3 </w:instrText>
      </w:r>
      <w:r>
        <w:rPr>
          <w:rFonts w:hint="eastAsia" w:ascii="Times New Roman" w:hAnsi="Times New Roman" w:cs="宋体"/>
          <w:sz w:val="20"/>
          <w:szCs w:val="24"/>
          <w:highlight w:val="none"/>
        </w:rPr>
        <w:fldChar w:fldCharType="separate"/>
      </w:r>
      <w:r>
        <w:rPr>
          <w:rFonts w:hint="eastAsia" w:ascii="Times New Roman" w:hAnsi="Times New Roman" w:cs="宋体"/>
          <w:sz w:val="24"/>
          <w:szCs w:val="24"/>
          <w:highlight w:val="none"/>
        </w:rPr>
        <w:t>①</w:t>
      </w:r>
      <w:r>
        <w:rPr>
          <w:rFonts w:hint="eastAsia" w:ascii="Times New Roman" w:hAnsi="Times New Roman" w:cs="宋体"/>
          <w:sz w:val="20"/>
          <w:szCs w:val="24"/>
          <w:highlight w:val="none"/>
        </w:rPr>
        <w:fldChar w:fldCharType="end"/>
      </w:r>
      <w:r>
        <w:rPr>
          <w:rFonts w:hint="eastAsia" w:ascii="Times New Roman" w:hAnsi="Times New Roman" w:cs="宋体"/>
          <w:sz w:val="24"/>
          <w:szCs w:val="24"/>
          <w:highlight w:val="none"/>
        </w:rPr>
        <w:t>资格审查文件、</w:t>
      </w:r>
      <w:r>
        <w:rPr>
          <w:rFonts w:hint="eastAsia"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 2 \* GB3 </w:instrText>
      </w:r>
      <w:r>
        <w:rPr>
          <w:rFonts w:hint="eastAsia" w:ascii="Times New Roman" w:hAnsi="Times New Roman" w:cs="宋体"/>
          <w:sz w:val="20"/>
          <w:szCs w:val="24"/>
          <w:highlight w:val="none"/>
        </w:rPr>
        <w:fldChar w:fldCharType="separate"/>
      </w:r>
      <w:r>
        <w:rPr>
          <w:rFonts w:hint="eastAsia" w:ascii="Times New Roman" w:hAnsi="Times New Roman" w:cs="宋体"/>
          <w:sz w:val="24"/>
          <w:szCs w:val="24"/>
          <w:highlight w:val="none"/>
        </w:rPr>
        <w:t>②</w:t>
      </w:r>
      <w:r>
        <w:rPr>
          <w:rFonts w:hint="eastAsia" w:ascii="Times New Roman" w:hAnsi="Times New Roman" w:cs="宋体"/>
          <w:sz w:val="20"/>
          <w:szCs w:val="24"/>
          <w:highlight w:val="none"/>
        </w:rPr>
        <w:fldChar w:fldCharType="end"/>
      </w:r>
      <w:r>
        <w:rPr>
          <w:rFonts w:hint="eastAsia" w:ascii="Times New Roman" w:hAnsi="Times New Roman" w:cs="宋体"/>
          <w:sz w:val="24"/>
          <w:szCs w:val="24"/>
          <w:highlight w:val="none"/>
        </w:rPr>
        <w:t>技术响应文件、③报价响应文件共3部分组成（以下由文件序号代称）。</w:t>
      </w:r>
    </w:p>
    <w:p w14:paraId="2A73FE8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b/>
          <w:sz w:val="24"/>
          <w:szCs w:val="24"/>
          <w:highlight w:val="none"/>
          <w:u w:val="single"/>
        </w:rPr>
      </w:pPr>
      <w:r>
        <w:rPr>
          <w:rFonts w:hint="eastAsia" w:ascii="Times New Roman" w:hAnsi="Times New Roman" w:cs="宋体"/>
          <w:sz w:val="24"/>
          <w:szCs w:val="24"/>
          <w:highlight w:val="none"/>
        </w:rPr>
        <w:t>2、</w:t>
      </w:r>
      <w:r>
        <w:rPr>
          <w:rFonts w:hint="eastAsia" w:ascii="Times New Roman" w:hAnsi="Times New Roman" w:cs="宋体"/>
          <w:b/>
          <w:sz w:val="24"/>
          <w:szCs w:val="24"/>
          <w:highlight w:val="none"/>
        </w:rPr>
        <w:t>响应文件均为一式叁份，其中“正本”壹份和“副本”贰份。</w:t>
      </w:r>
    </w:p>
    <w:p w14:paraId="5B083DF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3、在每份响应文件上要明确标注项目名称、对应的响应文件名称、供应商的全称、日期、“正本”、“副本”字样。“正本”和“副本”若有差异，概以“正本”为准。</w:t>
      </w:r>
    </w:p>
    <w:p w14:paraId="669867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4、响应文件中的所有“正本”，其正文内容须按磋商文件要求由供应商法定代表人或被授权人签字（或盖章）并加盖单位公章。“副本”可复印，但须加盖单位公章。</w:t>
      </w:r>
    </w:p>
    <w:p w14:paraId="7C9E124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bCs/>
          <w:sz w:val="24"/>
          <w:szCs w:val="24"/>
          <w:highlight w:val="none"/>
        </w:rPr>
      </w:pPr>
      <w:r>
        <w:rPr>
          <w:rFonts w:hint="eastAsia" w:ascii="Times New Roman" w:hAnsi="Times New Roman" w:cs="宋体"/>
          <w:b/>
          <w:bCs/>
          <w:sz w:val="24"/>
          <w:szCs w:val="24"/>
          <w:highlight w:val="none"/>
        </w:rPr>
        <w:t>六、响应文件的密封及标记</w:t>
      </w:r>
    </w:p>
    <w:p w14:paraId="048DB31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u w:val="single"/>
        </w:rPr>
      </w:pPr>
      <w:r>
        <w:rPr>
          <w:rFonts w:hint="eastAsia" w:ascii="Times New Roman" w:hAnsi="Times New Roman" w:cs="宋体"/>
          <w:sz w:val="24"/>
          <w:szCs w:val="24"/>
          <w:highlight w:val="none"/>
        </w:rPr>
        <w:t>1、供应商须将本项目响应文件：</w:t>
      </w:r>
      <w:r>
        <w:rPr>
          <w:rFonts w:hint="eastAsia"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 1 \* GB3 </w:instrText>
      </w:r>
      <w:r>
        <w:rPr>
          <w:rFonts w:hint="eastAsia" w:ascii="Times New Roman" w:hAnsi="Times New Roman" w:cs="宋体"/>
          <w:sz w:val="20"/>
          <w:szCs w:val="24"/>
          <w:highlight w:val="none"/>
        </w:rPr>
        <w:fldChar w:fldCharType="separate"/>
      </w:r>
      <w:r>
        <w:rPr>
          <w:rFonts w:hint="eastAsia" w:ascii="Times New Roman" w:hAnsi="Times New Roman" w:cs="宋体"/>
          <w:sz w:val="24"/>
          <w:szCs w:val="24"/>
          <w:highlight w:val="none"/>
        </w:rPr>
        <w:t>①</w:t>
      </w:r>
      <w:r>
        <w:rPr>
          <w:rFonts w:hint="eastAsia" w:ascii="Times New Roman" w:hAnsi="Times New Roman" w:cs="宋体"/>
          <w:sz w:val="20"/>
          <w:szCs w:val="24"/>
          <w:highlight w:val="none"/>
        </w:rPr>
        <w:fldChar w:fldCharType="end"/>
      </w:r>
      <w:r>
        <w:rPr>
          <w:rFonts w:hint="eastAsia" w:ascii="Times New Roman" w:hAnsi="Times New Roman" w:cs="宋体"/>
          <w:sz w:val="24"/>
          <w:szCs w:val="24"/>
          <w:highlight w:val="none"/>
        </w:rPr>
        <w:t>、</w:t>
      </w:r>
      <w:r>
        <w:rPr>
          <w:rFonts w:hint="eastAsia"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 2 \* GB3 </w:instrText>
      </w:r>
      <w:r>
        <w:rPr>
          <w:rFonts w:hint="eastAsia" w:ascii="Times New Roman" w:hAnsi="Times New Roman" w:cs="宋体"/>
          <w:sz w:val="20"/>
          <w:szCs w:val="24"/>
          <w:highlight w:val="none"/>
        </w:rPr>
        <w:fldChar w:fldCharType="separate"/>
      </w:r>
      <w:r>
        <w:rPr>
          <w:rFonts w:hint="eastAsia" w:ascii="Times New Roman" w:hAnsi="Times New Roman" w:cs="宋体"/>
          <w:sz w:val="24"/>
          <w:szCs w:val="24"/>
          <w:highlight w:val="none"/>
        </w:rPr>
        <w:t>②</w:t>
      </w:r>
      <w:r>
        <w:rPr>
          <w:rFonts w:hint="eastAsia" w:ascii="Times New Roman" w:hAnsi="Times New Roman" w:cs="宋体"/>
          <w:sz w:val="20"/>
          <w:szCs w:val="24"/>
          <w:highlight w:val="none"/>
        </w:rPr>
        <w:fldChar w:fldCharType="end"/>
      </w:r>
      <w:r>
        <w:rPr>
          <w:rFonts w:hint="eastAsia" w:ascii="Times New Roman" w:hAnsi="Times New Roman" w:cs="宋体"/>
          <w:sz w:val="24"/>
          <w:szCs w:val="24"/>
          <w:highlight w:val="none"/>
        </w:rPr>
        <w:t>、</w:t>
      </w:r>
      <w:r>
        <w:rPr>
          <w:rFonts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3 \* GB3</w:instrText>
      </w:r>
      <w:r>
        <w:rPr>
          <w:rFonts w:ascii="Times New Roman" w:hAnsi="Times New Roman" w:cs="宋体"/>
          <w:sz w:val="20"/>
          <w:szCs w:val="24"/>
          <w:highlight w:val="none"/>
        </w:rPr>
        <w:fldChar w:fldCharType="separate"/>
      </w:r>
      <w:r>
        <w:rPr>
          <w:rFonts w:hint="eastAsia" w:ascii="Times New Roman" w:hAnsi="Times New Roman" w:cs="宋体"/>
          <w:sz w:val="24"/>
          <w:szCs w:val="24"/>
          <w:highlight w:val="none"/>
        </w:rPr>
        <w:t>③</w:t>
      </w:r>
      <w:r>
        <w:rPr>
          <w:rFonts w:ascii="Times New Roman" w:hAnsi="Times New Roman" w:cs="宋体"/>
          <w:sz w:val="20"/>
          <w:szCs w:val="24"/>
          <w:highlight w:val="none"/>
        </w:rPr>
        <w:fldChar w:fldCharType="end"/>
      </w:r>
      <w:r>
        <w:rPr>
          <w:rFonts w:hint="eastAsia" w:ascii="Times New Roman" w:hAnsi="Times New Roman" w:cs="宋体"/>
          <w:b/>
          <w:sz w:val="24"/>
          <w:szCs w:val="24"/>
          <w:highlight w:val="none"/>
        </w:rPr>
        <w:t>单独密封</w:t>
      </w:r>
      <w:r>
        <w:rPr>
          <w:rFonts w:hint="eastAsia" w:ascii="Times New Roman" w:hAnsi="Times New Roman" w:cs="宋体"/>
          <w:sz w:val="24"/>
          <w:szCs w:val="24"/>
          <w:highlight w:val="none"/>
        </w:rPr>
        <w:t>。响应文件正副本可统一密封，如正本和副本分别密封的，应在封袋上标明正、副本字样。</w:t>
      </w:r>
    </w:p>
    <w:p w14:paraId="79D806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2、密封后，应在每一密封的响应文件上明确标注磋商项目名称、响应文件各自对应的名称、供应商的全称及日期并加盖供应商公章。</w:t>
      </w:r>
    </w:p>
    <w:p w14:paraId="60C8D22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sz w:val="24"/>
          <w:szCs w:val="24"/>
          <w:highlight w:val="none"/>
        </w:rPr>
      </w:pPr>
      <w:r>
        <w:rPr>
          <w:rFonts w:hint="eastAsia" w:ascii="Times New Roman" w:hAnsi="Times New Roman" w:cs="宋体"/>
          <w:b/>
          <w:sz w:val="24"/>
          <w:szCs w:val="24"/>
          <w:highlight w:val="none"/>
        </w:rPr>
        <w:t>【特别提醒】</w:t>
      </w:r>
      <w:r>
        <w:rPr>
          <w:rFonts w:hint="eastAsia" w:ascii="Times New Roman" w:hAnsi="Times New Roman" w:cs="宋体"/>
          <w:sz w:val="24"/>
          <w:szCs w:val="24"/>
          <w:highlight w:val="none"/>
        </w:rPr>
        <w:t>响应文件中的</w:t>
      </w:r>
      <w:r>
        <w:rPr>
          <w:rFonts w:hint="eastAsia"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 1 \* GB3 </w:instrText>
      </w:r>
      <w:r>
        <w:rPr>
          <w:rFonts w:hint="eastAsia" w:ascii="Times New Roman" w:hAnsi="Times New Roman" w:cs="宋体"/>
          <w:sz w:val="20"/>
          <w:szCs w:val="24"/>
          <w:highlight w:val="none"/>
        </w:rPr>
        <w:fldChar w:fldCharType="separate"/>
      </w:r>
      <w:r>
        <w:rPr>
          <w:rFonts w:hint="eastAsia" w:ascii="Times New Roman" w:hAnsi="Times New Roman" w:cs="宋体"/>
          <w:sz w:val="24"/>
          <w:szCs w:val="24"/>
          <w:highlight w:val="none"/>
        </w:rPr>
        <w:t>①</w:t>
      </w:r>
      <w:r>
        <w:rPr>
          <w:rFonts w:hint="eastAsia" w:ascii="Times New Roman" w:hAnsi="Times New Roman" w:cs="宋体"/>
          <w:sz w:val="20"/>
          <w:szCs w:val="24"/>
          <w:highlight w:val="none"/>
        </w:rPr>
        <w:fldChar w:fldCharType="end"/>
      </w:r>
      <w:r>
        <w:rPr>
          <w:rFonts w:hint="eastAsia" w:ascii="Times New Roman" w:hAnsi="Times New Roman" w:cs="宋体"/>
          <w:sz w:val="24"/>
          <w:szCs w:val="24"/>
          <w:highlight w:val="none"/>
        </w:rPr>
        <w:t>和</w:t>
      </w:r>
      <w:r>
        <w:rPr>
          <w:rFonts w:hint="eastAsia" w:ascii="Times New Roman" w:hAnsi="Times New Roman" w:cs="宋体"/>
          <w:sz w:val="20"/>
          <w:szCs w:val="24"/>
          <w:highlight w:val="none"/>
        </w:rPr>
        <w:fldChar w:fldCharType="begin"/>
      </w:r>
      <w:r>
        <w:rPr>
          <w:rFonts w:hint="eastAsia" w:ascii="Times New Roman" w:hAnsi="Times New Roman" w:cs="宋体"/>
          <w:sz w:val="20"/>
          <w:szCs w:val="24"/>
          <w:highlight w:val="none"/>
        </w:rPr>
        <w:instrText xml:space="preserve"> = 2 \* GB3 </w:instrText>
      </w:r>
      <w:r>
        <w:rPr>
          <w:rFonts w:hint="eastAsia" w:ascii="Times New Roman" w:hAnsi="Times New Roman" w:cs="宋体"/>
          <w:sz w:val="20"/>
          <w:szCs w:val="24"/>
          <w:highlight w:val="none"/>
        </w:rPr>
        <w:fldChar w:fldCharType="separate"/>
      </w:r>
      <w:r>
        <w:rPr>
          <w:rFonts w:hint="eastAsia" w:ascii="Times New Roman" w:hAnsi="Times New Roman" w:cs="宋体"/>
          <w:sz w:val="24"/>
          <w:szCs w:val="24"/>
          <w:highlight w:val="none"/>
        </w:rPr>
        <w:t>②</w:t>
      </w:r>
      <w:r>
        <w:rPr>
          <w:rFonts w:hint="eastAsia" w:ascii="Times New Roman" w:hAnsi="Times New Roman" w:cs="宋体"/>
          <w:sz w:val="20"/>
          <w:szCs w:val="24"/>
          <w:highlight w:val="none"/>
        </w:rPr>
        <w:fldChar w:fldCharType="end"/>
      </w:r>
      <w:r>
        <w:rPr>
          <w:rFonts w:hint="eastAsia" w:ascii="Times New Roman" w:hAnsi="Times New Roman" w:cs="宋体"/>
          <w:sz w:val="24"/>
          <w:szCs w:val="24"/>
          <w:highlight w:val="none"/>
        </w:rPr>
        <w:t>的“正本”或“副本”中，均不得含有报价响应文件中报价表（报价单）内的任何项目价格，否则作无效响应处理。</w:t>
      </w:r>
    </w:p>
    <w:p w14:paraId="505F83C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cs="宋体"/>
          <w:b/>
          <w:bCs/>
          <w:sz w:val="24"/>
          <w:szCs w:val="24"/>
          <w:highlight w:val="none"/>
        </w:rPr>
      </w:pPr>
      <w:r>
        <w:rPr>
          <w:rFonts w:hint="eastAsia" w:ascii="Times New Roman" w:hAnsi="Times New Roman" w:cs="宋体"/>
          <w:b/>
          <w:bCs/>
          <w:sz w:val="24"/>
          <w:szCs w:val="24"/>
          <w:highlight w:val="none"/>
        </w:rPr>
        <w:t>七、磋商报价</w:t>
      </w:r>
    </w:p>
    <w:p w14:paraId="157E82F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1、</w:t>
      </w:r>
      <w:r>
        <w:rPr>
          <w:rFonts w:hint="eastAsia" w:ascii="Times New Roman" w:hAnsi="Times New Roman" w:cs="宋体"/>
          <w:sz w:val="24"/>
          <w:highlight w:val="none"/>
        </w:rPr>
        <w:t>报价供应商应对所要采购的全部内容进行报价，一个项目只允许一个报价，只报其中部分内容的或出现选择性报价，将被视为无效报价</w:t>
      </w:r>
      <w:r>
        <w:rPr>
          <w:rFonts w:hint="eastAsia" w:ascii="Times New Roman" w:hAnsi="Times New Roman" w:cs="宋体"/>
          <w:sz w:val="24"/>
          <w:szCs w:val="24"/>
          <w:highlight w:val="none"/>
        </w:rPr>
        <w:t>。</w:t>
      </w:r>
    </w:p>
    <w:p w14:paraId="131D300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2、磋商报价均以人民币为报价的币种。</w:t>
      </w:r>
    </w:p>
    <w:p w14:paraId="47B4FA5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cs="宋体"/>
          <w:sz w:val="24"/>
          <w:szCs w:val="24"/>
          <w:highlight w:val="none"/>
        </w:rPr>
      </w:pPr>
      <w:r>
        <w:rPr>
          <w:rFonts w:hint="eastAsia" w:ascii="Times New Roman" w:hAnsi="Times New Roman" w:cs="宋体"/>
          <w:sz w:val="24"/>
          <w:szCs w:val="24"/>
          <w:highlight w:val="none"/>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1FB0FA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highlight w:val="none"/>
        </w:rPr>
      </w:pPr>
      <w:r>
        <w:rPr>
          <w:rFonts w:hint="eastAsia" w:ascii="Times New Roman" w:hAnsi="Times New Roman"/>
          <w:sz w:val="24"/>
          <w:szCs w:val="24"/>
          <w:highlight w:val="none"/>
        </w:rPr>
        <w:t>4、</w:t>
      </w:r>
      <w:r>
        <w:rPr>
          <w:rFonts w:hint="eastAsia" w:ascii="宋体" w:hAnsi="宋体" w:cs="仿宋_GB2312"/>
          <w:b/>
          <w:bCs/>
          <w:sz w:val="24"/>
          <w:szCs w:val="24"/>
          <w:highlight w:val="none"/>
        </w:rPr>
        <w:t>本项目为</w:t>
      </w:r>
      <w:r>
        <w:rPr>
          <w:rFonts w:hint="eastAsia" w:ascii="宋体" w:hAnsi="宋体" w:cs="仿宋_GB2312"/>
          <w:b/>
          <w:bCs/>
          <w:sz w:val="24"/>
          <w:szCs w:val="24"/>
          <w:highlight w:val="none"/>
          <w:lang w:val="en-US" w:eastAsia="zh-CN"/>
        </w:rPr>
        <w:t>单价</w:t>
      </w:r>
      <w:r>
        <w:rPr>
          <w:rFonts w:hint="eastAsia" w:ascii="宋体" w:hAnsi="宋体" w:cs="仿宋_GB2312"/>
          <w:b/>
          <w:bCs/>
          <w:sz w:val="24"/>
          <w:szCs w:val="24"/>
          <w:highlight w:val="none"/>
        </w:rPr>
        <w:t>报价。</w:t>
      </w:r>
      <w:r>
        <w:rPr>
          <w:rFonts w:hint="eastAsia" w:ascii="Times New Roman" w:hAnsi="Times New Roman"/>
          <w:sz w:val="24"/>
          <w:szCs w:val="24"/>
          <w:highlight w:val="none"/>
        </w:rPr>
        <w:t>响应报价（以人民币计价）应包含但不限于服务的成本、利润、税金、开办费等的所有费用，相关伴随服务以及售后服务等一切费用。服务期内报价不随国家政策或法规、标准及市场因素的变化而进行调整。</w:t>
      </w:r>
    </w:p>
    <w:p w14:paraId="584654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宋体"/>
          <w:sz w:val="24"/>
          <w:szCs w:val="24"/>
        </w:rPr>
      </w:pPr>
      <w:r>
        <w:rPr>
          <w:rFonts w:hint="eastAsia" w:ascii="Times New Roman" w:hAnsi="Times New Roman"/>
          <w:b/>
          <w:bCs/>
          <w:sz w:val="24"/>
          <w:szCs w:val="24"/>
          <w:highlight w:val="none"/>
          <w:lang w:val="en-US" w:eastAsia="zh-CN"/>
        </w:rPr>
        <w:t>5</w:t>
      </w:r>
      <w:r>
        <w:rPr>
          <w:rFonts w:hint="eastAsia" w:ascii="Times New Roman" w:hAnsi="Times New Roman" w:cs="宋体"/>
          <w:sz w:val="24"/>
          <w:szCs w:val="24"/>
          <w:highlight w:val="none"/>
        </w:rPr>
        <w:t>、供应商应详细阅</w:t>
      </w:r>
      <w:r>
        <w:rPr>
          <w:rFonts w:hint="eastAsia" w:ascii="Times New Roman" w:hAnsi="Times New Roman" w:cs="宋体"/>
          <w:sz w:val="24"/>
          <w:szCs w:val="24"/>
        </w:rPr>
        <w:t>读竞争性磋商文件的全部内容，根据采购项目需求，准确制定相关工作方案等，必须对本采购项目全部进行报价，如有漏项，视同对本项目的优惠。不按竞争性磋商文件的要求提供响应文件，导致报价无效，作无效响应处理。</w:t>
      </w:r>
    </w:p>
    <w:p w14:paraId="3BDB7A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宋体"/>
          <w:sz w:val="24"/>
          <w:szCs w:val="24"/>
        </w:rPr>
      </w:pPr>
      <w:r>
        <w:rPr>
          <w:rFonts w:hint="eastAsia" w:ascii="Times New Roman" w:hAnsi="Times New Roman" w:cs="宋体"/>
          <w:sz w:val="24"/>
          <w:szCs w:val="24"/>
          <w:lang w:val="en-US" w:eastAsia="zh-CN"/>
        </w:rPr>
        <w:t>6</w:t>
      </w:r>
      <w:r>
        <w:rPr>
          <w:rFonts w:hint="eastAsia" w:ascii="Times New Roman" w:hAnsi="Times New Roman" w:cs="宋体"/>
          <w:sz w:val="24"/>
          <w:szCs w:val="24"/>
        </w:rPr>
        <w:t>、竞争性磋商的最终报价为成交价。同时，供应商的最终成交价在合同实施期间不因市场变化因素而变动。</w:t>
      </w:r>
    </w:p>
    <w:p w14:paraId="52AD71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宋体"/>
          <w:sz w:val="24"/>
          <w:szCs w:val="24"/>
        </w:rPr>
      </w:pPr>
      <w:r>
        <w:rPr>
          <w:rFonts w:hint="eastAsia" w:ascii="Times New Roman" w:hAnsi="Times New Roman" w:cs="宋体"/>
          <w:sz w:val="24"/>
          <w:szCs w:val="24"/>
          <w:lang w:val="en-US" w:eastAsia="zh-CN"/>
        </w:rPr>
        <w:t>7</w:t>
      </w:r>
      <w:r>
        <w:rPr>
          <w:rFonts w:hint="eastAsia" w:ascii="Times New Roman" w:hAnsi="Times New Roman" w:cs="宋体"/>
          <w:sz w:val="24"/>
          <w:szCs w:val="24"/>
        </w:rPr>
        <w:t>、</w:t>
      </w:r>
      <w:r>
        <w:rPr>
          <w:rFonts w:hint="eastAsia" w:ascii="Times New Roman" w:hAnsi="Times New Roman" w:cs="宋体"/>
          <w:sz w:val="24"/>
        </w:rPr>
        <w:t>最终报价将作为磋商小组评定成交供应商的依据</w:t>
      </w:r>
      <w:r>
        <w:rPr>
          <w:rFonts w:hint="eastAsia" w:ascii="Times New Roman" w:hAnsi="Times New Roman" w:cs="宋体"/>
          <w:sz w:val="24"/>
          <w:szCs w:val="24"/>
        </w:rPr>
        <w:t>。</w:t>
      </w:r>
    </w:p>
    <w:p w14:paraId="5AD1DB8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宋体"/>
          <w:b/>
          <w:bCs/>
          <w:sz w:val="24"/>
          <w:szCs w:val="24"/>
        </w:rPr>
      </w:pPr>
      <w:r>
        <w:rPr>
          <w:rFonts w:hint="eastAsia" w:ascii="Times New Roman" w:hAnsi="Times New Roman" w:cs="宋体"/>
          <w:b/>
          <w:bCs/>
          <w:sz w:val="24"/>
          <w:szCs w:val="24"/>
        </w:rPr>
        <w:t>八、联合体参与磋商</w:t>
      </w:r>
    </w:p>
    <w:p w14:paraId="73974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宋体"/>
          <w:sz w:val="24"/>
          <w:szCs w:val="24"/>
        </w:rPr>
      </w:pPr>
      <w:r>
        <w:rPr>
          <w:rFonts w:hint="eastAsia" w:ascii="Times New Roman" w:hAnsi="Times New Roman" w:cs="宋体"/>
          <w:sz w:val="24"/>
          <w:szCs w:val="24"/>
        </w:rPr>
        <w:t>不接受任何形式的联合体参与本项目的竞争性磋商。</w:t>
      </w:r>
    </w:p>
    <w:p w14:paraId="0AC9F456">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ascii="Times New Roman" w:hAnsi="Times New Roman"/>
          <w:b/>
          <w:bCs/>
          <w:sz w:val="24"/>
          <w:szCs w:val="24"/>
        </w:rPr>
      </w:pPr>
      <w:r>
        <w:rPr>
          <w:rFonts w:hint="eastAsia" w:ascii="Times New Roman" w:hAnsi="Times New Roman" w:cs="宋体"/>
          <w:b/>
          <w:bCs/>
          <w:sz w:val="24"/>
          <w:szCs w:val="24"/>
        </w:rPr>
        <w:t>九、</w:t>
      </w:r>
      <w:r>
        <w:rPr>
          <w:rFonts w:hint="eastAsia" w:ascii="Times New Roman" w:hAnsi="Times New Roman"/>
          <w:b/>
          <w:bCs/>
          <w:sz w:val="24"/>
          <w:szCs w:val="24"/>
        </w:rPr>
        <w:t>响应</w:t>
      </w:r>
      <w:r>
        <w:rPr>
          <w:rFonts w:ascii="Times New Roman" w:hAnsi="Times New Roman"/>
          <w:b/>
          <w:bCs/>
          <w:sz w:val="24"/>
          <w:szCs w:val="24"/>
        </w:rPr>
        <w:t>文件的有效期</w:t>
      </w:r>
    </w:p>
    <w:p w14:paraId="7A31C80B">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sz w:val="24"/>
          <w:szCs w:val="24"/>
        </w:rPr>
      </w:pPr>
      <w:r>
        <w:rPr>
          <w:rFonts w:ascii="Times New Roman" w:hAnsi="Times New Roman"/>
          <w:sz w:val="24"/>
          <w:szCs w:val="24"/>
        </w:rPr>
        <w:t>1、从</w:t>
      </w:r>
      <w:r>
        <w:rPr>
          <w:rFonts w:hint="eastAsia" w:ascii="Times New Roman" w:hAnsi="Times New Roman"/>
          <w:sz w:val="24"/>
          <w:szCs w:val="24"/>
        </w:rPr>
        <w:t>响应</w:t>
      </w:r>
      <w:r>
        <w:rPr>
          <w:rFonts w:ascii="Times New Roman" w:hAnsi="Times New Roman"/>
          <w:sz w:val="24"/>
          <w:szCs w:val="24"/>
        </w:rPr>
        <w:t>文件接收截止之日起</w:t>
      </w:r>
      <w:r>
        <w:rPr>
          <w:rFonts w:hint="eastAsia" w:ascii="Times New Roman" w:hAnsi="Times New Roman"/>
          <w:sz w:val="24"/>
          <w:szCs w:val="24"/>
        </w:rPr>
        <w:t>算</w:t>
      </w:r>
      <w:r>
        <w:rPr>
          <w:rFonts w:ascii="Times New Roman" w:hAnsi="Times New Roman"/>
          <w:sz w:val="24"/>
          <w:szCs w:val="24"/>
        </w:rPr>
        <w:t>，</w:t>
      </w:r>
      <w:r>
        <w:rPr>
          <w:rFonts w:hint="eastAsia" w:ascii="Times New Roman" w:hAnsi="Times New Roman"/>
          <w:sz w:val="24"/>
          <w:szCs w:val="24"/>
          <w:u w:val="single"/>
        </w:rPr>
        <w:t>60</w:t>
      </w:r>
      <w:r>
        <w:rPr>
          <w:rFonts w:ascii="Times New Roman" w:hAnsi="Times New Roman"/>
          <w:sz w:val="24"/>
          <w:szCs w:val="24"/>
        </w:rPr>
        <w:t>个日历天内</w:t>
      </w:r>
      <w:r>
        <w:rPr>
          <w:rFonts w:hint="eastAsia" w:ascii="Times New Roman" w:hAnsi="Times New Roman"/>
          <w:sz w:val="24"/>
          <w:szCs w:val="24"/>
        </w:rPr>
        <w:t>响应文件</w:t>
      </w:r>
      <w:r>
        <w:rPr>
          <w:rFonts w:ascii="Times New Roman" w:hAnsi="Times New Roman"/>
          <w:sz w:val="24"/>
          <w:szCs w:val="24"/>
        </w:rPr>
        <w:t>应保持有效。</w:t>
      </w:r>
      <w:r>
        <w:rPr>
          <w:rFonts w:hint="eastAsia" w:ascii="Times New Roman" w:hAnsi="Times New Roman"/>
          <w:sz w:val="24"/>
          <w:szCs w:val="24"/>
        </w:rPr>
        <w:t>响应文件中承诺的响应文件有效期应当不少于采购文件中载明的响应文件有效期</w:t>
      </w:r>
      <w:r>
        <w:rPr>
          <w:rFonts w:ascii="Times New Roman" w:hAnsi="Times New Roman"/>
          <w:sz w:val="24"/>
          <w:szCs w:val="24"/>
        </w:rPr>
        <w:t>。</w:t>
      </w:r>
    </w:p>
    <w:p w14:paraId="6141B8A8">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sz w:val="24"/>
          <w:szCs w:val="24"/>
        </w:rPr>
      </w:pPr>
      <w:r>
        <w:rPr>
          <w:rFonts w:ascii="Times New Roman" w:hAnsi="Times New Roman"/>
          <w:sz w:val="24"/>
          <w:szCs w:val="24"/>
        </w:rPr>
        <w:t>2、在特殊情况下，采购代理机构可与供应商协商延长</w:t>
      </w:r>
      <w:r>
        <w:rPr>
          <w:rFonts w:hint="eastAsia" w:ascii="Times New Roman" w:hAnsi="Times New Roman"/>
          <w:sz w:val="24"/>
          <w:szCs w:val="24"/>
        </w:rPr>
        <w:t>响应文件</w:t>
      </w:r>
      <w:r>
        <w:rPr>
          <w:rFonts w:ascii="Times New Roman" w:hAnsi="Times New Roman"/>
          <w:sz w:val="24"/>
          <w:szCs w:val="24"/>
        </w:rPr>
        <w:t>的有效期。这种要求和答复都应以书面、传真、或电报的形式进行。</w:t>
      </w:r>
      <w:r>
        <w:rPr>
          <w:rFonts w:hint="eastAsia" w:ascii="Times New Roman" w:hAnsi="Times New Roman"/>
          <w:sz w:val="24"/>
          <w:szCs w:val="24"/>
        </w:rPr>
        <w:t>同意延长响应文件有效期的供应商既不能要求也不允许修改其响应文件，同时受响应文件有效期约束的所有权利与义务均延长至新的有效期。供应商可以拒绝采购代理机构的这一要求而放弃响应。</w:t>
      </w:r>
    </w:p>
    <w:p w14:paraId="5519DE3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宋体"/>
          <w:sz w:val="24"/>
          <w:szCs w:val="24"/>
        </w:rPr>
      </w:pPr>
      <w:r>
        <w:rPr>
          <w:rFonts w:hint="eastAsia" w:ascii="Times New Roman" w:hAnsi="Times New Roman" w:cs="宋体"/>
          <w:b/>
          <w:bCs/>
          <w:sz w:val="24"/>
          <w:szCs w:val="24"/>
        </w:rPr>
        <w:t>十</w:t>
      </w:r>
      <w:r>
        <w:rPr>
          <w:rFonts w:hint="eastAsia" w:ascii="Times New Roman" w:hAnsi="Times New Roman" w:cs="宋体"/>
          <w:b/>
          <w:bCs/>
          <w:sz w:val="24"/>
          <w:szCs w:val="24"/>
          <w:lang w:eastAsia="zh-CN"/>
        </w:rPr>
        <w:t>、</w:t>
      </w:r>
      <w:r>
        <w:rPr>
          <w:rFonts w:hint="eastAsia" w:ascii="Times New Roman" w:hAnsi="Times New Roman" w:cs="宋体"/>
          <w:b/>
          <w:bCs/>
          <w:sz w:val="24"/>
          <w:szCs w:val="24"/>
        </w:rPr>
        <w:t>响应文件及</w:t>
      </w:r>
      <w:r>
        <w:rPr>
          <w:rFonts w:hint="eastAsia" w:ascii="Times New Roman" w:hAnsi="Times New Roman" w:cs="宋体"/>
          <w:b/>
          <w:sz w:val="24"/>
          <w:szCs w:val="24"/>
        </w:rPr>
        <w:t>磋商</w:t>
      </w:r>
      <w:r>
        <w:rPr>
          <w:rFonts w:hint="eastAsia" w:ascii="Times New Roman" w:hAnsi="Times New Roman" w:cs="宋体"/>
          <w:b/>
          <w:bCs/>
          <w:sz w:val="24"/>
          <w:szCs w:val="24"/>
        </w:rPr>
        <w:t>费用</w:t>
      </w:r>
    </w:p>
    <w:p w14:paraId="5F165F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宋体"/>
          <w:sz w:val="24"/>
          <w:szCs w:val="24"/>
        </w:rPr>
      </w:pPr>
      <w:r>
        <w:rPr>
          <w:rFonts w:hint="eastAsia" w:ascii="Times New Roman" w:hAnsi="Times New Roman" w:cs="宋体"/>
          <w:sz w:val="24"/>
          <w:szCs w:val="24"/>
          <w:lang w:val="en-US" w:eastAsia="zh-CN"/>
        </w:rPr>
        <w:t>1、</w:t>
      </w:r>
      <w:r>
        <w:rPr>
          <w:rFonts w:hint="eastAsia" w:ascii="Times New Roman" w:hAnsi="Times New Roman" w:cs="宋体"/>
          <w:sz w:val="24"/>
          <w:szCs w:val="24"/>
        </w:rPr>
        <w:t>无论磋商过程和结果如何，参加项目磋商的供应商自行承担与本次项目磋商有关的全部费用。</w:t>
      </w:r>
    </w:p>
    <w:p w14:paraId="564D98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cs="宋体"/>
          <w:sz w:val="24"/>
          <w:szCs w:val="24"/>
          <w:lang w:val="en-US" w:eastAsia="zh-CN"/>
        </w:rPr>
        <w:t>2、</w:t>
      </w:r>
      <w:r>
        <w:rPr>
          <w:rFonts w:hint="eastAsia" w:ascii="宋体" w:hAnsi="宋体" w:cs="宋体"/>
          <w:sz w:val="24"/>
          <w:szCs w:val="24"/>
        </w:rPr>
        <w:t>本项目招标代理费按发改价格〔2011〕534号、苏价服2014（383）号文件规定标准下浮50</w:t>
      </w:r>
      <w:r>
        <w:rPr>
          <w:rFonts w:hint="eastAsia" w:ascii="宋体" w:hAnsi="宋体" w:cs="宋体"/>
          <w:sz w:val="24"/>
          <w:szCs w:val="24"/>
          <w:lang w:val="en-US" w:eastAsia="zh-CN"/>
        </w:rPr>
        <w:t>%</w:t>
      </w:r>
      <w:r>
        <w:rPr>
          <w:rFonts w:hint="eastAsia" w:ascii="宋体" w:hAnsi="宋体" w:cs="宋体"/>
          <w:sz w:val="24"/>
          <w:szCs w:val="24"/>
        </w:rPr>
        <w:t>收取，不足2000元按2000元计，由成交供应商支付，此费用综合考虑在响应报价内。上述费用由成交供应商在领取成交通知书前向采购代理机构一次性付清。</w:t>
      </w:r>
    </w:p>
    <w:p w14:paraId="4BE33F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宋体"/>
          <w:b/>
          <w:sz w:val="24"/>
          <w:szCs w:val="24"/>
        </w:rPr>
      </w:pPr>
      <w:r>
        <w:rPr>
          <w:rFonts w:hint="eastAsia" w:ascii="Times New Roman" w:hAnsi="Times New Roman" w:cs="宋体"/>
          <w:b/>
          <w:sz w:val="24"/>
          <w:szCs w:val="24"/>
        </w:rPr>
        <w:t>十</w:t>
      </w:r>
      <w:r>
        <w:rPr>
          <w:rFonts w:hint="eastAsia" w:ascii="Times New Roman" w:hAnsi="Times New Roman" w:cs="宋体"/>
          <w:b/>
          <w:sz w:val="24"/>
          <w:szCs w:val="24"/>
          <w:lang w:val="en-US" w:eastAsia="zh-CN"/>
        </w:rPr>
        <w:t>一</w:t>
      </w:r>
      <w:r>
        <w:rPr>
          <w:rFonts w:hint="eastAsia" w:ascii="Times New Roman" w:hAnsi="Times New Roman" w:cs="宋体"/>
          <w:b/>
          <w:sz w:val="24"/>
          <w:szCs w:val="24"/>
        </w:rPr>
        <w:t>、履约保证金</w:t>
      </w:r>
    </w:p>
    <w:p w14:paraId="246FA9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宋体"/>
          <w:b/>
          <w:sz w:val="24"/>
          <w:szCs w:val="24"/>
        </w:rPr>
      </w:pPr>
      <w:r>
        <w:rPr>
          <w:rFonts w:hint="eastAsia" w:ascii="Times New Roman" w:hAnsi="Times New Roman" w:cs="宋体"/>
          <w:b/>
          <w:sz w:val="24"/>
          <w:szCs w:val="24"/>
        </w:rPr>
        <w:t>免收</w:t>
      </w:r>
    </w:p>
    <w:p w14:paraId="0DFCD36F">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ascii="Times New Roman" w:hAnsi="Times New Roman"/>
          <w:b/>
          <w:bCs/>
          <w:sz w:val="24"/>
          <w:szCs w:val="24"/>
        </w:rPr>
      </w:pPr>
      <w:r>
        <w:rPr>
          <w:rFonts w:hint="eastAsia" w:ascii="Times New Roman" w:hAnsi="Times New Roman" w:cs="宋体"/>
          <w:b/>
          <w:sz w:val="24"/>
          <w:szCs w:val="24"/>
        </w:rPr>
        <w:t>十</w:t>
      </w:r>
      <w:r>
        <w:rPr>
          <w:rFonts w:hint="eastAsia" w:ascii="Times New Roman" w:hAnsi="Times New Roman" w:cs="宋体"/>
          <w:b/>
          <w:sz w:val="24"/>
          <w:szCs w:val="24"/>
          <w:lang w:val="en-US" w:eastAsia="zh-CN"/>
        </w:rPr>
        <w:t>二</w:t>
      </w:r>
      <w:r>
        <w:rPr>
          <w:rFonts w:hint="eastAsia" w:ascii="Times New Roman" w:hAnsi="Times New Roman" w:cs="宋体"/>
          <w:b/>
          <w:sz w:val="24"/>
          <w:szCs w:val="24"/>
        </w:rPr>
        <w:t>、</w:t>
      </w:r>
      <w:r>
        <w:rPr>
          <w:rFonts w:ascii="Times New Roman" w:hAnsi="Times New Roman"/>
          <w:b/>
          <w:bCs/>
          <w:sz w:val="24"/>
          <w:szCs w:val="24"/>
        </w:rPr>
        <w:t>货物和服务的追加、减少和添购。</w:t>
      </w:r>
    </w:p>
    <w:p w14:paraId="5367D62A">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bCs/>
          <w:sz w:val="24"/>
          <w:szCs w:val="24"/>
        </w:rPr>
      </w:pPr>
      <w:r>
        <w:rPr>
          <w:rFonts w:ascii="Times New Roman" w:hAnsi="Times New Roman"/>
          <w:bCs/>
          <w:sz w:val="24"/>
          <w:szCs w:val="24"/>
        </w:rPr>
        <w:t>采购合同履行中，采购人需追加与</w:t>
      </w:r>
      <w:r>
        <w:rPr>
          <w:rFonts w:hint="eastAsia" w:ascii="Times New Roman" w:hAnsi="Times New Roman"/>
          <w:bCs/>
          <w:sz w:val="24"/>
          <w:szCs w:val="24"/>
        </w:rPr>
        <w:t>采购合同</w:t>
      </w:r>
      <w:r>
        <w:rPr>
          <w:rFonts w:ascii="Times New Roman" w:hAnsi="Times New Roman"/>
          <w:bCs/>
          <w:sz w:val="24"/>
          <w:szCs w:val="24"/>
        </w:rPr>
        <w:t>相同的货物和服务的，在不改变合同其他条款的前提下，可以与成交供应商协商签订补充合同，但所有补充合同的采购金额不超过原合同金额10%。</w:t>
      </w:r>
    </w:p>
    <w:p w14:paraId="22A78013">
      <w:pPr>
        <w:pStyle w:val="6"/>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Times New Roman" w:hAnsi="Times New Roman" w:eastAsia="宋体" w:cs="Times New Roman"/>
          <w:b/>
          <w:bCs/>
          <w:sz w:val="24"/>
          <w:szCs w:val="24"/>
          <w:lang w:val="en-US" w:eastAsia="zh-CN" w:bidi="ar-SA"/>
        </w:rPr>
      </w:pPr>
      <w:r>
        <w:rPr>
          <w:rFonts w:hint="eastAsia" w:ascii="Times New Roman" w:hAnsi="Times New Roman" w:eastAsia="宋体" w:cs="Times New Roman"/>
          <w:b/>
          <w:bCs/>
          <w:sz w:val="24"/>
          <w:szCs w:val="24"/>
          <w:lang w:val="en-US" w:eastAsia="zh-CN" w:bidi="ar-SA"/>
        </w:rPr>
        <w:t>十三、变更为其他方式采购的情形处理</w:t>
      </w:r>
    </w:p>
    <w:p w14:paraId="5C2758DE">
      <w:pPr>
        <w:pStyle w:val="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ascii="Times New Roman" w:hAnsi="Times New Roman" w:eastAsia="宋体" w:cs="宋体"/>
          <w:sz w:val="48"/>
          <w:szCs w:val="44"/>
        </w:rPr>
      </w:pPr>
      <w:r>
        <w:rPr>
          <w:rFonts w:hint="eastAsia" w:ascii="Times New Roman" w:hAnsi="Times New Roman" w:eastAsia="宋体" w:cs="Times New Roman"/>
          <w:b w:val="0"/>
          <w:bCs/>
          <w:sz w:val="24"/>
          <w:szCs w:val="24"/>
          <w:lang w:val="en-US" w:eastAsia="zh-CN" w:bidi="ar-SA"/>
        </w:rPr>
        <w:t>本项目为第三次采购，在本次采购任务未取消的情形下，按照磋商文件没有不合理条款、采购程序符合规定，当提交响应文件或磋商过程中符合要求的供应商人只有两家时，在经有关部门同意后变更为“竞争性谈判”采购方式确定成交供应商。</w:t>
      </w:r>
      <w:r>
        <w:rPr>
          <w:rFonts w:ascii="Times New Roman" w:hAnsi="Times New Roman" w:eastAsia="宋体" w:cs="宋体"/>
          <w:sz w:val="48"/>
          <w:szCs w:val="44"/>
        </w:rPr>
        <w:br w:type="page" w:clear="all"/>
      </w:r>
    </w:p>
    <w:p w14:paraId="62C36615">
      <w:pPr>
        <w:pStyle w:val="6"/>
        <w:keepNext w:val="0"/>
        <w:keepLines w:val="0"/>
        <w:pageBreakBefore w:val="0"/>
        <w:widowControl w:val="0"/>
        <w:kinsoku/>
        <w:wordWrap/>
        <w:overflowPunct/>
        <w:topLinePunct w:val="0"/>
        <w:autoSpaceDE/>
        <w:autoSpaceDN/>
        <w:bidi w:val="0"/>
        <w:adjustRightInd/>
        <w:snapToGrid/>
        <w:spacing w:before="0" w:after="0" w:line="360" w:lineRule="auto"/>
        <w:ind w:firstLine="964" w:firstLineChars="200"/>
        <w:jc w:val="center"/>
        <w:textAlignment w:val="auto"/>
        <w:rPr>
          <w:rFonts w:ascii="Times New Roman" w:hAnsi="Times New Roman" w:eastAsia="宋体" w:cs="宋体"/>
          <w:sz w:val="48"/>
          <w:szCs w:val="44"/>
        </w:rPr>
      </w:pPr>
      <w:r>
        <w:rPr>
          <w:rFonts w:hint="eastAsia" w:ascii="Times New Roman" w:hAnsi="Times New Roman" w:eastAsia="宋体" w:cs="宋体"/>
          <w:sz w:val="48"/>
          <w:szCs w:val="44"/>
        </w:rPr>
        <w:t>第三章 项目需求</w:t>
      </w:r>
    </w:p>
    <w:p w14:paraId="1E7ABC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Courier New"/>
          <w:sz w:val="24"/>
          <w:szCs w:val="24"/>
          <w:highlight w:val="none"/>
        </w:rPr>
      </w:pPr>
      <w:r>
        <w:rPr>
          <w:rFonts w:hint="eastAsia" w:ascii="宋体" w:hAnsi="宋体" w:cs="Courier New"/>
          <w:sz w:val="24"/>
          <w:szCs w:val="24"/>
        </w:rPr>
        <w:t>项目属性：服</w:t>
      </w:r>
      <w:r>
        <w:rPr>
          <w:rFonts w:hint="eastAsia" w:ascii="宋体" w:hAnsi="宋体" w:cs="Courier New"/>
          <w:sz w:val="24"/>
          <w:szCs w:val="24"/>
          <w:highlight w:val="none"/>
        </w:rPr>
        <w:t>务类项目</w:t>
      </w:r>
    </w:p>
    <w:p w14:paraId="7771F7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采购需求包括拟采购的标的及其需要满足的技术、商务要求。</w:t>
      </w:r>
    </w:p>
    <w:p w14:paraId="32A9CE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（一）技术要求是指对采购标的功能和质量要求，包括服务内容和标准等。</w:t>
      </w:r>
    </w:p>
    <w:p w14:paraId="073D8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szCs w:val="24"/>
          <w:highlight w:val="none"/>
        </w:rPr>
      </w:pPr>
      <w:r>
        <w:rPr>
          <w:rFonts w:hint="eastAsia" w:ascii="宋体" w:hAnsi="宋体"/>
          <w:bCs/>
          <w:sz w:val="24"/>
          <w:szCs w:val="24"/>
          <w:highlight w:val="none"/>
        </w:rPr>
        <w:t>（二）商务要求是指取得采购标的的时间、地点、财务和服务要求，包括交付（实施）的时间（期限）和地点（范围），付款条件（进度和方法）</w:t>
      </w:r>
      <w:r>
        <w:rPr>
          <w:rFonts w:hint="eastAsia" w:ascii="宋体" w:hAnsi="宋体"/>
          <w:bCs/>
          <w:sz w:val="24"/>
          <w:szCs w:val="24"/>
          <w:highlight w:val="none"/>
          <w:lang w:eastAsia="zh-CN"/>
        </w:rPr>
        <w:t>，</w:t>
      </w:r>
      <w:r>
        <w:rPr>
          <w:rFonts w:hint="eastAsia" w:ascii="宋体" w:hAnsi="宋体"/>
          <w:bCs/>
          <w:sz w:val="24"/>
          <w:szCs w:val="24"/>
          <w:highlight w:val="none"/>
        </w:rPr>
        <w:t>售后服务，保险等。</w:t>
      </w:r>
    </w:p>
    <w:p w14:paraId="48033C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其内容包含但不限于以下内容：</w:t>
      </w:r>
    </w:p>
    <w:p w14:paraId="3EB7FD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一、项目具体需求说明</w:t>
      </w:r>
    </w:p>
    <w:p w14:paraId="2B46BD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为了进一步做好关爱民警工作，切实减轻民警家庭看病就医负担，实施民警家庭医疗健康</w:t>
      </w:r>
      <w:r>
        <w:rPr>
          <w:rFonts w:hint="eastAsia" w:ascii="宋体" w:hAnsi="宋体" w:eastAsia="宋体" w:cs="宋体"/>
          <w:sz w:val="24"/>
          <w:szCs w:val="24"/>
          <w:highlight w:val="none"/>
        </w:rPr>
        <w:t>综合</w:t>
      </w:r>
      <w:r>
        <w:rPr>
          <w:rFonts w:hint="eastAsia" w:ascii="宋体" w:hAnsi="宋体" w:eastAsia="宋体" w:cs="宋体"/>
          <w:sz w:val="24"/>
          <w:szCs w:val="24"/>
          <w:highlight w:val="none"/>
          <w:lang w:val="zh-CN"/>
        </w:rPr>
        <w:t>保险计划，与社会基本医疗保险和民警抚恤、人身意外伤害保险等保障制度，共同发挥托底保障作用，缓解民警家庭因病致困、因病致贫的状况，努力帮助民警解决后顾之忧，进一步增强队伍的凝聚力和归属感。</w:t>
      </w:r>
      <w:r>
        <w:rPr>
          <w:rFonts w:hint="eastAsia" w:ascii="宋体" w:hAnsi="宋体" w:eastAsia="宋体" w:cs="宋体"/>
          <w:sz w:val="24"/>
          <w:szCs w:val="24"/>
          <w:highlight w:val="none"/>
        </w:rPr>
        <w:t>南通市公安局拟为市区各分局（含通州湾示范区）、各警种（含行政职工）在职民警及其配偶和成年子女、未成年子女，向保险公司购买“公安民警家庭医疗健康综合保险”。</w:t>
      </w:r>
      <w:r>
        <w:rPr>
          <w:rFonts w:hint="eastAsia" w:ascii="宋体" w:hAnsi="宋体" w:eastAsia="宋体" w:cs="宋体"/>
          <w:color w:val="000000"/>
          <w:sz w:val="24"/>
          <w:szCs w:val="24"/>
          <w:highlight w:val="none"/>
        </w:rPr>
        <w:t>保险费在职民警人均200元，在职民警配偶及成年子女和未成年子女人均100元。</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去年</w:t>
      </w:r>
      <w:r>
        <w:rPr>
          <w:rFonts w:hint="eastAsia" w:ascii="宋体" w:hAnsi="宋体" w:eastAsia="宋体" w:cs="宋体"/>
          <w:color w:val="000000"/>
          <w:sz w:val="24"/>
          <w:szCs w:val="24"/>
          <w:highlight w:val="none"/>
        </w:rPr>
        <w:t>职民警人</w:t>
      </w:r>
      <w:r>
        <w:rPr>
          <w:rFonts w:hint="eastAsia" w:ascii="宋体" w:hAnsi="宋体" w:cs="宋体"/>
          <w:color w:val="000000"/>
          <w:sz w:val="24"/>
          <w:szCs w:val="24"/>
          <w:highlight w:val="none"/>
          <w:lang w:val="en-US" w:eastAsia="zh-CN"/>
        </w:rPr>
        <w:t>数约3260人，</w:t>
      </w:r>
      <w:r>
        <w:rPr>
          <w:rFonts w:hint="eastAsia" w:ascii="宋体" w:hAnsi="宋体" w:eastAsia="宋体" w:cs="宋体"/>
          <w:color w:val="000000"/>
          <w:sz w:val="24"/>
          <w:szCs w:val="24"/>
          <w:highlight w:val="none"/>
        </w:rPr>
        <w:t>在职民警</w:t>
      </w:r>
      <w:r>
        <w:rPr>
          <w:rFonts w:hint="eastAsia" w:ascii="宋体" w:hAnsi="宋体" w:cs="宋体"/>
          <w:color w:val="000000"/>
          <w:sz w:val="24"/>
          <w:szCs w:val="24"/>
          <w:highlight w:val="none"/>
          <w:lang w:val="en-US" w:eastAsia="zh-CN"/>
        </w:rPr>
        <w:t>配偶成年子女约3791多人、未成年 约1849多人。</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具体保费金额以参保时实际人数为准。保险时间：</w:t>
      </w:r>
      <w:r>
        <w:rPr>
          <w:rFonts w:hint="eastAsia" w:ascii="宋体" w:hAnsi="宋体"/>
          <w:sz w:val="24"/>
          <w:szCs w:val="24"/>
          <w:highlight w:val="none"/>
          <w:lang w:eastAsia="zh-CN"/>
        </w:rPr>
        <w:t>2025年6月30日零时起至2026年6月29日二十四时止（期限一年）</w:t>
      </w:r>
      <w:r>
        <w:rPr>
          <w:rFonts w:hint="eastAsia" w:ascii="宋体" w:hAnsi="宋体" w:eastAsia="宋体" w:cs="宋体"/>
          <w:color w:val="000000"/>
          <w:sz w:val="24"/>
          <w:szCs w:val="24"/>
          <w:highlight w:val="none"/>
        </w:rPr>
        <w:t>。本项目承保期限一年，第二年可视承保情况</w:t>
      </w:r>
      <w:r>
        <w:rPr>
          <w:rFonts w:hint="eastAsia" w:ascii="宋体" w:hAnsi="宋体" w:eastAsia="宋体" w:cs="宋体"/>
          <w:sz w:val="24"/>
          <w:szCs w:val="24"/>
          <w:highlight w:val="none"/>
        </w:rPr>
        <w:t>续签，</w:t>
      </w:r>
      <w:r>
        <w:rPr>
          <w:rFonts w:hint="eastAsia" w:ascii="宋体" w:hAnsi="宋体" w:cs="宋体"/>
          <w:sz w:val="24"/>
          <w:szCs w:val="24"/>
          <w:highlight w:val="none"/>
          <w:lang w:eastAsia="zh-CN"/>
        </w:rPr>
        <w:t>但总承保期限不得超过3年</w:t>
      </w:r>
      <w:r>
        <w:rPr>
          <w:rFonts w:hint="eastAsia" w:ascii="宋体" w:hAnsi="宋体" w:eastAsia="宋体" w:cs="宋体"/>
          <w:sz w:val="24"/>
          <w:szCs w:val="24"/>
          <w:highlight w:val="none"/>
        </w:rPr>
        <w:t>。</w:t>
      </w:r>
    </w:p>
    <w:p w14:paraId="52AAE6E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二、基本保障内容：</w:t>
      </w:r>
    </w:p>
    <w:tbl>
      <w:tblPr>
        <w:tblStyle w:val="5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019"/>
        <w:gridCol w:w="1843"/>
        <w:gridCol w:w="2268"/>
        <w:gridCol w:w="1984"/>
      </w:tblGrid>
      <w:tr w14:paraId="6669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5" w:type="dxa"/>
            <w:vMerge w:val="restart"/>
            <w:noWrap w:val="0"/>
            <w:vAlign w:val="center"/>
          </w:tcPr>
          <w:p w14:paraId="60ABC209">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保障</w:t>
            </w:r>
          </w:p>
          <w:p w14:paraId="1575569E">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类别</w:t>
            </w:r>
          </w:p>
        </w:tc>
        <w:tc>
          <w:tcPr>
            <w:tcW w:w="2019" w:type="dxa"/>
            <w:vMerge w:val="restart"/>
            <w:noWrap w:val="0"/>
            <w:vAlign w:val="center"/>
          </w:tcPr>
          <w:p w14:paraId="3355B1A3">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保险责任</w:t>
            </w:r>
          </w:p>
        </w:tc>
        <w:tc>
          <w:tcPr>
            <w:tcW w:w="6095" w:type="dxa"/>
            <w:gridSpan w:val="3"/>
            <w:noWrap w:val="0"/>
            <w:vAlign w:val="center"/>
          </w:tcPr>
          <w:p w14:paraId="1D4D4372">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保险金额（年/人）</w:t>
            </w:r>
          </w:p>
        </w:tc>
      </w:tr>
      <w:tr w14:paraId="353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5" w:type="dxa"/>
            <w:vMerge w:val="continue"/>
            <w:noWrap w:val="0"/>
            <w:vAlign w:val="center"/>
          </w:tcPr>
          <w:p w14:paraId="7E053B44">
            <w:pPr>
              <w:spacing w:line="576" w:lineRule="exact"/>
              <w:jc w:val="center"/>
              <w:rPr>
                <w:rFonts w:hint="eastAsia" w:ascii="宋体" w:hAnsi="宋体" w:eastAsia="宋体" w:cs="宋体"/>
                <w:bCs/>
                <w:kern w:val="0"/>
                <w:sz w:val="24"/>
                <w:szCs w:val="24"/>
                <w:highlight w:val="none"/>
              </w:rPr>
            </w:pPr>
          </w:p>
        </w:tc>
        <w:tc>
          <w:tcPr>
            <w:tcW w:w="2019" w:type="dxa"/>
            <w:vMerge w:val="continue"/>
            <w:noWrap w:val="0"/>
            <w:vAlign w:val="center"/>
          </w:tcPr>
          <w:p w14:paraId="3E17FDA4">
            <w:pPr>
              <w:spacing w:line="576" w:lineRule="exact"/>
              <w:jc w:val="center"/>
              <w:rPr>
                <w:rFonts w:hint="eastAsia" w:ascii="宋体" w:hAnsi="宋体" w:eastAsia="宋体" w:cs="宋体"/>
                <w:bCs/>
                <w:kern w:val="0"/>
                <w:sz w:val="24"/>
                <w:szCs w:val="24"/>
                <w:highlight w:val="none"/>
              </w:rPr>
            </w:pPr>
          </w:p>
        </w:tc>
        <w:tc>
          <w:tcPr>
            <w:tcW w:w="1843" w:type="dxa"/>
            <w:noWrap w:val="0"/>
            <w:vAlign w:val="center"/>
          </w:tcPr>
          <w:p w14:paraId="2FB974C2">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sz w:val="24"/>
                <w:szCs w:val="24"/>
                <w:highlight w:val="none"/>
              </w:rPr>
              <w:t>在职民警</w:t>
            </w:r>
          </w:p>
        </w:tc>
        <w:tc>
          <w:tcPr>
            <w:tcW w:w="2268" w:type="dxa"/>
            <w:noWrap w:val="0"/>
            <w:vAlign w:val="center"/>
          </w:tcPr>
          <w:p w14:paraId="0EC4E26A">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sz w:val="24"/>
                <w:szCs w:val="24"/>
                <w:highlight w:val="none"/>
              </w:rPr>
              <w:t>配偶及成年子女</w:t>
            </w:r>
          </w:p>
        </w:tc>
        <w:tc>
          <w:tcPr>
            <w:tcW w:w="1984" w:type="dxa"/>
            <w:noWrap w:val="0"/>
            <w:vAlign w:val="center"/>
          </w:tcPr>
          <w:p w14:paraId="0A1FA28B">
            <w:pPr>
              <w:spacing w:line="576"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未成年子女</w:t>
            </w:r>
          </w:p>
        </w:tc>
      </w:tr>
      <w:tr w14:paraId="3F59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restart"/>
            <w:noWrap w:val="0"/>
            <w:vAlign w:val="center"/>
          </w:tcPr>
          <w:p w14:paraId="6C56E083">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意外</w:t>
            </w:r>
          </w:p>
          <w:p w14:paraId="715DA4DE">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保障</w:t>
            </w:r>
          </w:p>
        </w:tc>
        <w:tc>
          <w:tcPr>
            <w:tcW w:w="2019" w:type="dxa"/>
            <w:noWrap w:val="0"/>
            <w:vAlign w:val="center"/>
          </w:tcPr>
          <w:p w14:paraId="18C25498">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非因公意外身故</w:t>
            </w:r>
          </w:p>
        </w:tc>
        <w:tc>
          <w:tcPr>
            <w:tcW w:w="1843" w:type="dxa"/>
            <w:noWrap w:val="0"/>
            <w:vAlign w:val="center"/>
          </w:tcPr>
          <w:p w14:paraId="50341D94">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color w:val="FF0000"/>
                <w:kern w:val="0"/>
                <w:sz w:val="24"/>
                <w:szCs w:val="24"/>
                <w:highlight w:val="none"/>
              </w:rPr>
              <w:t>40000元</w:t>
            </w:r>
          </w:p>
        </w:tc>
        <w:tc>
          <w:tcPr>
            <w:tcW w:w="2268" w:type="dxa"/>
            <w:vMerge w:val="restart"/>
            <w:noWrap w:val="0"/>
            <w:vAlign w:val="center"/>
          </w:tcPr>
          <w:p w14:paraId="51AE1436">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40000元</w:t>
            </w:r>
          </w:p>
        </w:tc>
        <w:tc>
          <w:tcPr>
            <w:tcW w:w="1984" w:type="dxa"/>
            <w:vMerge w:val="restart"/>
            <w:noWrap w:val="0"/>
            <w:vAlign w:val="center"/>
          </w:tcPr>
          <w:p w14:paraId="094FB901">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50000元</w:t>
            </w:r>
          </w:p>
        </w:tc>
      </w:tr>
      <w:tr w14:paraId="66DF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continue"/>
            <w:noWrap w:val="0"/>
            <w:vAlign w:val="center"/>
          </w:tcPr>
          <w:p w14:paraId="34BD4E97">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032E6C88">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因公意外身故</w:t>
            </w:r>
          </w:p>
        </w:tc>
        <w:tc>
          <w:tcPr>
            <w:tcW w:w="1843" w:type="dxa"/>
            <w:noWrap w:val="0"/>
            <w:vAlign w:val="center"/>
          </w:tcPr>
          <w:p w14:paraId="2ECEA86D">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80000元</w:t>
            </w:r>
          </w:p>
        </w:tc>
        <w:tc>
          <w:tcPr>
            <w:tcW w:w="2268" w:type="dxa"/>
            <w:vMerge w:val="continue"/>
            <w:noWrap w:val="0"/>
            <w:vAlign w:val="center"/>
          </w:tcPr>
          <w:p w14:paraId="2E7F43F2">
            <w:pPr>
              <w:spacing w:line="576" w:lineRule="exact"/>
              <w:jc w:val="center"/>
              <w:rPr>
                <w:rFonts w:hint="eastAsia" w:ascii="宋体" w:hAnsi="宋体" w:eastAsia="宋体" w:cs="宋体"/>
                <w:bCs/>
                <w:color w:val="FF0000"/>
                <w:kern w:val="0"/>
                <w:sz w:val="24"/>
                <w:szCs w:val="24"/>
                <w:highlight w:val="none"/>
              </w:rPr>
            </w:pPr>
          </w:p>
        </w:tc>
        <w:tc>
          <w:tcPr>
            <w:tcW w:w="1984" w:type="dxa"/>
            <w:vMerge w:val="continue"/>
            <w:noWrap w:val="0"/>
            <w:vAlign w:val="center"/>
          </w:tcPr>
          <w:p w14:paraId="5E30F444">
            <w:pPr>
              <w:spacing w:line="576" w:lineRule="exact"/>
              <w:jc w:val="center"/>
              <w:rPr>
                <w:rFonts w:hint="eastAsia" w:ascii="宋体" w:hAnsi="宋体" w:eastAsia="宋体" w:cs="宋体"/>
                <w:bCs/>
                <w:kern w:val="0"/>
                <w:sz w:val="24"/>
                <w:szCs w:val="24"/>
                <w:highlight w:val="none"/>
              </w:rPr>
            </w:pPr>
          </w:p>
        </w:tc>
      </w:tr>
      <w:tr w14:paraId="7765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continue"/>
            <w:noWrap w:val="0"/>
            <w:vAlign w:val="center"/>
          </w:tcPr>
          <w:p w14:paraId="1CE84185">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1E3D39C7">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意外残疾</w:t>
            </w:r>
          </w:p>
        </w:tc>
        <w:tc>
          <w:tcPr>
            <w:tcW w:w="1843" w:type="dxa"/>
            <w:noWrap w:val="0"/>
            <w:vAlign w:val="center"/>
          </w:tcPr>
          <w:p w14:paraId="37D3B8CF">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40000元</w:t>
            </w:r>
          </w:p>
        </w:tc>
        <w:tc>
          <w:tcPr>
            <w:tcW w:w="2268" w:type="dxa"/>
            <w:noWrap w:val="0"/>
            <w:vAlign w:val="center"/>
          </w:tcPr>
          <w:p w14:paraId="658E43D3">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40000元</w:t>
            </w:r>
          </w:p>
        </w:tc>
        <w:tc>
          <w:tcPr>
            <w:tcW w:w="1984" w:type="dxa"/>
            <w:noWrap w:val="0"/>
            <w:vAlign w:val="center"/>
          </w:tcPr>
          <w:p w14:paraId="39025F52">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50000元</w:t>
            </w:r>
          </w:p>
        </w:tc>
      </w:tr>
      <w:tr w14:paraId="6510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continue"/>
            <w:noWrap w:val="0"/>
            <w:vAlign w:val="center"/>
          </w:tcPr>
          <w:p w14:paraId="36B7640E">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1B0F49D7">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意外门诊医疗</w:t>
            </w:r>
          </w:p>
        </w:tc>
        <w:tc>
          <w:tcPr>
            <w:tcW w:w="1843" w:type="dxa"/>
            <w:noWrap w:val="0"/>
            <w:vAlign w:val="center"/>
          </w:tcPr>
          <w:p w14:paraId="571750D7">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10000元</w:t>
            </w:r>
          </w:p>
        </w:tc>
        <w:tc>
          <w:tcPr>
            <w:tcW w:w="2268" w:type="dxa"/>
            <w:noWrap w:val="0"/>
            <w:vAlign w:val="center"/>
          </w:tcPr>
          <w:p w14:paraId="146D1882">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5000元</w:t>
            </w:r>
          </w:p>
        </w:tc>
        <w:tc>
          <w:tcPr>
            <w:tcW w:w="1984" w:type="dxa"/>
            <w:noWrap w:val="0"/>
            <w:vAlign w:val="center"/>
          </w:tcPr>
          <w:p w14:paraId="6DAC10C1">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r w14:paraId="5399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continue"/>
            <w:noWrap w:val="0"/>
            <w:vAlign w:val="center"/>
          </w:tcPr>
          <w:p w14:paraId="4507A0E0">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638652D4">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意外住院医疗</w:t>
            </w:r>
          </w:p>
        </w:tc>
        <w:tc>
          <w:tcPr>
            <w:tcW w:w="1843" w:type="dxa"/>
            <w:noWrap w:val="0"/>
            <w:vAlign w:val="center"/>
          </w:tcPr>
          <w:p w14:paraId="7B8942E0">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10000元</w:t>
            </w:r>
          </w:p>
        </w:tc>
        <w:tc>
          <w:tcPr>
            <w:tcW w:w="2268" w:type="dxa"/>
            <w:noWrap w:val="0"/>
            <w:vAlign w:val="center"/>
          </w:tcPr>
          <w:p w14:paraId="3101D27F">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5000元</w:t>
            </w:r>
          </w:p>
        </w:tc>
        <w:tc>
          <w:tcPr>
            <w:tcW w:w="1984" w:type="dxa"/>
            <w:noWrap w:val="0"/>
            <w:vAlign w:val="center"/>
          </w:tcPr>
          <w:p w14:paraId="4B0FF624">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10000元</w:t>
            </w:r>
          </w:p>
        </w:tc>
      </w:tr>
      <w:tr w14:paraId="1913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restart"/>
            <w:noWrap w:val="0"/>
            <w:vAlign w:val="center"/>
          </w:tcPr>
          <w:p w14:paraId="5ED9B8E3">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交通意外保障</w:t>
            </w:r>
          </w:p>
        </w:tc>
        <w:tc>
          <w:tcPr>
            <w:tcW w:w="2019" w:type="dxa"/>
            <w:noWrap w:val="0"/>
            <w:vAlign w:val="center"/>
          </w:tcPr>
          <w:p w14:paraId="654F7A17">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机动车</w:t>
            </w:r>
          </w:p>
        </w:tc>
        <w:tc>
          <w:tcPr>
            <w:tcW w:w="1843" w:type="dxa"/>
            <w:noWrap w:val="0"/>
            <w:vAlign w:val="center"/>
          </w:tcPr>
          <w:p w14:paraId="505DD96B">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100000元</w:t>
            </w:r>
          </w:p>
        </w:tc>
        <w:tc>
          <w:tcPr>
            <w:tcW w:w="2268" w:type="dxa"/>
            <w:noWrap w:val="0"/>
            <w:vAlign w:val="center"/>
          </w:tcPr>
          <w:p w14:paraId="4F99C16E">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1984" w:type="dxa"/>
            <w:noWrap w:val="0"/>
            <w:vAlign w:val="center"/>
          </w:tcPr>
          <w:p w14:paraId="17BB76E7">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r w14:paraId="7A6C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continue"/>
            <w:noWrap w:val="0"/>
            <w:vAlign w:val="center"/>
          </w:tcPr>
          <w:p w14:paraId="26673D26">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627627C4">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水上交通</w:t>
            </w:r>
          </w:p>
        </w:tc>
        <w:tc>
          <w:tcPr>
            <w:tcW w:w="1843" w:type="dxa"/>
            <w:noWrap w:val="0"/>
            <w:vAlign w:val="center"/>
          </w:tcPr>
          <w:p w14:paraId="3807ACCA">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200000元</w:t>
            </w:r>
          </w:p>
        </w:tc>
        <w:tc>
          <w:tcPr>
            <w:tcW w:w="2268" w:type="dxa"/>
            <w:noWrap w:val="0"/>
            <w:vAlign w:val="center"/>
          </w:tcPr>
          <w:p w14:paraId="65771540">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1984" w:type="dxa"/>
            <w:noWrap w:val="0"/>
            <w:vAlign w:val="center"/>
          </w:tcPr>
          <w:p w14:paraId="4789C7C3">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r w14:paraId="17B3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continue"/>
            <w:noWrap w:val="0"/>
            <w:vAlign w:val="center"/>
          </w:tcPr>
          <w:p w14:paraId="22F546C8">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0FEEA431">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轨道交通</w:t>
            </w:r>
          </w:p>
        </w:tc>
        <w:tc>
          <w:tcPr>
            <w:tcW w:w="1843" w:type="dxa"/>
            <w:noWrap w:val="0"/>
            <w:vAlign w:val="center"/>
          </w:tcPr>
          <w:p w14:paraId="6D1302E5">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200000元</w:t>
            </w:r>
          </w:p>
        </w:tc>
        <w:tc>
          <w:tcPr>
            <w:tcW w:w="2268" w:type="dxa"/>
            <w:noWrap w:val="0"/>
            <w:vAlign w:val="center"/>
          </w:tcPr>
          <w:p w14:paraId="52E2DD5A">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1984" w:type="dxa"/>
            <w:noWrap w:val="0"/>
            <w:vAlign w:val="center"/>
          </w:tcPr>
          <w:p w14:paraId="0699441C">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r w14:paraId="12E4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45" w:type="dxa"/>
            <w:vMerge w:val="continue"/>
            <w:noWrap w:val="0"/>
            <w:vAlign w:val="center"/>
          </w:tcPr>
          <w:p w14:paraId="19F000F4">
            <w:pPr>
              <w:spacing w:line="576" w:lineRule="exact"/>
              <w:jc w:val="center"/>
              <w:rPr>
                <w:rFonts w:hint="eastAsia" w:ascii="宋体" w:hAnsi="宋体" w:eastAsia="宋体" w:cs="宋体"/>
                <w:bCs/>
                <w:kern w:val="0"/>
                <w:sz w:val="24"/>
                <w:szCs w:val="24"/>
                <w:highlight w:val="none"/>
              </w:rPr>
            </w:pPr>
          </w:p>
        </w:tc>
        <w:tc>
          <w:tcPr>
            <w:tcW w:w="2019" w:type="dxa"/>
            <w:noWrap w:val="0"/>
            <w:vAlign w:val="center"/>
          </w:tcPr>
          <w:p w14:paraId="4CD7DEAB">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飞机</w:t>
            </w:r>
          </w:p>
        </w:tc>
        <w:tc>
          <w:tcPr>
            <w:tcW w:w="1843" w:type="dxa"/>
            <w:noWrap w:val="0"/>
            <w:vAlign w:val="center"/>
          </w:tcPr>
          <w:p w14:paraId="5F6DD130">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500000元</w:t>
            </w:r>
          </w:p>
        </w:tc>
        <w:tc>
          <w:tcPr>
            <w:tcW w:w="2268" w:type="dxa"/>
            <w:noWrap w:val="0"/>
            <w:vAlign w:val="center"/>
          </w:tcPr>
          <w:p w14:paraId="39D51236">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1984" w:type="dxa"/>
            <w:noWrap w:val="0"/>
            <w:vAlign w:val="center"/>
          </w:tcPr>
          <w:p w14:paraId="5A86D11C">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r w14:paraId="1CA0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restart"/>
            <w:noWrap w:val="0"/>
            <w:vAlign w:val="center"/>
          </w:tcPr>
          <w:p w14:paraId="24ADB58F">
            <w:pPr>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疾病</w:t>
            </w:r>
          </w:p>
          <w:p w14:paraId="2779D166">
            <w:pPr>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保障</w:t>
            </w:r>
          </w:p>
        </w:tc>
        <w:tc>
          <w:tcPr>
            <w:tcW w:w="2019" w:type="dxa"/>
            <w:noWrap w:val="0"/>
            <w:vAlign w:val="center"/>
          </w:tcPr>
          <w:p w14:paraId="2916F403">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疾病身故</w:t>
            </w:r>
          </w:p>
        </w:tc>
        <w:tc>
          <w:tcPr>
            <w:tcW w:w="1843" w:type="dxa"/>
            <w:noWrap w:val="0"/>
            <w:vAlign w:val="center"/>
          </w:tcPr>
          <w:p w14:paraId="1B7A447E">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15000元</w:t>
            </w:r>
          </w:p>
        </w:tc>
        <w:tc>
          <w:tcPr>
            <w:tcW w:w="2268" w:type="dxa"/>
            <w:noWrap w:val="0"/>
            <w:vAlign w:val="center"/>
          </w:tcPr>
          <w:p w14:paraId="7DDD6DAD">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10000元</w:t>
            </w:r>
          </w:p>
        </w:tc>
        <w:tc>
          <w:tcPr>
            <w:tcW w:w="1984" w:type="dxa"/>
            <w:noWrap w:val="0"/>
            <w:vAlign w:val="center"/>
          </w:tcPr>
          <w:p w14:paraId="0857CEB7">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10000元</w:t>
            </w:r>
          </w:p>
        </w:tc>
      </w:tr>
      <w:tr w14:paraId="6439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continue"/>
            <w:noWrap w:val="0"/>
            <w:vAlign w:val="center"/>
          </w:tcPr>
          <w:p w14:paraId="75B5B3C1">
            <w:pPr>
              <w:jc w:val="center"/>
              <w:rPr>
                <w:rFonts w:hint="eastAsia" w:ascii="宋体" w:hAnsi="宋体" w:eastAsia="宋体" w:cs="宋体"/>
                <w:bCs/>
                <w:kern w:val="0"/>
                <w:sz w:val="24"/>
                <w:szCs w:val="24"/>
                <w:highlight w:val="none"/>
              </w:rPr>
            </w:pPr>
          </w:p>
        </w:tc>
        <w:tc>
          <w:tcPr>
            <w:tcW w:w="2019" w:type="dxa"/>
            <w:noWrap w:val="0"/>
            <w:vAlign w:val="center"/>
          </w:tcPr>
          <w:p w14:paraId="5E379492">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住院津贴</w:t>
            </w:r>
          </w:p>
        </w:tc>
        <w:tc>
          <w:tcPr>
            <w:tcW w:w="1843" w:type="dxa"/>
            <w:noWrap w:val="0"/>
            <w:vAlign w:val="center"/>
          </w:tcPr>
          <w:p w14:paraId="5398368B">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5400元</w:t>
            </w:r>
          </w:p>
        </w:tc>
        <w:tc>
          <w:tcPr>
            <w:tcW w:w="2268" w:type="dxa"/>
            <w:noWrap w:val="0"/>
            <w:vAlign w:val="center"/>
          </w:tcPr>
          <w:p w14:paraId="436D1FFB">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1984" w:type="dxa"/>
            <w:noWrap w:val="0"/>
            <w:vAlign w:val="center"/>
          </w:tcPr>
          <w:p w14:paraId="2CA84EFA">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r w14:paraId="7B41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continue"/>
            <w:noWrap w:val="0"/>
            <w:vAlign w:val="center"/>
          </w:tcPr>
          <w:p w14:paraId="2391DCE4">
            <w:pPr>
              <w:jc w:val="center"/>
              <w:rPr>
                <w:rFonts w:hint="eastAsia" w:ascii="宋体" w:hAnsi="宋体" w:eastAsia="宋体" w:cs="宋体"/>
                <w:bCs/>
                <w:kern w:val="0"/>
                <w:sz w:val="24"/>
                <w:szCs w:val="24"/>
                <w:highlight w:val="none"/>
              </w:rPr>
            </w:pPr>
          </w:p>
        </w:tc>
        <w:tc>
          <w:tcPr>
            <w:tcW w:w="2019" w:type="dxa"/>
            <w:noWrap w:val="0"/>
            <w:vAlign w:val="center"/>
          </w:tcPr>
          <w:p w14:paraId="6597C0F9">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疾病住院</w:t>
            </w:r>
          </w:p>
        </w:tc>
        <w:tc>
          <w:tcPr>
            <w:tcW w:w="1843" w:type="dxa"/>
            <w:noWrap w:val="0"/>
            <w:vAlign w:val="center"/>
          </w:tcPr>
          <w:p w14:paraId="1C5B80AB">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2268" w:type="dxa"/>
            <w:noWrap w:val="0"/>
            <w:vAlign w:val="center"/>
          </w:tcPr>
          <w:p w14:paraId="384DB089">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3000元</w:t>
            </w:r>
          </w:p>
        </w:tc>
        <w:tc>
          <w:tcPr>
            <w:tcW w:w="1984" w:type="dxa"/>
            <w:noWrap w:val="0"/>
            <w:vAlign w:val="center"/>
          </w:tcPr>
          <w:p w14:paraId="051BCBBE">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20000元</w:t>
            </w:r>
          </w:p>
        </w:tc>
      </w:tr>
      <w:tr w14:paraId="73AB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45" w:type="dxa"/>
            <w:vMerge w:val="continue"/>
            <w:noWrap w:val="0"/>
            <w:vAlign w:val="center"/>
          </w:tcPr>
          <w:p w14:paraId="75329DD0">
            <w:pPr>
              <w:jc w:val="center"/>
              <w:rPr>
                <w:rFonts w:hint="eastAsia" w:ascii="宋体" w:hAnsi="宋体" w:eastAsia="宋体" w:cs="宋体"/>
                <w:bCs/>
                <w:kern w:val="0"/>
                <w:sz w:val="24"/>
                <w:szCs w:val="24"/>
                <w:highlight w:val="none"/>
              </w:rPr>
            </w:pPr>
          </w:p>
        </w:tc>
        <w:tc>
          <w:tcPr>
            <w:tcW w:w="2019" w:type="dxa"/>
            <w:noWrap w:val="0"/>
            <w:vAlign w:val="center"/>
          </w:tcPr>
          <w:p w14:paraId="2564F23C">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重大疾病</w:t>
            </w:r>
          </w:p>
        </w:tc>
        <w:tc>
          <w:tcPr>
            <w:tcW w:w="1843" w:type="dxa"/>
            <w:noWrap w:val="0"/>
            <w:vAlign w:val="center"/>
          </w:tcPr>
          <w:p w14:paraId="0D283E0A">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40000元</w:t>
            </w:r>
          </w:p>
        </w:tc>
        <w:tc>
          <w:tcPr>
            <w:tcW w:w="2268" w:type="dxa"/>
            <w:noWrap w:val="0"/>
            <w:vAlign w:val="center"/>
          </w:tcPr>
          <w:p w14:paraId="05D1D9BB">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color w:val="FF0000"/>
                <w:kern w:val="0"/>
                <w:sz w:val="24"/>
                <w:szCs w:val="24"/>
                <w:highlight w:val="none"/>
              </w:rPr>
              <w:t>40000元</w:t>
            </w:r>
          </w:p>
        </w:tc>
        <w:tc>
          <w:tcPr>
            <w:tcW w:w="1984" w:type="dxa"/>
            <w:noWrap w:val="0"/>
            <w:vAlign w:val="center"/>
          </w:tcPr>
          <w:p w14:paraId="4EC8DEA8">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40000元</w:t>
            </w:r>
          </w:p>
        </w:tc>
      </w:tr>
      <w:tr w14:paraId="0318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45" w:type="dxa"/>
            <w:vMerge w:val="continue"/>
            <w:noWrap w:val="0"/>
            <w:vAlign w:val="center"/>
          </w:tcPr>
          <w:p w14:paraId="04CCD9F1">
            <w:pPr>
              <w:jc w:val="center"/>
              <w:rPr>
                <w:rFonts w:hint="eastAsia" w:ascii="宋体" w:hAnsi="宋体" w:eastAsia="宋体" w:cs="宋体"/>
                <w:bCs/>
                <w:kern w:val="0"/>
                <w:sz w:val="24"/>
                <w:szCs w:val="24"/>
                <w:highlight w:val="none"/>
              </w:rPr>
            </w:pPr>
          </w:p>
        </w:tc>
        <w:tc>
          <w:tcPr>
            <w:tcW w:w="2019" w:type="dxa"/>
            <w:noWrap w:val="0"/>
            <w:vAlign w:val="center"/>
          </w:tcPr>
          <w:p w14:paraId="43022918">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重症监护津贴</w:t>
            </w:r>
          </w:p>
        </w:tc>
        <w:tc>
          <w:tcPr>
            <w:tcW w:w="1843" w:type="dxa"/>
            <w:noWrap w:val="0"/>
            <w:vAlign w:val="center"/>
          </w:tcPr>
          <w:p w14:paraId="58390C96">
            <w:pPr>
              <w:spacing w:line="576" w:lineRule="exact"/>
              <w:jc w:val="center"/>
              <w:rPr>
                <w:rFonts w:hint="eastAsia" w:ascii="宋体" w:hAnsi="宋体" w:eastAsia="宋体" w:cs="宋体"/>
                <w:bCs/>
                <w:color w:val="FF0000"/>
                <w:kern w:val="0"/>
                <w:sz w:val="24"/>
                <w:szCs w:val="24"/>
                <w:highlight w:val="none"/>
              </w:rPr>
            </w:pPr>
            <w:r>
              <w:rPr>
                <w:rFonts w:hint="eastAsia" w:ascii="宋体" w:hAnsi="宋体" w:eastAsia="宋体" w:cs="宋体"/>
                <w:bCs/>
                <w:color w:val="FF0000"/>
                <w:kern w:val="0"/>
                <w:sz w:val="24"/>
                <w:szCs w:val="24"/>
                <w:highlight w:val="none"/>
              </w:rPr>
              <w:t>72000元</w:t>
            </w:r>
          </w:p>
        </w:tc>
        <w:tc>
          <w:tcPr>
            <w:tcW w:w="2268" w:type="dxa"/>
            <w:noWrap w:val="0"/>
            <w:vAlign w:val="center"/>
          </w:tcPr>
          <w:p w14:paraId="1B0FC873">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c>
          <w:tcPr>
            <w:tcW w:w="1984" w:type="dxa"/>
            <w:noWrap w:val="0"/>
            <w:vAlign w:val="center"/>
          </w:tcPr>
          <w:p w14:paraId="5F81D55D">
            <w:pPr>
              <w:spacing w:line="576" w:lineRule="exact"/>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w:t>
            </w:r>
          </w:p>
        </w:tc>
      </w:tr>
    </w:tbl>
    <w:p w14:paraId="3838DD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说明：</w:t>
      </w:r>
    </w:p>
    <w:p w14:paraId="089B0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【一】意外身故、伤残：被保险人遭受意外伤害，并自该意外伤害发生之日起一百八十日内因该意外伤害导致身故的，</w:t>
      </w:r>
      <w:r>
        <w:rPr>
          <w:rFonts w:hint="eastAsia" w:ascii="宋体" w:hAnsi="宋体" w:eastAsia="宋体" w:cs="宋体"/>
          <w:sz w:val="24"/>
          <w:szCs w:val="24"/>
          <w:highlight w:val="none"/>
          <w:lang w:val="en-US" w:eastAsia="zh-CN"/>
        </w:rPr>
        <w:t>保险人</w:t>
      </w:r>
      <w:r>
        <w:rPr>
          <w:rFonts w:hint="eastAsia" w:ascii="宋体" w:hAnsi="宋体" w:eastAsia="宋体" w:cs="宋体"/>
          <w:sz w:val="24"/>
          <w:szCs w:val="24"/>
          <w:highlight w:val="none"/>
        </w:rPr>
        <w:t>按该被保险人的保险金额扣除已给付伤残保险金后的余额给付身故保险金，合同对该被保险人的责任终止。被保险人遭受意外伤害，并自该意外伤害发生之日起一百八十日内因该意外伤害导致身体伤残的，</w:t>
      </w:r>
      <w:r>
        <w:rPr>
          <w:rFonts w:hint="eastAsia" w:ascii="宋体" w:hAnsi="宋体" w:eastAsia="宋体" w:cs="宋体"/>
          <w:sz w:val="24"/>
          <w:szCs w:val="24"/>
          <w:highlight w:val="none"/>
          <w:lang w:val="en-US" w:eastAsia="zh-CN"/>
        </w:rPr>
        <w:t>保险人</w:t>
      </w:r>
      <w:r>
        <w:rPr>
          <w:rFonts w:hint="eastAsia" w:ascii="宋体" w:hAnsi="宋体" w:eastAsia="宋体" w:cs="宋体"/>
          <w:sz w:val="24"/>
          <w:szCs w:val="24"/>
          <w:highlight w:val="none"/>
        </w:rPr>
        <w:t>根据《人身保险伤残评定标准（行业标准）》十级执行，按该被保险人的保险金额乘以该处伤残的伤残等级所对应的保险金给付比例给付伤残保险金。赔付比例为一级100%、二级90%、三级80%、四级50%、五级60%、六级50%、七级40%、八级30%、九级20%、十级10%。</w:t>
      </w:r>
    </w:p>
    <w:p w14:paraId="5B772C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除外责任：</w:t>
      </w:r>
    </w:p>
    <w:p w14:paraId="2DA01C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因下列情形之一，导致被保险人身故或伤残的，</w:t>
      </w:r>
      <w:r>
        <w:rPr>
          <w:rFonts w:hint="eastAsia" w:ascii="宋体" w:hAnsi="宋体" w:eastAsia="宋体" w:cs="宋体"/>
          <w:b/>
          <w:bCs/>
          <w:sz w:val="24"/>
          <w:szCs w:val="24"/>
          <w:highlight w:val="none"/>
          <w:lang w:val="en-US" w:eastAsia="zh-CN"/>
        </w:rPr>
        <w:t>保险人</w:t>
      </w:r>
      <w:r>
        <w:rPr>
          <w:rFonts w:hint="eastAsia" w:ascii="宋体" w:hAnsi="宋体" w:eastAsia="宋体" w:cs="宋体"/>
          <w:b/>
          <w:bCs/>
          <w:sz w:val="24"/>
          <w:szCs w:val="24"/>
          <w:highlight w:val="none"/>
        </w:rPr>
        <w:t xml:space="preserve">不承担给付保险金的责任： </w:t>
      </w:r>
    </w:p>
    <w:p w14:paraId="263448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（一）保险单中特别约定</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 xml:space="preserve">不承担保险责任的事项； </w:t>
      </w:r>
    </w:p>
    <w:p w14:paraId="46BAB4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（二）被保险人故意犯罪或抗拒依法采取的刑事强制措施； </w:t>
      </w:r>
    </w:p>
    <w:p w14:paraId="147ED9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（三）被保险人自杀或故意自伤，但被保险人自杀或故意自伤时为无民事行为能力人的除外； </w:t>
      </w:r>
    </w:p>
    <w:p w14:paraId="11FB1E4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（四）被保险人猝死，但另有约定的除外； </w:t>
      </w:r>
    </w:p>
    <w:p w14:paraId="3AA9CF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（五）被保险人斗殴、醉酒，服用、吸食或注射毒品； </w:t>
      </w:r>
    </w:p>
    <w:p w14:paraId="1E97DF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（六）被保险人酒后驾驶、无合法有效驾驶证驾驶或驾驶无有效行驶证的机动车； </w:t>
      </w:r>
    </w:p>
    <w:p w14:paraId="2EC6B5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（七）被保险人未遵医嘱私自使用或服用药物，但按使用说明的规定使用非处方药不在此限； </w:t>
      </w:r>
    </w:p>
    <w:p w14:paraId="3D0C214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（八）被保险人参加潜水、跳伞、攀岩、驾乘滑翔机或滑翔伞、探险、摔跤、武术比赛、特技表演、赛马、赛车等高风险运动； 国寿绿洲团体意外伤害保险（A 型）（2013 版）条款（第二页） </w:t>
      </w:r>
    </w:p>
    <w:p w14:paraId="17A042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（九）被保险人的产前产后检查、妊娠（含宫外孕）、流产（含人工流产）、分娩（含剖腹产）、避孕、绝育手术、治疗不孕不育症以及上述原因引起的并发症； </w:t>
      </w:r>
    </w:p>
    <w:p w14:paraId="53DD279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（十）被保险人的精神和行为障碍； </w:t>
      </w:r>
    </w:p>
    <w:p w14:paraId="2371B0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（十一）战争、军事冲突、暴乱或武装叛乱； </w:t>
      </w:r>
    </w:p>
    <w:p w14:paraId="397227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（十二）核爆炸、核辐射或核污染。 </w:t>
      </w:r>
    </w:p>
    <w:p w14:paraId="0D258F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【二】意外住院及门诊医疗：是共用一个保额的。在保险期间内，被保险人遭受意外伤害，并因该意外伤害在二级以上（含二级）医院或</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认可的其他医疗机构诊疗，对被保险人实际支出的符合当地基本医疗保险支付范围的医疗费用，</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每次扣除免赔额后，对其余额按合同约定的给付比例给付保险金。其中，有使用医保卡的无免赔额，赔付比例95%，未使用医保卡的免赔额100元/次，赔付比例80%。若被保险人已从当地基本医疗保险、公费医疗、城乡居民大病保险、其他费用补偿型医疗保险和其他途径获得补偿或给付，</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对剩余未获补偿或给付的部分按上述规定给付保险金。保险期间届满被保险人治疗仍未结束的，</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继续承担给付保险金责任的期限，由投保人在投保时与</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协商确定并在保险单上载明，但门（急）诊治疗以保险期间届满的次日起连续十五日为限，住院治疗以保险期间届满的次日起连续九十日为限。</w:t>
      </w:r>
    </w:p>
    <w:p w14:paraId="2E8D8DD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除外责任：</w:t>
      </w:r>
    </w:p>
    <w:p w14:paraId="2A35DA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因下列情形之一，导致被保险人身故或伤残的，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 xml:space="preserve">不承担给付保险金的责任： </w:t>
      </w:r>
    </w:p>
    <w:p w14:paraId="262F402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（一）被保险人的洗牙、牙齿美白、正畸、烤瓷牙、种植牙或镶牙等牙齿保健和修复。</w:t>
      </w:r>
    </w:p>
    <w:p w14:paraId="5A3060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（二）其他责任免除事项。</w:t>
      </w:r>
    </w:p>
    <w:p w14:paraId="66E4D1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【三】疾病身故：被保险人在本合同约定的等待期（续保的，不受等待期的限制）内因疾病身故，合同对该被保险人的保险责任终止，</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按该被保险人对应的已经交付的保险费（不计利息）给付保险金。被保险人在等待期后因疾病身故，合同对该被保险人的保险责任终止，</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按保险单载明的该被保险人的保险金额给付保险金。首次承保等待期30天，100%赔付；</w:t>
      </w:r>
    </w:p>
    <w:p w14:paraId="5C1B182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除外责任：</w:t>
      </w:r>
    </w:p>
    <w:p w14:paraId="0D2CC4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因下列情形之一，导致被保险人身故的，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不承担给付保险金的责任：</w:t>
      </w:r>
    </w:p>
    <w:p w14:paraId="05F1D4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（一）保险单中特别约定</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不承担保险责任的事项；</w:t>
      </w:r>
    </w:p>
    <w:p w14:paraId="1306A8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（二）被保险人故意犯罪或抗拒依法采取的刑事强制措施；</w:t>
      </w:r>
    </w:p>
    <w:p w14:paraId="5295840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（三）被保险人自杀或故意自伤，但被保险人自杀或故意自伤时为无民事行为能力人的除外；</w:t>
      </w:r>
    </w:p>
    <w:p w14:paraId="1ECC0E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（四）被保险人斗殴、醉酒，服用、吸食或注射毒品；</w:t>
      </w:r>
    </w:p>
    <w:p w14:paraId="178B70F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（五）被保险人酒后驾驶、无合法有效驾驶证驾驶或驾驶无有效行驶证的机动车；</w:t>
      </w:r>
    </w:p>
    <w:p w14:paraId="6363EE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（六）战争、军事冲突、暴乱或武装叛乱；</w:t>
      </w:r>
    </w:p>
    <w:p w14:paraId="5796053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（七）核爆炸、核辐射或核污染。</w:t>
      </w:r>
    </w:p>
    <w:p w14:paraId="7B02CA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住院津贴：其中意外住院津贴无免赔日，无等待期；疾病住院津贴首次承保人员等待期30天（续保人员无等待期）；每次住院以90日为限，全年累计最多给付180天。若该被保险人本次住院治疗与前次住院原因相同，并且前次出院与本次入院间隔不超过三十日，则本次住院与前次住院视为同一次住院。对于2018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日后的既往病症住院的，可享受住院津贴，首次参保人员仍在住院治疗的不予赔付。</w:t>
      </w:r>
    </w:p>
    <w:p w14:paraId="30C402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除外责任：</w:t>
      </w:r>
    </w:p>
    <w:p w14:paraId="178864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因下列情形之一，导致被保险人住院治疗的，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不承担给付保险金责任：</w:t>
      </w:r>
    </w:p>
    <w:p w14:paraId="301744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（一）保险单中特别约定</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不承担保险责任的疾病；</w:t>
      </w:r>
    </w:p>
    <w:p w14:paraId="5754CB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（二）被保险人在附加合同生效前的未愈疾病；</w:t>
      </w:r>
    </w:p>
    <w:p w14:paraId="5E4300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（三）被保险人的洗牙、牙齿美白、正畸、烤瓷牙、种植牙或镶牙等牙齿保健和修复；</w:t>
      </w:r>
    </w:p>
    <w:p w14:paraId="5081D3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（四）被保险人实施视力矫正手术或变性手术；</w:t>
      </w:r>
    </w:p>
    <w:p w14:paraId="102B37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（五）被保险人非因意外伤害所致的整容和矫形手术；</w:t>
      </w:r>
    </w:p>
    <w:p w14:paraId="1032D2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（六）其他责任免除事项。</w:t>
      </w:r>
    </w:p>
    <w:p w14:paraId="0AA14D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【五】重症监护津贴：在合同保险期间内，被保险人遭受意外伤害或在等待期（续保的，不受等待期的限制）后因疾病在二级以上（含二级）医院或</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认可的其他医疗机构入住重症监护病房治疗，保险公司按合同约定的重症监护日定额给付金额乘以实际入住重症监护病房日数给付保险金，但对每次入住重症监护病房的给付日数以九十日为限。其中因意外导致的无免赔日，无等待期；因疾病导致的首次承保人员等待期30天（续保人员无等待期），每次免赔日数为3天；每次住院以90日为限，全年累计最多给付180天。其中，等待期由投保人在投保时与</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协商确定并在保险单上载明。该被保险人多次入住重症监护病房的，累计给付日数以一百八十日为限。若该被保险人本次入住重症监护病房治疗与前次入住原因相同，并且前次离开与本次入住间隔不超过三十日，则本次入住与前次入住视为同一次入住重症监护病房。</w:t>
      </w:r>
    </w:p>
    <w:p w14:paraId="32FE92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除外责任：</w:t>
      </w:r>
    </w:p>
    <w:p w14:paraId="10CDEF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因下列情形之一，导致被保险人入住重症监护病房治疗的，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不承担给付保险金责任：</w:t>
      </w:r>
    </w:p>
    <w:p w14:paraId="5C924D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（一）保险单中特别约定</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不承担保险责任的疾病；</w:t>
      </w:r>
    </w:p>
    <w:p w14:paraId="69E2EA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（二）被保险人在合同生效前的未愈疾病；</w:t>
      </w:r>
    </w:p>
    <w:p w14:paraId="4474C2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（三）被保险人非因意外伤害导致的整容或矫形手术；</w:t>
      </w:r>
    </w:p>
    <w:p w14:paraId="46FDD7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（四）其他责任免除事项。</w:t>
      </w:r>
    </w:p>
    <w:p w14:paraId="51EE24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重大疾病：在合同保险期间内，被保险人在等待期后初次发生并经专科医生明确诊断患投保人所选择的重大疾病（30种），不包括轻症。未成年子女在等待期后初次发生并经专科医生明确诊断患投保人所选择的重大疾病（10种），不包括轻症。合同对该被保险人的保险责任终止，</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 xml:space="preserve">按该被保险人的重大疾病保险金额给付重大疾病保险金。 首次承保人员的等待期为30天（连续续保人员无等待期)。 </w:t>
      </w:r>
    </w:p>
    <w:p w14:paraId="12B33AA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除外责任：</w:t>
      </w:r>
    </w:p>
    <w:p w14:paraId="559FF1A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因下列情形之一，导致被保险人患重大疾病或轻度疾病的，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 xml:space="preserve">不承担给付保险金的责任： </w:t>
      </w:r>
    </w:p>
    <w:p w14:paraId="186208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（一）投保人对被保险人的故意杀害、故意伤害； </w:t>
      </w:r>
    </w:p>
    <w:p w14:paraId="3DE1A4C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（二）被保险人故意自伤、故意犯罪或抗拒依法采取的刑事强制措施； </w:t>
      </w:r>
    </w:p>
    <w:p w14:paraId="69E816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（三）被保险人服用、吸食或注射毒品； </w:t>
      </w:r>
    </w:p>
    <w:p w14:paraId="0FDDAF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（四）被保险人酒后驾驶、无合法有效驾驶证驾驶，或驾驶无合法有效行驶证的机动车； </w:t>
      </w:r>
    </w:p>
    <w:p w14:paraId="70A904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（五）被保险人感染艾滋病病毒或患艾滋病； </w:t>
      </w:r>
    </w:p>
    <w:p w14:paraId="1BF40F1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（六）战争、军事冲突、暴乱或武装叛乱； </w:t>
      </w:r>
    </w:p>
    <w:p w14:paraId="179529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（七）核爆炸、核辐射或核污染； </w:t>
      </w:r>
    </w:p>
    <w:p w14:paraId="42614D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（八）遗传性疾病，先天性畸形、变形或染色体异常；</w:t>
      </w:r>
    </w:p>
    <w:p w14:paraId="2FCBD4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（九）投保前已患合同条款中所指定的重大疾病或因首次承保前既往病症导致的合同条款中所指定的重大疾病；对因既往已赔付过的重大疾病在以后保单年度内不予重复赔付。</w:t>
      </w:r>
    </w:p>
    <w:p w14:paraId="6521F5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【七】疾病住院：在合同保险期间内，被保险人在等待期（续保的，不受等待期的限制）后因疾病在二级以上（含二级）医院或</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认可的其他医疗机构住院诊疗，对被保险人实际支出的、符合当地社会基本医疗保险支付范围的住院医疗费用，</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按约定的给付比例给付保险金，首次参保人员等待期为30天（连续参保人员无等待期）。其中：民警配偶和成年子女，未使用医保卡就医的赔付比例80%，使用医保卡就医的赔付比例95%；未成年子女，未使用医保卡就医的，免赔额200元/次，使用医保卡就医的，免赔额100元/次，在扣除免赔额后采取分组累计、比例给付，其中免赔额至1000元的部分，给付比例50%；1000元-5000元的部分，给付比例60%；5000-10000元的部分；给付比例70%；10000-30000元的部分，给付比例80%；30000元以上的部分给付比例90%。若被保险人已从当地社会基本医疗保险、公费医疗或其他途径获得补偿或给付，</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对剩余未获补偿或给付的部分按上述规定给付保险金。保险期间届满被保险人治疗仍未结束的，</w:t>
      </w:r>
      <w:r>
        <w:rPr>
          <w:rFonts w:hint="eastAsia" w:ascii="宋体" w:hAnsi="宋体" w:eastAsia="宋体" w:cs="宋体"/>
          <w:sz w:val="24"/>
          <w:szCs w:val="24"/>
          <w:highlight w:val="none"/>
          <w:lang w:eastAsia="zh-CN"/>
        </w:rPr>
        <w:t>保险人</w:t>
      </w:r>
      <w:r>
        <w:rPr>
          <w:rFonts w:hint="eastAsia" w:ascii="宋体" w:hAnsi="宋体" w:eastAsia="宋体" w:cs="宋体"/>
          <w:sz w:val="24"/>
          <w:szCs w:val="24"/>
          <w:highlight w:val="none"/>
        </w:rPr>
        <w:t>承担给付保险金责任的期限，自保险期间届满次日起至出院之日止，但最长为连续九十日。</w:t>
      </w:r>
    </w:p>
    <w:p w14:paraId="5023F48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除外责任：</w:t>
      </w:r>
    </w:p>
    <w:p w14:paraId="0804749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因下列情形之一，导致被保险人支出医疗费用的，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不承担给付保险金责任：</w:t>
      </w:r>
    </w:p>
    <w:p w14:paraId="5CE05E4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（一）保险单中特别约定</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不承担保险责任的疾病；</w:t>
      </w:r>
    </w:p>
    <w:p w14:paraId="644812F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（二）被保险人在合同生效前的未愈疾病；</w:t>
      </w:r>
    </w:p>
    <w:p w14:paraId="48BFD37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（三）被保险人的洗牙、牙齿美白、正畸、烤瓷牙、种植牙或镶牙等牙齿保健和修复；</w:t>
      </w:r>
    </w:p>
    <w:p w14:paraId="66C85ED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（四）被保险人的视力矫正手术或变性手术；</w:t>
      </w:r>
    </w:p>
    <w:p w14:paraId="5745DC0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（五）被保险人的整容或矫形手术；</w:t>
      </w:r>
    </w:p>
    <w:p w14:paraId="3912611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（六）被保险人遭受意外伤害；</w:t>
      </w:r>
    </w:p>
    <w:p w14:paraId="2470558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（七）其他责任免除事项。</w:t>
      </w:r>
    </w:p>
    <w:p w14:paraId="2CD903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【八】交通意外:</w:t>
      </w:r>
      <w:r>
        <w:rPr>
          <w:rFonts w:hint="eastAsia" w:ascii="宋体" w:hAnsi="宋体" w:eastAsia="宋体" w:cs="宋体"/>
          <w:color w:val="000000"/>
          <w:sz w:val="24"/>
          <w:szCs w:val="24"/>
          <w:highlight w:val="none"/>
        </w:rPr>
        <w:t xml:space="preserve"> </w:t>
      </w:r>
      <w:r>
        <w:rPr>
          <w:rFonts w:hint="eastAsia" w:ascii="宋体" w:hAnsi="宋体" w:eastAsia="宋体" w:cs="宋体"/>
          <w:sz w:val="24"/>
          <w:szCs w:val="24"/>
          <w:highlight w:val="none"/>
        </w:rPr>
        <w:t>在合同保险期间内，被保险人以约定的身份驾驶或搭乘约定的交通工具时遭受意外伤害，保险</w:t>
      </w:r>
      <w:r>
        <w:rPr>
          <w:rFonts w:hint="eastAsia" w:ascii="宋体" w:hAnsi="宋体" w:cs="宋体"/>
          <w:sz w:val="24"/>
          <w:szCs w:val="24"/>
          <w:highlight w:val="none"/>
          <w:lang w:eastAsia="zh-CN"/>
        </w:rPr>
        <w:t>人</w:t>
      </w:r>
      <w:r>
        <w:rPr>
          <w:rFonts w:hint="eastAsia" w:ascii="宋体" w:hAnsi="宋体" w:eastAsia="宋体" w:cs="宋体"/>
          <w:sz w:val="24"/>
          <w:szCs w:val="24"/>
          <w:highlight w:val="none"/>
        </w:rPr>
        <w:t>依下列约定给付保险金：</w:t>
      </w:r>
    </w:p>
    <w:p w14:paraId="7E4E49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（一）身故保险金</w:t>
      </w:r>
    </w:p>
    <w:p w14:paraId="3EF813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被保险人自该意外伤害发生之日起一百八十日内因该意外伤害导致身故的，对该被保险人的保险责任终止，保险</w:t>
      </w:r>
      <w:r>
        <w:rPr>
          <w:rFonts w:hint="eastAsia" w:ascii="宋体" w:hAnsi="宋体" w:cs="宋体"/>
          <w:sz w:val="24"/>
          <w:szCs w:val="24"/>
          <w:highlight w:val="none"/>
          <w:lang w:eastAsia="zh-CN"/>
        </w:rPr>
        <w:t>人</w:t>
      </w:r>
      <w:r>
        <w:rPr>
          <w:rFonts w:hint="eastAsia" w:ascii="宋体" w:hAnsi="宋体" w:eastAsia="宋体" w:cs="宋体"/>
          <w:sz w:val="24"/>
          <w:szCs w:val="24"/>
          <w:highlight w:val="none"/>
        </w:rPr>
        <w:t>按约定的该被保险人的相应交通工具保险金额扣除已从该项保险金额中给付的伤残保险金和烧伤保险金后的余额给付身故保险金。</w:t>
      </w:r>
    </w:p>
    <w:p w14:paraId="78B3CE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（二）伤残保险金</w:t>
      </w:r>
    </w:p>
    <w:p w14:paraId="571DB1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保险人自该意外伤害发生之日起一百八十日内因该意外伤害导致身体伤残的，保险公司根据《人身保险伤残评定标准及代码》（JR/T0083-2013）（中国保险监督管理委员会发布，保监发〔2014〕6号）（以下简称《标准》）确定的伤残程度，按该被保险人的相应交通工具保险金额乘以该处伤残的伤残等级所对应的保险金给付比例给付伤残保险金。</w:t>
      </w:r>
    </w:p>
    <w:p w14:paraId="062657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（三）烧伤保险金</w:t>
      </w:r>
    </w:p>
    <w:p w14:paraId="26666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被保险人自该意外伤害发生之日起九十日内因该意外伤害导致Ⅲ度烧伤的，保险公司根据《意外烧伤保险金给付比例表》（见附表1）的规定，按该被保险人的相应交通工具保险金额及该项烧伤所对应的给付比例给付烧伤保险金，但累计给付的金额以该被保险人的相应交通工具保险金额为限。</w:t>
      </w:r>
    </w:p>
    <w:p w14:paraId="0F1CAF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除外责任：</w:t>
      </w:r>
    </w:p>
    <w:p w14:paraId="50DB60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因下列情形之一，造成被保险人身故、伤残或烧伤的，</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不承担给付保险金的责任：</w:t>
      </w:r>
    </w:p>
    <w:p w14:paraId="358B3B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（一）保险单中特别约定</w:t>
      </w:r>
      <w:r>
        <w:rPr>
          <w:rFonts w:hint="eastAsia" w:ascii="宋体" w:hAnsi="宋体" w:eastAsia="宋体" w:cs="宋体"/>
          <w:b/>
          <w:bCs/>
          <w:sz w:val="24"/>
          <w:szCs w:val="24"/>
          <w:highlight w:val="none"/>
          <w:lang w:eastAsia="zh-CN"/>
        </w:rPr>
        <w:t>保险人</w:t>
      </w:r>
      <w:r>
        <w:rPr>
          <w:rFonts w:hint="eastAsia" w:ascii="宋体" w:hAnsi="宋体" w:eastAsia="宋体" w:cs="宋体"/>
          <w:b/>
          <w:bCs/>
          <w:sz w:val="24"/>
          <w:szCs w:val="24"/>
          <w:highlight w:val="none"/>
        </w:rPr>
        <w:t xml:space="preserve">不承担保险责任的事项； </w:t>
      </w:r>
    </w:p>
    <w:p w14:paraId="798410A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（二）被保险人故意犯罪或抗拒依法采取的刑事强制措施；</w:t>
      </w:r>
    </w:p>
    <w:p w14:paraId="6A8C456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（三）被保险人自杀或故意自伤，但被保险人自杀或故意自伤时为无民事行为能力人的除外；</w:t>
      </w:r>
    </w:p>
    <w:p w14:paraId="58FA95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（四）被保险人猝死，但另有约定的除外； </w:t>
      </w:r>
    </w:p>
    <w:p w14:paraId="00F0EC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（五）被保险人斗殴、醉酒，服用、吸食或注射毒品；</w:t>
      </w:r>
    </w:p>
    <w:p w14:paraId="17D9A6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（六）被保险人酒后驾驶、无合法有效驾驶证驾驶或驾驶无有效行驶证的机动车；</w:t>
      </w:r>
    </w:p>
    <w:p w14:paraId="19CCC4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（七）被保险人未遵医嘱私自使用或服用药物，但按使用说明的规定使用非处方药不在此限； </w:t>
      </w:r>
    </w:p>
    <w:p w14:paraId="637727E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（八）被保险人参加驾乘滑翔机、滑翔伞或赛车等高风险活动期间；</w:t>
      </w:r>
    </w:p>
    <w:p w14:paraId="70D267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（九）被保险人的精神和行为障碍；</w:t>
      </w:r>
    </w:p>
    <w:p w14:paraId="53B4A9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（十）被保险人违反承运人关于安全乘坐的规定；</w:t>
      </w:r>
    </w:p>
    <w:p w14:paraId="0B6036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（十一）战争、军事冲突、暴乱或武装叛乱；</w:t>
      </w:r>
    </w:p>
    <w:p w14:paraId="10DC66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九】关于未成年子女身故保险金额的说明：根据保监发（2015）90号《关于父母为其未成年子女投保以死亡为给付条件人身保险有关问题的通知》，被保险人不满10周岁的，在各保险公司累计保险金额总和不得超过20万元，对被保险人已满10周岁但不满18周岁的，在各保险公司累计保险金额总和不得超过50万元。</w:t>
      </w:r>
    </w:p>
    <w:p w14:paraId="3DCBAD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三、赔付凭证</w:t>
      </w:r>
    </w:p>
    <w:p w14:paraId="286957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死亡、伤残、医疗费用等原始凭证在社会医疗保险机构处理赔偿时已经留档不能分割的，该原始凭证复印件可用于本项目理赔时作为依据凭证，但需提供医保部门分割单。</w:t>
      </w:r>
    </w:p>
    <w:p w14:paraId="5410E2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四、承保服务</w:t>
      </w:r>
    </w:p>
    <w:p w14:paraId="23B6B7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成交公示</w:t>
      </w:r>
      <w:r>
        <w:rPr>
          <w:rFonts w:hint="eastAsia" w:ascii="宋体" w:hAnsi="宋体" w:eastAsia="宋体" w:cs="宋体"/>
          <w:sz w:val="24"/>
          <w:szCs w:val="24"/>
          <w:highlight w:val="none"/>
        </w:rPr>
        <w:t>期满后，在投保资料齐全的5天内完成本项目所要求的保险单证出具；</w:t>
      </w:r>
    </w:p>
    <w:p w14:paraId="641806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收到投保人人员变化信息后1个工作日内完成保单批改。</w:t>
      </w:r>
    </w:p>
    <w:p w14:paraId="121528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文件与保险单、今后可能产生的批单、书面询问或答疑和双方往来函电等共同构成保险合同；构成保险合同的所有文件被认为是一个整体，相互说明、互为补充，如条文含义不明确时，按保险法有关规定办理，当文件间相互矛盾时，以本</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文件及最终协议为准；</w:t>
      </w:r>
    </w:p>
    <w:p w14:paraId="146856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在其作为保险人对保险条款进行解释时，只是合同一方的理解，对争议或歧义的裁决应按保险法规定做出有利于被保险人的解释，若仍有争议则以法院裁决为准；但本条约定并不排斥双方平等协商解决争议的原则。</w:t>
      </w:r>
    </w:p>
    <w:p w14:paraId="067350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五、理赔服务</w:t>
      </w:r>
    </w:p>
    <w:p w14:paraId="429B03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1、基本原则：保险人不得以任何理由推卸、拖延和拒绝被保险人索赔要求，除非有合理和足够的证据证明，否则其行为构成违约并须承担违约责任；</w:t>
      </w:r>
    </w:p>
    <w:p w14:paraId="7DF809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2、一旦接到被保险人通知，保险人代表应在第一时间赶赴事故现场开始初步调查并提出止损建议，被保险人应予以配合，如保险人决定不到场则需认可该出险事实；</w:t>
      </w:r>
    </w:p>
    <w:p w14:paraId="079487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3、发生事故后，保险人应于3个工作日内向被保险人提交一份针对本次事故完成理赔工作所需经过的程序及需要的事故/损失证明材料；</w:t>
      </w:r>
    </w:p>
    <w:p w14:paraId="2E1D9F53">
      <w:pPr>
        <w:pStyle w:val="6"/>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4、保险人上门收齐被保险人的理赔资料后，应在2个工作日确定是否属于保险责任，当确定事故责任属于赔偿范围，且可以计算损失金额，保险人应在5个工作日内完成赔案处理和赔款支付。</w:t>
      </w:r>
    </w:p>
    <w:p w14:paraId="0CDD6A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付款方式</w:t>
      </w:r>
    </w:p>
    <w:p w14:paraId="748A9C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项目完成且通过验收后的十个工作日内，</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一次性付清全部合同款项。</w:t>
      </w:r>
    </w:p>
    <w:p w14:paraId="0982B4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注：付款前，</w:t>
      </w:r>
      <w:r>
        <w:rPr>
          <w:rFonts w:hint="eastAsia" w:ascii="宋体" w:hAnsi="宋体" w:eastAsia="宋体" w:cs="宋体"/>
          <w:sz w:val="24"/>
          <w:szCs w:val="24"/>
          <w:highlight w:val="none"/>
          <w:lang w:val="en-US" w:eastAsia="zh-CN"/>
        </w:rPr>
        <w:t>成交供应商</w:t>
      </w:r>
      <w:r>
        <w:rPr>
          <w:rFonts w:hint="eastAsia" w:ascii="宋体" w:hAnsi="宋体" w:eastAsia="宋体" w:cs="宋体"/>
          <w:sz w:val="24"/>
          <w:szCs w:val="24"/>
          <w:highlight w:val="none"/>
        </w:rPr>
        <w:t>应提供符合</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要求的同等金额的合法有效发票。否则，</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有权顺延付款时间，且不承担任何违约或赔偿责任。</w:t>
      </w:r>
    </w:p>
    <w:p w14:paraId="707DB8B0">
      <w:pPr>
        <w:rPr>
          <w:rFonts w:hint="eastAsia" w:ascii="Times New Roman" w:hAnsi="Times New Roman" w:eastAsia="宋体" w:cs="宋体"/>
          <w:sz w:val="48"/>
          <w:szCs w:val="44"/>
          <w:highlight w:val="none"/>
        </w:rPr>
      </w:pPr>
      <w:r>
        <w:rPr>
          <w:rFonts w:hint="eastAsia" w:ascii="Times New Roman" w:hAnsi="Times New Roman" w:eastAsia="宋体" w:cs="宋体"/>
          <w:sz w:val="48"/>
          <w:szCs w:val="44"/>
          <w:highlight w:val="none"/>
        </w:rPr>
        <w:br w:type="page"/>
      </w:r>
    </w:p>
    <w:p w14:paraId="59289509">
      <w:pPr>
        <w:pStyle w:val="6"/>
        <w:keepNext w:val="0"/>
        <w:keepLines w:val="0"/>
        <w:pageBreakBefore w:val="0"/>
        <w:widowControl w:val="0"/>
        <w:kinsoku/>
        <w:wordWrap/>
        <w:overflowPunct/>
        <w:topLinePunct w:val="0"/>
        <w:autoSpaceDE/>
        <w:autoSpaceDN/>
        <w:bidi w:val="0"/>
        <w:adjustRightInd/>
        <w:snapToGrid/>
        <w:spacing w:before="0" w:after="0" w:line="360" w:lineRule="auto"/>
        <w:ind w:firstLine="964" w:firstLineChars="200"/>
        <w:jc w:val="center"/>
        <w:textAlignment w:val="auto"/>
        <w:rPr>
          <w:rFonts w:ascii="Times New Roman" w:hAnsi="Times New Roman" w:eastAsia="宋体" w:cs="宋体"/>
          <w:sz w:val="48"/>
          <w:szCs w:val="44"/>
        </w:rPr>
      </w:pPr>
      <w:r>
        <w:rPr>
          <w:rFonts w:hint="eastAsia" w:ascii="Times New Roman" w:hAnsi="Times New Roman" w:eastAsia="宋体" w:cs="宋体"/>
          <w:sz w:val="48"/>
          <w:szCs w:val="44"/>
        </w:rPr>
        <w:t>第四章</w:t>
      </w:r>
      <w:bookmarkStart w:id="1" w:name="_Toc182848996"/>
      <w:bookmarkStart w:id="2" w:name="_Toc38121794"/>
      <w:bookmarkStart w:id="3" w:name="_Toc37322565"/>
      <w:bookmarkStart w:id="4" w:name="_Toc85627670"/>
      <w:bookmarkStart w:id="5" w:name="_Toc43217893"/>
      <w:r>
        <w:rPr>
          <w:rFonts w:hint="eastAsia" w:ascii="Times New Roman" w:hAnsi="Times New Roman" w:eastAsia="宋体" w:cs="宋体"/>
          <w:sz w:val="48"/>
          <w:szCs w:val="44"/>
        </w:rPr>
        <w:t xml:space="preserve"> 评审方法和程序</w:t>
      </w:r>
      <w:bookmarkEnd w:id="1"/>
      <w:bookmarkEnd w:id="2"/>
      <w:bookmarkEnd w:id="3"/>
      <w:bookmarkEnd w:id="4"/>
      <w:bookmarkEnd w:id="5"/>
    </w:p>
    <w:p w14:paraId="22C609E5">
      <w:pPr>
        <w:pStyle w:val="5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ascii="Times New Roman" w:hAnsi="Times New Roman" w:cs="宋体"/>
          <w:b/>
          <w:bCs/>
          <w:szCs w:val="24"/>
          <w:shd w:val="clear" w:color="auto" w:fill="FFFFFF"/>
          <w:lang w:eastAsia="zh-CN"/>
        </w:rPr>
      </w:pPr>
      <w:bookmarkStart w:id="6" w:name="_Toc363573857"/>
      <w:bookmarkEnd w:id="6"/>
      <w:r>
        <w:rPr>
          <w:rFonts w:hint="eastAsia" w:ascii="Times New Roman" w:hAnsi="Times New Roman" w:cs="宋体"/>
          <w:b/>
          <w:bCs/>
          <w:szCs w:val="24"/>
          <w:shd w:val="clear" w:color="auto" w:fill="FFFFFF"/>
          <w:lang w:eastAsia="zh-CN"/>
        </w:rPr>
        <w:t>一、代理机构组织磋商</w:t>
      </w:r>
    </w:p>
    <w:p w14:paraId="6613D923">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1、本次竞争性磋商依据《中华人民共和国政府采购法》、《政府采购竞争性磋商采购方式管理暂行办法》及有关法规成立磋商小组。磋商小组由采购人代表和评审专家共3人以上单数组成，其中评审专家人数不得少于磋商小组成员总数的三分之二。</w:t>
      </w:r>
    </w:p>
    <w:p w14:paraId="2DF1DBDF">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2、磋商小组的职责：</w:t>
      </w:r>
    </w:p>
    <w:p w14:paraId="71DAEFEC">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（1）磋商小组成员应当按照客观、公正、审慎的原则，根据磋商文件规定的评审程序、评审方法和评审标准进行独立评审。</w:t>
      </w:r>
    </w:p>
    <w:p w14:paraId="02DA4896">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（2）磋商小组成员应当遵守评审工作纪律，不得泄露评审情况和评审中获悉的商业秘密，对个人的评审意见承担法律责任；</w:t>
      </w:r>
    </w:p>
    <w:p w14:paraId="69A917FE">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（3）磋商小组成员在评审过程中发现供应商有行贿、提供虚假材料或者串通等违法行为的，应当及时向财政部门报告。</w:t>
      </w:r>
    </w:p>
    <w:p w14:paraId="520852ED">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（4）磋商小组成员在评审过程中受到非法干涉的，应当及时向财政、监察等部门举报。</w:t>
      </w:r>
    </w:p>
    <w:p w14:paraId="1EE99B7F">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（5）配合采购单位答复供应商提出的质疑；配合财政部门的投诉处理和监督检查工作。</w:t>
      </w:r>
    </w:p>
    <w:p w14:paraId="076C2D1D">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3、评审有关记录由磋商小组成员签名，存档备查。</w:t>
      </w:r>
    </w:p>
    <w:p w14:paraId="35F8B87D">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4、供应商的法定代表人或被授权人须持身份证准时参加磋商活动会。</w:t>
      </w:r>
    </w:p>
    <w:p w14:paraId="1DF213C2">
      <w:pPr>
        <w:pStyle w:val="5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二、磋商的原则及方法</w:t>
      </w:r>
    </w:p>
    <w:p w14:paraId="738EF5F4">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1、磋商小组依据《中华人民共和国政府采购法》、《政府采购竞争性磋商采购方式管理暂行办法》以及有关政府采购的相关法规，遵循“公开、公平、公正、择优、信用”的原则进行磋商评审。</w:t>
      </w:r>
    </w:p>
    <w:p w14:paraId="30E9A6AA">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2、磋商小组将按照竞争性磋商文件的规定，独立对每个进入打分程序的有效供应商的响应文件的技术部分以打分的形式进行评审和评价。技术分取算术平均值（计算结果均四舍五入保留两位小数）。</w:t>
      </w:r>
    </w:p>
    <w:p w14:paraId="4A1C086D">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74E9E86A">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4、磋商文件能够详细列明采购货物的技术、服务要求的，磋商结束后，磋商小组应当要求所有实质性响应的供应商在规定时间内提交最后报价，提交最后报价的供应商不得少于3家。</w:t>
      </w:r>
    </w:p>
    <w:p w14:paraId="7F055CDA">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磋商文件不能详细列明采购货物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31BBDE6C">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5、已提交响应文件的供应商，在提交最后报价之前，可以根据磋商情况退出磋商。</w:t>
      </w:r>
    </w:p>
    <w:p w14:paraId="6778B9E2">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价。对被认定为低于成本报价磋商竞价的报价做无效报价，按无效响应处理。</w:t>
      </w:r>
    </w:p>
    <w:p w14:paraId="5328B50F">
      <w:pPr>
        <w:pStyle w:val="5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三、磋商评定结果的方法</w:t>
      </w:r>
    </w:p>
    <w:p w14:paraId="76AF8533">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b/>
          <w:sz w:val="24"/>
          <w:szCs w:val="24"/>
          <w:u w:val="single"/>
        </w:rPr>
        <w:t>经磋商确定最终采购需求和提交最后报价的供应商后，</w:t>
      </w:r>
      <w:r>
        <w:rPr>
          <w:rFonts w:hint="eastAsia" w:ascii="Times New Roman" w:hAnsi="Times New Roman" w:cs="宋体"/>
          <w:sz w:val="24"/>
          <w:szCs w:val="24"/>
        </w:rPr>
        <w:t>由磋商小组采用综合评分法</w:t>
      </w:r>
      <w:r>
        <w:rPr>
          <w:rFonts w:hint="eastAsia" w:ascii="Times New Roman" w:hAnsi="Times New Roman" w:cs="宋体"/>
          <w:b/>
          <w:sz w:val="24"/>
          <w:szCs w:val="24"/>
          <w:u w:val="single"/>
        </w:rPr>
        <w:t>对提交最后报价的供应商的响应文件和最后报价</w:t>
      </w:r>
      <w:r>
        <w:rPr>
          <w:rFonts w:hint="eastAsia" w:ascii="Times New Roman" w:hAnsi="Times New Roman" w:cs="宋体"/>
          <w:sz w:val="24"/>
          <w:szCs w:val="24"/>
        </w:rPr>
        <w:t>进行综合评分。</w:t>
      </w:r>
    </w:p>
    <w:p w14:paraId="15D9E81F">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2、评审时，磋商小组各成员应当独立对每个有效响应的文件进行评价、打分，然后汇总每个供应商每项评分因素的得分（计算结果均四舍五入保留两位小数）。</w:t>
      </w:r>
    </w:p>
    <w:p w14:paraId="683093CA">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3、本次项目磋商的技术和商务报价评审总分值为100分。两部分评审因素比重如下：</w:t>
      </w:r>
    </w:p>
    <w:p w14:paraId="12B521EA">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商务技术分值占总分值的比重为</w:t>
      </w:r>
      <w:r>
        <w:rPr>
          <w:rFonts w:hint="eastAsia" w:ascii="Times New Roman" w:hAnsi="Times New Roman" w:cs="宋体"/>
          <w:b/>
          <w:sz w:val="24"/>
          <w:szCs w:val="24"/>
          <w:u w:val="single"/>
          <w:lang w:val="en-US" w:eastAsia="zh-CN"/>
        </w:rPr>
        <w:t>9</w:t>
      </w:r>
      <w:r>
        <w:rPr>
          <w:rFonts w:hint="eastAsia" w:ascii="Times New Roman" w:hAnsi="Times New Roman" w:cs="宋体"/>
          <w:b/>
          <w:sz w:val="24"/>
          <w:szCs w:val="24"/>
          <w:u w:val="single"/>
        </w:rPr>
        <w:t>0%（权重）</w:t>
      </w:r>
      <w:r>
        <w:rPr>
          <w:rFonts w:hint="eastAsia" w:ascii="Times New Roman" w:hAnsi="Times New Roman" w:cs="宋体"/>
          <w:sz w:val="24"/>
          <w:szCs w:val="24"/>
        </w:rPr>
        <w:t>（四舍五入保留两位小数）；</w:t>
      </w:r>
    </w:p>
    <w:p w14:paraId="3B7FE029">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报价分值占总分值的比重为</w:t>
      </w:r>
      <w:r>
        <w:rPr>
          <w:rFonts w:hint="eastAsia" w:ascii="Times New Roman" w:hAnsi="Times New Roman" w:cs="宋体"/>
          <w:b/>
          <w:sz w:val="24"/>
          <w:szCs w:val="24"/>
          <w:u w:val="single"/>
          <w:lang w:val="en-US" w:eastAsia="zh-CN"/>
        </w:rPr>
        <w:t>1</w:t>
      </w:r>
      <w:r>
        <w:rPr>
          <w:rFonts w:hint="eastAsia" w:ascii="Times New Roman" w:hAnsi="Times New Roman" w:cs="宋体"/>
          <w:b/>
          <w:sz w:val="24"/>
          <w:szCs w:val="24"/>
          <w:u w:val="single"/>
        </w:rPr>
        <w:t>0%（权重）</w:t>
      </w:r>
      <w:r>
        <w:rPr>
          <w:rFonts w:hint="eastAsia" w:ascii="Times New Roman" w:hAnsi="Times New Roman" w:cs="宋体"/>
          <w:sz w:val="24"/>
          <w:szCs w:val="24"/>
        </w:rPr>
        <w:t>（四舍五入保留两位小数）。</w:t>
      </w:r>
    </w:p>
    <w:p w14:paraId="6971C330">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4、技术分按算术平均值计算，分值四舍五入保留两位小数。</w:t>
      </w:r>
    </w:p>
    <w:p w14:paraId="4F570EF1">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5、报价分统一采用低价优先法计算直接取得，与技术分相加为供应商的综合得分（四舍五入保留两位小数）。</w:t>
      </w:r>
    </w:p>
    <w:p w14:paraId="02F6C7E1">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b/>
          <w:sz w:val="24"/>
          <w:szCs w:val="24"/>
        </w:rPr>
      </w:pPr>
      <w:r>
        <w:rPr>
          <w:rFonts w:hint="eastAsia" w:ascii="Times New Roman" w:hAnsi="Times New Roman" w:cs="宋体"/>
          <w:sz w:val="24"/>
          <w:szCs w:val="24"/>
        </w:rPr>
        <w:t>6、磋商小组应当根据综合评分情况，按照评审得分由高到低顺序推荐3名以上成交候选供应商，</w:t>
      </w:r>
      <w:r>
        <w:rPr>
          <w:rFonts w:hint="eastAsia" w:ascii="Times New Roman" w:hAnsi="Times New Roman"/>
          <w:sz w:val="24"/>
          <w:szCs w:val="24"/>
        </w:rPr>
        <w:t>并编写评审报告。</w:t>
      </w:r>
      <w:r>
        <w:rPr>
          <w:rFonts w:hint="eastAsia" w:ascii="Times New Roman" w:hAnsi="Times New Roman"/>
          <w:b/>
          <w:sz w:val="24"/>
          <w:szCs w:val="24"/>
        </w:rPr>
        <w:t>采购人委托磋商小组直接确定成交供应商。</w:t>
      </w:r>
    </w:p>
    <w:p w14:paraId="012D6D83">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7、推荐成交候选人的特殊情况处理：</w:t>
      </w:r>
    </w:p>
    <w:p w14:paraId="0A47CC2D">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（1）评审得分相同时，按照最后报价由低到高的顺序推荐。</w:t>
      </w:r>
    </w:p>
    <w:p w14:paraId="3A40DBB8">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（2）评审得分且最后报价相同的，按照技术指标优劣顺序推荐。</w:t>
      </w:r>
    </w:p>
    <w:p w14:paraId="1798933A">
      <w:pPr>
        <w:keepNext w:val="0"/>
        <w:keepLines w:val="0"/>
        <w:pageBreakBefore w:val="0"/>
        <w:kinsoku/>
        <w:wordWrap/>
        <w:overflowPunct/>
        <w:topLinePunct w:val="0"/>
        <w:autoSpaceDE/>
        <w:autoSpaceDN/>
        <w:bidi w:val="0"/>
        <w:adjustRightInd/>
        <w:snapToGrid/>
        <w:spacing w:line="360" w:lineRule="auto"/>
        <w:ind w:firstLine="480"/>
        <w:textAlignment w:val="auto"/>
        <w:rPr>
          <w:rFonts w:ascii="Times New Roman" w:hAnsi="Times New Roman" w:cs="宋体"/>
          <w:sz w:val="24"/>
          <w:szCs w:val="24"/>
        </w:rPr>
      </w:pPr>
      <w:r>
        <w:rPr>
          <w:rFonts w:hint="eastAsia" w:ascii="Times New Roman" w:hAnsi="Times New Roman" w:cs="宋体"/>
          <w:sz w:val="24"/>
          <w:szCs w:val="24"/>
        </w:rPr>
        <w:t>8、磋商评审时，评委对评审的细则若有争议，由磋商小组集体讨论确定，并对未尽情况有最终解释权。</w:t>
      </w:r>
    </w:p>
    <w:p w14:paraId="0A6AB0C6">
      <w:pPr>
        <w:pStyle w:val="5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四、综合评分评审标准</w:t>
      </w:r>
    </w:p>
    <w:p w14:paraId="73F04BEE">
      <w:pPr>
        <w:pStyle w:val="5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（一）商务技术分：（</w:t>
      </w:r>
      <w:r>
        <w:rPr>
          <w:rFonts w:hint="eastAsia" w:ascii="Times New Roman" w:hAnsi="Times New Roman" w:cs="宋体"/>
          <w:b/>
          <w:bCs/>
          <w:szCs w:val="24"/>
          <w:shd w:val="clear" w:color="auto" w:fill="FFFFFF"/>
          <w:lang w:val="en-US" w:eastAsia="zh-CN"/>
        </w:rPr>
        <w:t>9</w:t>
      </w:r>
      <w:r>
        <w:rPr>
          <w:rFonts w:hint="eastAsia" w:ascii="Times New Roman" w:hAnsi="Times New Roman" w:cs="宋体"/>
          <w:b/>
          <w:bCs/>
          <w:szCs w:val="24"/>
          <w:shd w:val="clear" w:color="auto" w:fill="FFFFFF"/>
          <w:lang w:eastAsia="zh-CN"/>
        </w:rPr>
        <w:t>0分）</w:t>
      </w:r>
    </w:p>
    <w:p w14:paraId="1F0B9EE4">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p>
    <w:tbl>
      <w:tblPr>
        <w:tblStyle w:val="56"/>
        <w:tblpPr w:leftFromText="180" w:rightFromText="180" w:vertAnchor="text" w:horzAnchor="page" w:tblpXSpec="center" w:tblpY="413"/>
        <w:tblOverlap w:val="never"/>
        <w:tblW w:w="10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28"/>
        <w:gridCol w:w="743"/>
        <w:gridCol w:w="900"/>
        <w:gridCol w:w="2145"/>
        <w:gridCol w:w="3430"/>
        <w:gridCol w:w="2153"/>
      </w:tblGrid>
      <w:tr w14:paraId="358E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8" w:type="dxa"/>
            <w:noWrap w:val="0"/>
            <w:vAlign w:val="center"/>
          </w:tcPr>
          <w:p w14:paraId="003C9AF1">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028" w:type="dxa"/>
            <w:noWrap w:val="0"/>
            <w:vAlign w:val="center"/>
          </w:tcPr>
          <w:p w14:paraId="23EA5C8C">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评分项目</w:t>
            </w:r>
          </w:p>
        </w:tc>
        <w:tc>
          <w:tcPr>
            <w:tcW w:w="743" w:type="dxa"/>
            <w:noWrap w:val="0"/>
            <w:vAlign w:val="center"/>
          </w:tcPr>
          <w:p w14:paraId="09487BDE">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项目分值</w:t>
            </w:r>
          </w:p>
        </w:tc>
        <w:tc>
          <w:tcPr>
            <w:tcW w:w="900" w:type="dxa"/>
            <w:noWrap w:val="0"/>
            <w:vAlign w:val="center"/>
          </w:tcPr>
          <w:p w14:paraId="6A030C78">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细分值</w:t>
            </w:r>
          </w:p>
        </w:tc>
        <w:tc>
          <w:tcPr>
            <w:tcW w:w="2145" w:type="dxa"/>
            <w:noWrap w:val="0"/>
            <w:vAlign w:val="center"/>
          </w:tcPr>
          <w:p w14:paraId="34706F37">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评分内容</w:t>
            </w:r>
          </w:p>
        </w:tc>
        <w:tc>
          <w:tcPr>
            <w:tcW w:w="3430" w:type="dxa"/>
            <w:noWrap w:val="0"/>
            <w:vAlign w:val="center"/>
          </w:tcPr>
          <w:p w14:paraId="18E1ECBD">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评分要求或标准</w:t>
            </w:r>
          </w:p>
        </w:tc>
        <w:tc>
          <w:tcPr>
            <w:tcW w:w="2153" w:type="dxa"/>
            <w:noWrap w:val="0"/>
            <w:vAlign w:val="center"/>
          </w:tcPr>
          <w:p w14:paraId="18BB4D3F">
            <w:pPr>
              <w:widowControl/>
              <w:adjustRightInd w:val="0"/>
              <w:snapToGrid w:val="0"/>
              <w:spacing w:line="324" w:lineRule="auto"/>
              <w:jc w:val="center"/>
              <w:rPr>
                <w:rFonts w:hint="eastAsia" w:ascii="宋体" w:hAnsi="宋体" w:eastAsia="宋体" w:cs="宋体"/>
                <w:bCs/>
                <w:sz w:val="21"/>
                <w:szCs w:val="21"/>
              </w:rPr>
            </w:pPr>
            <w:r>
              <w:rPr>
                <w:rFonts w:hint="eastAsia" w:ascii="宋体" w:hAnsi="宋体" w:eastAsia="宋体" w:cs="宋体"/>
                <w:bCs/>
                <w:sz w:val="21"/>
                <w:szCs w:val="21"/>
              </w:rPr>
              <w:t>备 注</w:t>
            </w:r>
          </w:p>
        </w:tc>
      </w:tr>
      <w:tr w14:paraId="4E13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98" w:type="dxa"/>
            <w:vMerge w:val="restart"/>
            <w:noWrap w:val="0"/>
            <w:vAlign w:val="center"/>
          </w:tcPr>
          <w:p w14:paraId="0EC15601">
            <w:pPr>
              <w:widowControl/>
              <w:adjustRightInd w:val="0"/>
              <w:snapToGrid w:val="0"/>
              <w:spacing w:line="32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8" w:type="dxa"/>
            <w:vMerge w:val="restart"/>
            <w:noWrap w:val="0"/>
            <w:vAlign w:val="center"/>
          </w:tcPr>
          <w:p w14:paraId="6DC4E853">
            <w:pPr>
              <w:widowControl/>
              <w:adjustRightInd w:val="0"/>
              <w:snapToGrid w:val="0"/>
              <w:spacing w:line="32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 实力 与  商誉</w:t>
            </w:r>
          </w:p>
        </w:tc>
        <w:tc>
          <w:tcPr>
            <w:tcW w:w="743" w:type="dxa"/>
            <w:vMerge w:val="restart"/>
            <w:noWrap w:val="0"/>
            <w:vAlign w:val="center"/>
          </w:tcPr>
          <w:p w14:paraId="52BBB8F4">
            <w:pPr>
              <w:widowControl/>
              <w:adjustRightInd w:val="0"/>
              <w:snapToGrid w:val="0"/>
              <w:spacing w:line="324"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900" w:type="dxa"/>
            <w:noWrap w:val="0"/>
            <w:vAlign w:val="center"/>
          </w:tcPr>
          <w:p w14:paraId="1ADED959">
            <w:pPr>
              <w:widowControl/>
              <w:adjustRightInd w:val="0"/>
              <w:snapToGrid w:val="0"/>
              <w:spacing w:line="324"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45" w:type="dxa"/>
            <w:noWrap w:val="0"/>
            <w:vAlign w:val="center"/>
          </w:tcPr>
          <w:p w14:paraId="7C9DE00A">
            <w:pPr>
              <w:keepNext w:val="0"/>
              <w:keepLines w:val="0"/>
              <w:pageBreakBefore w:val="0"/>
              <w:kinsoku/>
              <w:wordWrap/>
              <w:overflowPunct/>
              <w:topLinePunct w:val="0"/>
              <w:autoSpaceDE/>
              <w:autoSpaceDN/>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总公司202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第四季</w:t>
            </w:r>
            <w:r>
              <w:rPr>
                <w:rFonts w:hint="eastAsia" w:ascii="宋体" w:hAnsi="宋体" w:eastAsia="宋体" w:cs="宋体"/>
                <w:color w:val="auto"/>
                <w:sz w:val="21"/>
                <w:szCs w:val="21"/>
                <w:highlight w:val="none"/>
              </w:rPr>
              <w:t>度综合偿付能力充足率。</w:t>
            </w:r>
          </w:p>
        </w:tc>
        <w:tc>
          <w:tcPr>
            <w:tcW w:w="3430" w:type="dxa"/>
            <w:noWrap w:val="0"/>
            <w:vAlign w:val="center"/>
          </w:tcPr>
          <w:p w14:paraId="4658C1F1">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高于</w:t>
            </w:r>
            <w:r>
              <w:rPr>
                <w:rFonts w:hint="eastAsia" w:ascii="宋体" w:hAnsi="宋体" w:eastAsia="宋体" w:cs="宋体"/>
                <w:color w:val="auto"/>
                <w:sz w:val="21"/>
                <w:szCs w:val="21"/>
                <w:highlight w:val="none"/>
              </w:rPr>
              <w:t>200%（</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得10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0%（含）-200%的得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0%（含）的得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0%（含）-1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分；低于1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0%的不得分。</w:t>
            </w:r>
          </w:p>
        </w:tc>
        <w:tc>
          <w:tcPr>
            <w:tcW w:w="2153" w:type="dxa"/>
            <w:noWrap w:val="0"/>
            <w:vAlign w:val="center"/>
          </w:tcPr>
          <w:p w14:paraId="0E5D9D1A">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提供中国保险行业协会官网截图并加盖公章。（提供相关材料</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rPr>
              <w:t>并加盖公章）</w:t>
            </w:r>
          </w:p>
        </w:tc>
      </w:tr>
      <w:tr w14:paraId="2A3F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498" w:type="dxa"/>
            <w:vMerge w:val="continue"/>
            <w:noWrap w:val="0"/>
            <w:vAlign w:val="center"/>
          </w:tcPr>
          <w:p w14:paraId="24DBCCF1">
            <w:pPr>
              <w:widowControl/>
              <w:adjustRightInd w:val="0"/>
              <w:snapToGrid w:val="0"/>
              <w:spacing w:line="324" w:lineRule="auto"/>
              <w:jc w:val="center"/>
              <w:rPr>
                <w:rFonts w:hint="eastAsia" w:ascii="宋体" w:hAnsi="宋体" w:eastAsia="宋体" w:cs="宋体"/>
                <w:sz w:val="21"/>
                <w:szCs w:val="21"/>
              </w:rPr>
            </w:pPr>
          </w:p>
        </w:tc>
        <w:tc>
          <w:tcPr>
            <w:tcW w:w="1028" w:type="dxa"/>
            <w:vMerge w:val="continue"/>
            <w:noWrap w:val="0"/>
            <w:vAlign w:val="center"/>
          </w:tcPr>
          <w:p w14:paraId="1C28639F">
            <w:pPr>
              <w:widowControl/>
              <w:adjustRightInd w:val="0"/>
              <w:snapToGrid w:val="0"/>
              <w:spacing w:line="324" w:lineRule="auto"/>
              <w:jc w:val="center"/>
              <w:rPr>
                <w:rFonts w:hint="eastAsia" w:ascii="宋体" w:hAnsi="宋体" w:eastAsia="宋体" w:cs="宋体"/>
                <w:sz w:val="21"/>
                <w:szCs w:val="21"/>
              </w:rPr>
            </w:pPr>
          </w:p>
        </w:tc>
        <w:tc>
          <w:tcPr>
            <w:tcW w:w="743" w:type="dxa"/>
            <w:vMerge w:val="continue"/>
            <w:noWrap w:val="0"/>
            <w:vAlign w:val="center"/>
          </w:tcPr>
          <w:p w14:paraId="76D5A35E">
            <w:pPr>
              <w:widowControl/>
              <w:adjustRightInd w:val="0"/>
              <w:snapToGrid w:val="0"/>
              <w:spacing w:line="324" w:lineRule="auto"/>
              <w:jc w:val="center"/>
              <w:rPr>
                <w:rFonts w:hint="eastAsia" w:ascii="宋体" w:hAnsi="宋体" w:eastAsia="宋体" w:cs="宋体"/>
                <w:color w:val="auto"/>
                <w:sz w:val="21"/>
                <w:szCs w:val="21"/>
                <w:highlight w:val="none"/>
              </w:rPr>
            </w:pPr>
          </w:p>
        </w:tc>
        <w:tc>
          <w:tcPr>
            <w:tcW w:w="900" w:type="dxa"/>
            <w:noWrap w:val="0"/>
            <w:vAlign w:val="center"/>
          </w:tcPr>
          <w:p w14:paraId="5E894DC2">
            <w:pPr>
              <w:widowControl/>
              <w:adjustRightInd w:val="0"/>
              <w:snapToGrid w:val="0"/>
              <w:spacing w:line="324"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2145" w:type="dxa"/>
            <w:noWrap w:val="0"/>
            <w:vAlign w:val="center"/>
          </w:tcPr>
          <w:p w14:paraId="649A2A7C">
            <w:pPr>
              <w:keepNext w:val="0"/>
              <w:keepLines w:val="0"/>
              <w:pageBreakBefore w:val="0"/>
              <w:kinsoku/>
              <w:wordWrap/>
              <w:overflowPunct/>
              <w:topLinePunct w:val="0"/>
              <w:autoSpaceDE/>
              <w:autoSpaceDN/>
              <w:bidi w:val="0"/>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总公司202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第三季度</w:t>
            </w:r>
            <w:r>
              <w:rPr>
                <w:rFonts w:hint="eastAsia" w:ascii="宋体" w:hAnsi="宋体" w:eastAsia="宋体" w:cs="宋体"/>
                <w:color w:val="auto"/>
                <w:sz w:val="21"/>
                <w:szCs w:val="21"/>
                <w:highlight w:val="none"/>
              </w:rPr>
              <w:t>偿二代风险综合评级</w:t>
            </w:r>
          </w:p>
        </w:tc>
        <w:tc>
          <w:tcPr>
            <w:tcW w:w="3430" w:type="dxa"/>
            <w:noWrap w:val="0"/>
            <w:vAlign w:val="center"/>
          </w:tcPr>
          <w:p w14:paraId="2A70B7AA">
            <w:pPr>
              <w:keepNext w:val="0"/>
              <w:keepLines w:val="0"/>
              <w:pageBreakBefore w:val="0"/>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AA</w:t>
            </w:r>
            <w:r>
              <w:rPr>
                <w:rFonts w:hint="eastAsia" w:ascii="宋体" w:hAnsi="宋体" w:eastAsia="宋体" w:cs="宋体"/>
                <w:color w:val="auto"/>
                <w:sz w:val="21"/>
                <w:szCs w:val="21"/>
                <w:highlight w:val="none"/>
              </w:rPr>
              <w:t>A的得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AA的</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分，A的</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分，BBB的得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分，BB及以下的不得</w:t>
            </w:r>
            <w:r>
              <w:rPr>
                <w:rFonts w:hint="eastAsia" w:ascii="宋体" w:hAnsi="宋体" w:eastAsia="宋体" w:cs="宋体"/>
                <w:color w:val="auto"/>
                <w:sz w:val="21"/>
                <w:szCs w:val="21"/>
                <w:highlight w:val="none"/>
              </w:rPr>
              <w:t>分。</w:t>
            </w:r>
          </w:p>
        </w:tc>
        <w:tc>
          <w:tcPr>
            <w:tcW w:w="2153" w:type="dxa"/>
            <w:noWrap w:val="0"/>
            <w:vAlign w:val="center"/>
          </w:tcPr>
          <w:p w14:paraId="726FF793">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提供证明资料时同时须提供</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官方查询网址。（提供相关材料</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并加盖公章）</w:t>
            </w:r>
          </w:p>
        </w:tc>
      </w:tr>
      <w:tr w14:paraId="75AD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98" w:type="dxa"/>
            <w:vMerge w:val="continue"/>
            <w:noWrap w:val="0"/>
            <w:vAlign w:val="center"/>
          </w:tcPr>
          <w:p w14:paraId="0F5541EE">
            <w:pPr>
              <w:widowControl/>
              <w:adjustRightInd w:val="0"/>
              <w:snapToGrid w:val="0"/>
              <w:spacing w:line="324" w:lineRule="auto"/>
              <w:jc w:val="center"/>
              <w:rPr>
                <w:rFonts w:hint="eastAsia" w:ascii="宋体" w:hAnsi="宋体" w:eastAsia="宋体" w:cs="宋体"/>
                <w:b/>
                <w:sz w:val="21"/>
                <w:szCs w:val="21"/>
              </w:rPr>
            </w:pPr>
          </w:p>
        </w:tc>
        <w:tc>
          <w:tcPr>
            <w:tcW w:w="1028" w:type="dxa"/>
            <w:vMerge w:val="continue"/>
            <w:noWrap w:val="0"/>
            <w:vAlign w:val="center"/>
          </w:tcPr>
          <w:p w14:paraId="7F270181">
            <w:pPr>
              <w:widowControl/>
              <w:adjustRightInd w:val="0"/>
              <w:snapToGrid w:val="0"/>
              <w:spacing w:line="324" w:lineRule="auto"/>
              <w:jc w:val="center"/>
              <w:rPr>
                <w:rFonts w:hint="eastAsia" w:ascii="宋体" w:hAnsi="宋体" w:eastAsia="宋体" w:cs="宋体"/>
                <w:b/>
                <w:sz w:val="21"/>
                <w:szCs w:val="21"/>
              </w:rPr>
            </w:pPr>
          </w:p>
        </w:tc>
        <w:tc>
          <w:tcPr>
            <w:tcW w:w="743" w:type="dxa"/>
            <w:vMerge w:val="continue"/>
            <w:noWrap w:val="0"/>
            <w:vAlign w:val="center"/>
          </w:tcPr>
          <w:p w14:paraId="7B8C1076">
            <w:pPr>
              <w:widowControl/>
              <w:adjustRightInd w:val="0"/>
              <w:snapToGrid w:val="0"/>
              <w:spacing w:line="324" w:lineRule="auto"/>
              <w:jc w:val="center"/>
              <w:rPr>
                <w:rFonts w:hint="eastAsia" w:ascii="宋体" w:hAnsi="宋体" w:eastAsia="宋体" w:cs="宋体"/>
                <w:b/>
                <w:color w:val="auto"/>
                <w:sz w:val="21"/>
                <w:szCs w:val="21"/>
                <w:highlight w:val="none"/>
              </w:rPr>
            </w:pPr>
          </w:p>
        </w:tc>
        <w:tc>
          <w:tcPr>
            <w:tcW w:w="900" w:type="dxa"/>
            <w:noWrap w:val="0"/>
            <w:vAlign w:val="center"/>
          </w:tcPr>
          <w:p w14:paraId="2D2FD87A">
            <w:pPr>
              <w:widowControl/>
              <w:adjustRightInd w:val="0"/>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2145" w:type="dxa"/>
            <w:noWrap w:val="0"/>
            <w:vAlign w:val="center"/>
          </w:tcPr>
          <w:p w14:paraId="4E78CB90">
            <w:pPr>
              <w:keepNext w:val="0"/>
              <w:keepLines w:val="0"/>
              <w:pageBreakBefore w:val="0"/>
              <w:widowControl/>
              <w:kinsoku/>
              <w:wordWrap/>
              <w:overflowPunct/>
              <w:topLinePunct w:val="0"/>
              <w:autoSpaceDE/>
              <w:autoSpaceDN/>
              <w:bidi w:val="0"/>
              <w:adjustRightInd w:val="0"/>
              <w:snapToGrid/>
              <w:spacing w:line="3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项目承保、</w:t>
            </w:r>
            <w:r>
              <w:rPr>
                <w:rFonts w:hint="eastAsia" w:ascii="宋体" w:hAnsi="宋体" w:eastAsia="宋体" w:cs="宋体"/>
                <w:color w:val="auto"/>
                <w:sz w:val="21"/>
                <w:szCs w:val="21"/>
                <w:highlight w:val="none"/>
              </w:rPr>
              <w:t>合作经验</w:t>
            </w:r>
          </w:p>
        </w:tc>
        <w:tc>
          <w:tcPr>
            <w:tcW w:w="3430" w:type="dxa"/>
            <w:noWrap w:val="0"/>
            <w:vAlign w:val="center"/>
          </w:tcPr>
          <w:p w14:paraId="7385B941">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年以来</w:t>
            </w:r>
            <w:r>
              <w:rPr>
                <w:rFonts w:hint="eastAsia" w:ascii="宋体" w:hAnsi="宋体" w:eastAsia="宋体" w:cs="宋体"/>
                <w:color w:val="auto"/>
                <w:sz w:val="21"/>
                <w:szCs w:val="21"/>
                <w:highlight w:val="none"/>
                <w:lang w:val="en-US" w:eastAsia="zh-CN"/>
              </w:rPr>
              <w:t>承保过</w:t>
            </w:r>
            <w:r>
              <w:rPr>
                <w:rFonts w:hint="eastAsia" w:ascii="宋体" w:hAnsi="宋体" w:cs="宋体"/>
                <w:color w:val="auto"/>
                <w:sz w:val="21"/>
                <w:szCs w:val="21"/>
                <w:highlight w:val="none"/>
                <w:lang w:val="en-US" w:eastAsia="zh-CN"/>
              </w:rPr>
              <w:t>单张保险合同被保险人数达1000人及以上且保单中须有①重大疾病、②意外或疾病身故、③意外或疾病住院费用补偿等三项（以上三项缺一不可）基本保险责任的</w:t>
            </w:r>
            <w:r>
              <w:rPr>
                <w:rFonts w:hint="eastAsia" w:ascii="宋体" w:hAnsi="宋体" w:eastAsia="宋体" w:cs="宋体"/>
                <w:color w:val="auto"/>
                <w:sz w:val="21"/>
                <w:szCs w:val="21"/>
                <w:highlight w:val="none"/>
                <w:lang w:val="en-US" w:eastAsia="zh-CN"/>
              </w:rPr>
              <w:t>类似项目，</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最多得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2153" w:type="dxa"/>
            <w:noWrap w:val="0"/>
            <w:vAlign w:val="center"/>
          </w:tcPr>
          <w:p w14:paraId="26F8B14E">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提供保险合同复印件</w:t>
            </w:r>
            <w:r>
              <w:rPr>
                <w:rFonts w:hint="eastAsia" w:ascii="宋体" w:hAnsi="宋体" w:cs="宋体"/>
                <w:color w:val="auto"/>
                <w:sz w:val="21"/>
                <w:szCs w:val="21"/>
                <w:highlight w:val="none"/>
                <w:lang w:val="en-US" w:eastAsia="zh-CN"/>
              </w:rPr>
              <w:t>且须说明保险合同中是否承保有重大疾病等三项基本责任，需</w:t>
            </w:r>
            <w:r>
              <w:rPr>
                <w:rFonts w:hint="eastAsia" w:ascii="宋体" w:hAnsi="宋体" w:eastAsia="宋体" w:cs="宋体"/>
                <w:color w:val="auto"/>
                <w:sz w:val="21"/>
                <w:szCs w:val="21"/>
                <w:highlight w:val="none"/>
              </w:rPr>
              <w:t>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单位公章（相同的保险合同号只算一</w:t>
            </w:r>
            <w:r>
              <w:rPr>
                <w:rFonts w:hint="eastAsia" w:ascii="宋体" w:hAnsi="宋体" w:cs="宋体"/>
                <w:color w:val="auto"/>
                <w:sz w:val="21"/>
                <w:szCs w:val="21"/>
                <w:highlight w:val="none"/>
                <w:lang w:val="en-US" w:eastAsia="zh-CN"/>
              </w:rPr>
              <w:t>件</w:t>
            </w:r>
            <w:r>
              <w:rPr>
                <w:rFonts w:hint="eastAsia" w:ascii="宋体" w:hAnsi="宋体" w:eastAsia="宋体" w:cs="宋体"/>
                <w:color w:val="auto"/>
                <w:sz w:val="21"/>
                <w:szCs w:val="21"/>
                <w:highlight w:val="none"/>
              </w:rPr>
              <w:t>）。</w:t>
            </w:r>
          </w:p>
        </w:tc>
      </w:tr>
      <w:tr w14:paraId="5994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jc w:val="center"/>
        </w:trPr>
        <w:tc>
          <w:tcPr>
            <w:tcW w:w="498" w:type="dxa"/>
            <w:noWrap w:val="0"/>
            <w:vAlign w:val="center"/>
          </w:tcPr>
          <w:p w14:paraId="6DCFD61F">
            <w:pPr>
              <w:widowControl/>
              <w:adjustRightInd w:val="0"/>
              <w:snapToGrid w:val="0"/>
              <w:spacing w:line="324"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028" w:type="dxa"/>
            <w:noWrap w:val="0"/>
            <w:vAlign w:val="center"/>
          </w:tcPr>
          <w:p w14:paraId="228183A9">
            <w:pPr>
              <w:adjustRightInd w:val="0"/>
              <w:snapToGrid w:val="0"/>
              <w:spacing w:line="324" w:lineRule="auto"/>
              <w:jc w:val="center"/>
              <w:rPr>
                <w:rFonts w:hint="eastAsia" w:ascii="宋体" w:hAnsi="宋体" w:eastAsia="宋体" w:cs="宋体"/>
                <w:sz w:val="21"/>
                <w:szCs w:val="21"/>
              </w:rPr>
            </w:pPr>
            <w:r>
              <w:rPr>
                <w:rFonts w:hint="eastAsia" w:ascii="宋体" w:hAnsi="宋体" w:eastAsia="宋体" w:cs="宋体"/>
                <w:sz w:val="21"/>
                <w:szCs w:val="21"/>
              </w:rPr>
              <w:t>具体保险保障</w:t>
            </w:r>
          </w:p>
        </w:tc>
        <w:tc>
          <w:tcPr>
            <w:tcW w:w="743" w:type="dxa"/>
            <w:noWrap w:val="0"/>
            <w:vAlign w:val="center"/>
          </w:tcPr>
          <w:p w14:paraId="6CCF1EC6">
            <w:pPr>
              <w:adjustRightInd w:val="0"/>
              <w:snapToGrid w:val="0"/>
              <w:spacing w:line="324" w:lineRule="auto"/>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25</w:t>
            </w:r>
          </w:p>
        </w:tc>
        <w:tc>
          <w:tcPr>
            <w:tcW w:w="900" w:type="dxa"/>
            <w:noWrap w:val="0"/>
            <w:vAlign w:val="center"/>
          </w:tcPr>
          <w:p w14:paraId="5149D5B4">
            <w:pPr>
              <w:widowControl/>
              <w:adjustRightInd w:val="0"/>
              <w:snapToGrid w:val="0"/>
              <w:spacing w:line="324"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w:t>
            </w:r>
          </w:p>
        </w:tc>
        <w:tc>
          <w:tcPr>
            <w:tcW w:w="2145" w:type="dxa"/>
            <w:noWrap w:val="0"/>
            <w:vAlign w:val="center"/>
          </w:tcPr>
          <w:p w14:paraId="6F49CD49">
            <w:pPr>
              <w:keepNext w:val="0"/>
              <w:keepLines w:val="0"/>
              <w:pageBreakBefore w:val="0"/>
              <w:widowControl w:val="0"/>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本项目各保障基本保额：</w:t>
            </w:r>
            <w:r>
              <w:rPr>
                <w:rFonts w:hint="eastAsia" w:ascii="宋体" w:hAnsi="宋体" w:eastAsia="宋体" w:cs="宋体"/>
                <w:b/>
                <w:bCs/>
                <w:color w:val="auto"/>
                <w:sz w:val="21"/>
                <w:szCs w:val="21"/>
                <w:highlight w:val="none"/>
              </w:rPr>
              <w:t>一、【在职民警】</w:t>
            </w:r>
          </w:p>
          <w:p w14:paraId="565745CD">
            <w:pPr>
              <w:keepNext w:val="0"/>
              <w:keepLines w:val="0"/>
              <w:pageBreakBefore w:val="0"/>
              <w:widowControl w:val="0"/>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（一）</w:t>
            </w:r>
            <w:r>
              <w:rPr>
                <w:rFonts w:hint="eastAsia" w:ascii="宋体" w:hAnsi="宋体" w:eastAsia="宋体" w:cs="宋体"/>
                <w:b/>
                <w:bCs/>
                <w:color w:val="auto"/>
                <w:sz w:val="21"/>
                <w:szCs w:val="21"/>
                <w:highlight w:val="none"/>
                <w:u w:val="single"/>
              </w:rPr>
              <w:t>意外保障：</w:t>
            </w:r>
            <w:r>
              <w:rPr>
                <w:rFonts w:hint="eastAsia" w:ascii="宋体" w:hAnsi="宋体" w:eastAsia="宋体" w:cs="宋体"/>
                <w:color w:val="auto"/>
                <w:sz w:val="21"/>
                <w:szCs w:val="21"/>
                <w:highlight w:val="none"/>
              </w:rPr>
              <w:t>1、非因公意外身故及伤残4万元，因公意外身故的8万元；2、意外住院和门诊医疗1万元（共用)。</w:t>
            </w:r>
          </w:p>
          <w:p w14:paraId="2E2C1674">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（二）</w:t>
            </w:r>
            <w:r>
              <w:rPr>
                <w:rFonts w:hint="eastAsia" w:ascii="宋体" w:hAnsi="宋体" w:eastAsia="宋体" w:cs="宋体"/>
                <w:b/>
                <w:bCs/>
                <w:color w:val="auto"/>
                <w:sz w:val="21"/>
                <w:szCs w:val="21"/>
                <w:highlight w:val="none"/>
                <w:u w:val="single"/>
              </w:rPr>
              <w:t>交通意外保障：</w:t>
            </w:r>
            <w:r>
              <w:rPr>
                <w:rFonts w:hint="eastAsia" w:ascii="宋体" w:hAnsi="宋体" w:eastAsia="宋体" w:cs="宋体"/>
                <w:color w:val="auto"/>
                <w:sz w:val="21"/>
                <w:szCs w:val="21"/>
                <w:highlight w:val="none"/>
              </w:rPr>
              <w:t>飞机50万元、轨道交通20万元、水上交通20万元、机动车10万元。</w:t>
            </w:r>
          </w:p>
          <w:p w14:paraId="341B0EDE">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（三）</w:t>
            </w:r>
            <w:r>
              <w:rPr>
                <w:rFonts w:hint="eastAsia" w:ascii="宋体" w:hAnsi="宋体" w:eastAsia="宋体" w:cs="宋体"/>
                <w:b/>
                <w:bCs/>
                <w:color w:val="auto"/>
                <w:sz w:val="21"/>
                <w:szCs w:val="21"/>
                <w:highlight w:val="none"/>
                <w:u w:val="single"/>
              </w:rPr>
              <w:t>疾病及重疾保障：</w:t>
            </w:r>
            <w:r>
              <w:rPr>
                <w:rFonts w:hint="eastAsia" w:ascii="宋体" w:hAnsi="宋体" w:eastAsia="宋体" w:cs="宋体"/>
                <w:color w:val="auto"/>
                <w:sz w:val="21"/>
                <w:szCs w:val="21"/>
                <w:highlight w:val="none"/>
              </w:rPr>
              <w:t>1、疾病身故1.5万元；2、住院补贴（含意外和疾病）30元/日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按180天计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；3、重大疾病4万元；4、重症监护津贴7.2万元（包括意外和疾病住院）。</w:t>
            </w:r>
          </w:p>
          <w:p w14:paraId="77A80452">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bidi="ar-SA"/>
              </w:rPr>
              <w:t>二、</w:t>
            </w:r>
            <w:r>
              <w:rPr>
                <w:rFonts w:hint="eastAsia" w:ascii="宋体" w:hAnsi="宋体" w:eastAsia="宋体" w:cs="宋体"/>
                <w:b/>
                <w:bCs/>
                <w:color w:val="auto"/>
                <w:sz w:val="21"/>
                <w:szCs w:val="21"/>
                <w:highlight w:val="none"/>
              </w:rPr>
              <w:t>【配偶及成年子女】</w:t>
            </w:r>
          </w:p>
          <w:p w14:paraId="5CE255B5">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（一）</w:t>
            </w:r>
            <w:r>
              <w:rPr>
                <w:rFonts w:hint="eastAsia" w:ascii="宋体" w:hAnsi="宋体" w:eastAsia="宋体" w:cs="宋体"/>
                <w:b/>
                <w:bCs/>
                <w:color w:val="auto"/>
                <w:sz w:val="21"/>
                <w:szCs w:val="21"/>
                <w:highlight w:val="none"/>
                <w:u w:val="single"/>
              </w:rPr>
              <w:t>意外保障：</w:t>
            </w:r>
            <w:r>
              <w:rPr>
                <w:rFonts w:hint="eastAsia" w:ascii="宋体" w:hAnsi="宋体" w:eastAsia="宋体" w:cs="宋体"/>
                <w:color w:val="auto"/>
                <w:sz w:val="21"/>
                <w:szCs w:val="21"/>
                <w:highlight w:val="none"/>
              </w:rPr>
              <w:t>1、意外身故及伤残4万元；2、意外住院和门诊医疗5000元（共用）。</w:t>
            </w:r>
          </w:p>
          <w:p w14:paraId="45BC6EC7">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（二）</w:t>
            </w:r>
            <w:r>
              <w:rPr>
                <w:rFonts w:hint="eastAsia" w:ascii="宋体" w:hAnsi="宋体" w:eastAsia="宋体" w:cs="宋体"/>
                <w:b/>
                <w:bCs/>
                <w:color w:val="auto"/>
                <w:sz w:val="21"/>
                <w:szCs w:val="21"/>
                <w:highlight w:val="none"/>
                <w:u w:val="single"/>
              </w:rPr>
              <w:t>疾病及重疾保障：</w:t>
            </w:r>
            <w:r>
              <w:rPr>
                <w:rFonts w:hint="eastAsia" w:ascii="宋体" w:hAnsi="宋体" w:eastAsia="宋体" w:cs="宋体"/>
                <w:color w:val="auto"/>
                <w:sz w:val="21"/>
                <w:szCs w:val="21"/>
                <w:highlight w:val="none"/>
              </w:rPr>
              <w:t>1、疾病身故1万元；2、疾病住院3000元；3、重大疾病4万元。</w:t>
            </w:r>
          </w:p>
          <w:p w14:paraId="6BB6D574">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bidi="ar-SA"/>
              </w:rPr>
              <w:t>四、</w:t>
            </w:r>
            <w:r>
              <w:rPr>
                <w:rFonts w:hint="eastAsia" w:ascii="宋体" w:hAnsi="宋体" w:eastAsia="宋体" w:cs="宋体"/>
                <w:b/>
                <w:bCs/>
                <w:color w:val="auto"/>
                <w:sz w:val="21"/>
                <w:szCs w:val="21"/>
                <w:highlight w:val="none"/>
              </w:rPr>
              <w:t>【未成年子女】</w:t>
            </w:r>
          </w:p>
          <w:p w14:paraId="361271E9">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（一）</w:t>
            </w:r>
            <w:r>
              <w:rPr>
                <w:rFonts w:hint="eastAsia" w:ascii="宋体" w:hAnsi="宋体" w:eastAsia="宋体" w:cs="宋体"/>
                <w:b/>
                <w:bCs/>
                <w:color w:val="auto"/>
                <w:sz w:val="21"/>
                <w:szCs w:val="21"/>
                <w:highlight w:val="none"/>
                <w:u w:val="single"/>
              </w:rPr>
              <w:t>意外保障：</w:t>
            </w:r>
            <w:r>
              <w:rPr>
                <w:rFonts w:hint="eastAsia" w:ascii="宋体" w:hAnsi="宋体" w:eastAsia="宋体" w:cs="宋体"/>
                <w:color w:val="auto"/>
                <w:sz w:val="21"/>
                <w:szCs w:val="21"/>
                <w:highlight w:val="none"/>
              </w:rPr>
              <w:t>1、意外身故及伤残5万元；2、意外住院医疗1万元。</w:t>
            </w:r>
          </w:p>
          <w:p w14:paraId="6C457210">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（二）</w:t>
            </w:r>
            <w:r>
              <w:rPr>
                <w:rFonts w:hint="eastAsia" w:ascii="宋体" w:hAnsi="宋体" w:eastAsia="宋体" w:cs="宋体"/>
                <w:b/>
                <w:bCs/>
                <w:color w:val="auto"/>
                <w:sz w:val="21"/>
                <w:szCs w:val="21"/>
                <w:highlight w:val="none"/>
                <w:u w:val="single"/>
              </w:rPr>
              <w:t>疾病及重疾保障：</w:t>
            </w:r>
            <w:r>
              <w:rPr>
                <w:rFonts w:hint="eastAsia" w:ascii="宋体" w:hAnsi="宋体" w:eastAsia="宋体" w:cs="宋体"/>
                <w:color w:val="auto"/>
                <w:sz w:val="21"/>
                <w:szCs w:val="21"/>
                <w:highlight w:val="none"/>
              </w:rPr>
              <w:t>1、疾病身故1万元；2、疾病住院2万元；3、重大疾病4万元。</w:t>
            </w:r>
          </w:p>
        </w:tc>
        <w:tc>
          <w:tcPr>
            <w:tcW w:w="3430" w:type="dxa"/>
            <w:noWrap w:val="0"/>
            <w:vAlign w:val="center"/>
          </w:tcPr>
          <w:p w14:paraId="04489188">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在基本保障基础上，满足下列要求可加分：</w:t>
            </w:r>
            <w:r>
              <w:rPr>
                <w:rFonts w:hint="eastAsia" w:ascii="宋体" w:hAnsi="宋体" w:eastAsia="宋体" w:cs="宋体"/>
                <w:b/>
                <w:bCs/>
                <w:color w:val="auto"/>
                <w:sz w:val="21"/>
                <w:szCs w:val="21"/>
                <w:highlight w:val="none"/>
              </w:rPr>
              <w:t>一、【在职民警】</w:t>
            </w:r>
            <w:r>
              <w:rPr>
                <w:rFonts w:hint="eastAsia" w:ascii="宋体" w:hAnsi="宋体" w:eastAsia="宋体" w:cs="宋体"/>
                <w:color w:val="auto"/>
                <w:sz w:val="21"/>
                <w:szCs w:val="21"/>
                <w:highlight w:val="none"/>
              </w:rPr>
              <w:t>1、非因公意外身故及伤残，在基本保额基础上每增加5000元得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分；2、因公意外身故的，在基本保额基础上每增加10000元得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分；3、疾病身故，在基本保额基础上每增加2500元得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分；4、住院津贴，在基本保额</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30元/日</w:t>
            </w:r>
            <w:r>
              <w:rPr>
                <w:rFonts w:hint="eastAsia" w:ascii="宋体" w:hAnsi="宋体" w:cs="宋体"/>
                <w:color w:val="auto"/>
                <w:sz w:val="21"/>
                <w:szCs w:val="21"/>
                <w:highlight w:val="none"/>
                <w:lang w:val="en-US" w:eastAsia="zh-CN"/>
              </w:rPr>
              <w:t>*180天</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基础上每增加1800元得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分；5、重大疾病，在基本保额基础上每增加5000元得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分；6、重症监护津贴，在基本保额基础上每增加9000元得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A1E67EC">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二、</w:t>
            </w:r>
            <w:r>
              <w:rPr>
                <w:rFonts w:hint="eastAsia" w:ascii="宋体" w:hAnsi="宋体" w:eastAsia="宋体" w:cs="宋体"/>
                <w:b/>
                <w:bCs/>
                <w:color w:val="auto"/>
                <w:sz w:val="21"/>
                <w:szCs w:val="21"/>
                <w:highlight w:val="none"/>
              </w:rPr>
              <w:t>【配偶及成年子女】</w:t>
            </w:r>
            <w:r>
              <w:rPr>
                <w:rFonts w:hint="eastAsia" w:ascii="宋体" w:hAnsi="宋体" w:eastAsia="宋体" w:cs="宋体"/>
                <w:color w:val="auto"/>
                <w:sz w:val="21"/>
                <w:szCs w:val="21"/>
                <w:highlight w:val="none"/>
              </w:rPr>
              <w:t>1、意外身故及伤残，在基本保额基础上每增加5000元得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分；2、重大疾病，在基本保额基础上每增加5000元得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A4D1C05">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三、</w:t>
            </w:r>
            <w:r>
              <w:rPr>
                <w:rFonts w:hint="eastAsia" w:ascii="宋体" w:hAnsi="宋体" w:eastAsia="宋体" w:cs="宋体"/>
                <w:b/>
                <w:bCs/>
                <w:color w:val="auto"/>
                <w:sz w:val="21"/>
                <w:szCs w:val="21"/>
                <w:highlight w:val="none"/>
              </w:rPr>
              <w:t>【未成年子女】</w:t>
            </w:r>
            <w:r>
              <w:rPr>
                <w:rFonts w:hint="eastAsia" w:ascii="宋体" w:hAnsi="宋体" w:eastAsia="宋体" w:cs="宋体"/>
                <w:color w:val="auto"/>
                <w:sz w:val="21"/>
                <w:szCs w:val="21"/>
                <w:highlight w:val="none"/>
              </w:rPr>
              <w:t>1、疾病住院，在基本保额基础上每增加5000元得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分；2、重大疾病，在基本保额基础上每增加5000元得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0FCBF58">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四、</w:t>
            </w:r>
            <w:r>
              <w:rPr>
                <w:rFonts w:hint="eastAsia" w:ascii="宋体" w:hAnsi="宋体" w:eastAsia="宋体" w:cs="宋体"/>
                <w:b/>
                <w:bCs/>
                <w:color w:val="auto"/>
                <w:sz w:val="21"/>
                <w:szCs w:val="21"/>
                <w:highlight w:val="none"/>
              </w:rPr>
              <w:t>【增值项加分】</w:t>
            </w:r>
            <w:r>
              <w:rPr>
                <w:rFonts w:hint="eastAsia" w:ascii="宋体" w:hAnsi="宋体" w:eastAsia="宋体" w:cs="宋体"/>
                <w:color w:val="auto"/>
                <w:sz w:val="21"/>
                <w:szCs w:val="21"/>
                <w:highlight w:val="none"/>
              </w:rPr>
              <w:t>：民警因公致残的，按工伤标准进行评定，十级残赔付比例为10%，每高一级，按10%进行递增，一级残为100%，可得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E140EDE">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五、</w:t>
            </w:r>
            <w:r>
              <w:rPr>
                <w:rFonts w:hint="eastAsia" w:ascii="宋体" w:hAnsi="宋体" w:eastAsia="宋体" w:cs="宋体"/>
                <w:color w:val="auto"/>
                <w:sz w:val="21"/>
                <w:szCs w:val="21"/>
                <w:highlight w:val="none"/>
              </w:rPr>
              <w:t>上述四项最高得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14:paraId="53FB3F00">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p>
        </w:tc>
        <w:tc>
          <w:tcPr>
            <w:tcW w:w="2153" w:type="dxa"/>
            <w:noWrap w:val="0"/>
            <w:vAlign w:val="center"/>
          </w:tcPr>
          <w:p w14:paraId="419D0764">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承诺书。</w:t>
            </w:r>
          </w:p>
          <w:p w14:paraId="431F4B05">
            <w:pPr>
              <w:keepNext w:val="0"/>
              <w:keepLines w:val="0"/>
              <w:pageBreakBefore w:val="0"/>
              <w:widowControl/>
              <w:numPr>
                <w:ilvl w:val="0"/>
                <w:numId w:val="0"/>
              </w:numPr>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各保障责任必须完</w:t>
            </w:r>
            <w:r>
              <w:rPr>
                <w:rFonts w:hint="eastAsia" w:ascii="宋体" w:hAnsi="宋体" w:cs="宋体"/>
                <w:color w:val="auto"/>
                <w:sz w:val="21"/>
                <w:szCs w:val="21"/>
                <w:highlight w:val="none"/>
                <w:lang w:val="en-US" w:eastAsia="zh-CN"/>
              </w:rPr>
              <w:t>全</w:t>
            </w:r>
            <w:r>
              <w:rPr>
                <w:rFonts w:hint="eastAsia" w:ascii="宋体" w:hAnsi="宋体" w:eastAsia="宋体" w:cs="宋体"/>
                <w:color w:val="auto"/>
                <w:sz w:val="21"/>
                <w:szCs w:val="21"/>
                <w:highlight w:val="none"/>
              </w:rPr>
              <w:t>响应第三章保险需求的各规定，不完全响应</w:t>
            </w:r>
            <w:r>
              <w:rPr>
                <w:rFonts w:hint="eastAsia" w:ascii="宋体" w:hAnsi="宋体" w:cs="宋体"/>
                <w:color w:val="auto"/>
                <w:sz w:val="21"/>
                <w:szCs w:val="21"/>
                <w:highlight w:val="none"/>
                <w:lang w:val="en-US" w:eastAsia="zh-CN"/>
              </w:rPr>
              <w:t>符合性审查不通过</w:t>
            </w:r>
            <w:r>
              <w:rPr>
                <w:rFonts w:hint="eastAsia" w:ascii="宋体" w:hAnsi="宋体" w:eastAsia="宋体" w:cs="宋体"/>
                <w:color w:val="auto"/>
                <w:sz w:val="21"/>
                <w:szCs w:val="21"/>
                <w:highlight w:val="none"/>
              </w:rPr>
              <w:t>。</w:t>
            </w:r>
          </w:p>
        </w:tc>
      </w:tr>
      <w:tr w14:paraId="2F3A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498" w:type="dxa"/>
            <w:vMerge w:val="restart"/>
            <w:noWrap w:val="0"/>
            <w:vAlign w:val="center"/>
          </w:tcPr>
          <w:p w14:paraId="7EF76A73">
            <w:pPr>
              <w:adjustRightInd w:val="0"/>
              <w:snapToGrid w:val="0"/>
              <w:spacing w:line="324" w:lineRule="auto"/>
              <w:jc w:val="center"/>
              <w:rPr>
                <w:rFonts w:hint="eastAsia" w:ascii="宋体" w:hAnsi="宋体" w:eastAsia="宋体" w:cs="宋体"/>
                <w:sz w:val="21"/>
                <w:szCs w:val="21"/>
              </w:rPr>
            </w:pPr>
            <w:r>
              <w:rPr>
                <w:rFonts w:hint="eastAsia" w:ascii="宋体" w:hAnsi="宋体" w:eastAsia="宋体" w:cs="宋体"/>
                <w:b w:val="0"/>
                <w:bCs/>
                <w:sz w:val="21"/>
                <w:szCs w:val="21"/>
              </w:rPr>
              <w:t>3</w:t>
            </w:r>
          </w:p>
        </w:tc>
        <w:tc>
          <w:tcPr>
            <w:tcW w:w="1028" w:type="dxa"/>
            <w:vMerge w:val="restart"/>
            <w:noWrap w:val="0"/>
            <w:vAlign w:val="center"/>
          </w:tcPr>
          <w:p w14:paraId="54D24DFF">
            <w:pPr>
              <w:adjustRightInd w:val="0"/>
              <w:snapToGrid w:val="0"/>
              <w:spacing w:line="324" w:lineRule="auto"/>
              <w:jc w:val="center"/>
              <w:rPr>
                <w:rFonts w:hint="eastAsia" w:ascii="宋体" w:hAnsi="宋体" w:eastAsia="宋体" w:cs="宋体"/>
                <w:sz w:val="21"/>
                <w:szCs w:val="21"/>
              </w:rPr>
            </w:pPr>
            <w:r>
              <w:rPr>
                <w:rFonts w:hint="eastAsia" w:ascii="宋体" w:hAnsi="宋体" w:eastAsia="宋体" w:cs="宋体"/>
                <w:sz w:val="21"/>
                <w:szCs w:val="21"/>
              </w:rPr>
              <w:t>承保服务理赔能力</w:t>
            </w:r>
          </w:p>
        </w:tc>
        <w:tc>
          <w:tcPr>
            <w:tcW w:w="743" w:type="dxa"/>
            <w:vMerge w:val="restart"/>
            <w:noWrap w:val="0"/>
            <w:vAlign w:val="center"/>
          </w:tcPr>
          <w:p w14:paraId="33CCF4C1">
            <w:pPr>
              <w:widowControl/>
              <w:adjustRightInd w:val="0"/>
              <w:snapToGrid w:val="0"/>
              <w:spacing w:line="324"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7</w:t>
            </w:r>
          </w:p>
        </w:tc>
        <w:tc>
          <w:tcPr>
            <w:tcW w:w="900" w:type="dxa"/>
            <w:noWrap w:val="0"/>
            <w:vAlign w:val="center"/>
          </w:tcPr>
          <w:p w14:paraId="25130F84">
            <w:pPr>
              <w:widowControl/>
              <w:adjustRightInd w:val="0"/>
              <w:snapToGrid w:val="0"/>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2145" w:type="dxa"/>
            <w:noWrap w:val="0"/>
            <w:vAlign w:val="center"/>
          </w:tcPr>
          <w:p w14:paraId="7431AA75">
            <w:pPr>
              <w:keepNext w:val="0"/>
              <w:keepLines w:val="0"/>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成立服务团队</w:t>
            </w:r>
          </w:p>
        </w:tc>
        <w:tc>
          <w:tcPr>
            <w:tcW w:w="3430" w:type="dxa"/>
            <w:tcBorders>
              <w:top w:val="single" w:color="auto" w:sz="4" w:space="0"/>
              <w:left w:val="nil"/>
              <w:bottom w:val="single" w:color="auto" w:sz="4" w:space="0"/>
              <w:right w:val="single" w:color="000000" w:sz="4" w:space="0"/>
            </w:tcBorders>
            <w:noWrap w:val="0"/>
            <w:vAlign w:val="center"/>
          </w:tcPr>
          <w:p w14:paraId="2533B3BF">
            <w:pPr>
              <w:keepNext w:val="0"/>
              <w:keepLines w:val="0"/>
              <w:pageBreakBefore w:val="0"/>
              <w:widowControl/>
              <w:kinsoku/>
              <w:wordWrap/>
              <w:overflowPunct/>
              <w:topLinePunct w:val="0"/>
              <w:autoSpaceDE/>
              <w:autoSpaceDN/>
              <w:bidi w:val="0"/>
              <w:snapToGrid/>
              <w:spacing w:line="3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供应商成立专项的承保服务团队和理赔服务团队，根据人员配置情况的合理性全面性打分。</w:t>
            </w:r>
          </w:p>
          <w:p w14:paraId="6D29A3F5">
            <w:pPr>
              <w:keepNext w:val="0"/>
              <w:keepLines w:val="0"/>
              <w:pageBreakBefore w:val="0"/>
              <w:widowControl/>
              <w:kinsoku/>
              <w:wordWrap/>
              <w:overflowPunct/>
              <w:topLinePunct w:val="0"/>
              <w:autoSpaceDE/>
              <w:autoSpaceDN/>
              <w:bidi w:val="0"/>
              <w:snapToGrid/>
              <w:spacing w:line="3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专项</w:t>
            </w:r>
            <w:r>
              <w:rPr>
                <w:rFonts w:hint="eastAsia" w:ascii="宋体" w:hAnsi="宋体" w:cs="宋体"/>
                <w:color w:val="auto"/>
                <w:sz w:val="21"/>
                <w:szCs w:val="21"/>
                <w:lang w:val="en-US" w:eastAsia="zh-CN"/>
              </w:rPr>
              <w:t>团队</w:t>
            </w:r>
            <w:r>
              <w:rPr>
                <w:rFonts w:hint="eastAsia" w:ascii="宋体" w:hAnsi="宋体" w:eastAsia="宋体" w:cs="宋体"/>
                <w:color w:val="auto"/>
                <w:sz w:val="21"/>
                <w:szCs w:val="21"/>
                <w:lang w:val="en-US" w:eastAsia="zh-CN"/>
              </w:rPr>
              <w:t>服务有效合理、团队人员配置合理、操作性强的得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分；</w:t>
            </w:r>
          </w:p>
          <w:p w14:paraId="42CE516E">
            <w:pPr>
              <w:keepNext w:val="0"/>
              <w:keepLines w:val="0"/>
              <w:pageBreakBefore w:val="0"/>
              <w:widowControl/>
              <w:kinsoku/>
              <w:wordWrap/>
              <w:overflowPunct/>
              <w:topLinePunct w:val="0"/>
              <w:autoSpaceDE/>
              <w:autoSpaceDN/>
              <w:bidi w:val="0"/>
              <w:snapToGrid/>
              <w:spacing w:line="3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专项</w:t>
            </w:r>
            <w:r>
              <w:rPr>
                <w:rFonts w:hint="eastAsia" w:ascii="宋体" w:hAnsi="宋体" w:cs="宋体"/>
                <w:color w:val="auto"/>
                <w:sz w:val="21"/>
                <w:szCs w:val="21"/>
                <w:lang w:val="en-US" w:eastAsia="zh-CN"/>
              </w:rPr>
              <w:t>团队</w:t>
            </w:r>
            <w:r>
              <w:rPr>
                <w:rFonts w:hint="eastAsia" w:ascii="宋体" w:hAnsi="宋体" w:eastAsia="宋体" w:cs="宋体"/>
                <w:color w:val="auto"/>
                <w:sz w:val="21"/>
                <w:szCs w:val="21"/>
                <w:lang w:val="en-US" w:eastAsia="zh-CN"/>
              </w:rPr>
              <w:t>服务</w:t>
            </w:r>
            <w:r>
              <w:rPr>
                <w:rFonts w:hint="eastAsia" w:ascii="宋体" w:hAnsi="宋体" w:cs="宋体"/>
                <w:color w:val="auto"/>
                <w:sz w:val="21"/>
                <w:szCs w:val="21"/>
                <w:lang w:val="en-US" w:eastAsia="zh-CN"/>
              </w:rPr>
              <w:t>较合理、</w:t>
            </w:r>
            <w:r>
              <w:rPr>
                <w:rFonts w:hint="eastAsia" w:ascii="宋体" w:hAnsi="宋体" w:eastAsia="宋体" w:cs="宋体"/>
                <w:color w:val="auto"/>
                <w:sz w:val="21"/>
                <w:szCs w:val="21"/>
                <w:lang w:val="en-US" w:eastAsia="zh-CN"/>
              </w:rPr>
              <w:t>团队人员配置</w:t>
            </w:r>
            <w:r>
              <w:rPr>
                <w:rFonts w:hint="eastAsia" w:ascii="宋体" w:hAnsi="宋体" w:cs="宋体"/>
                <w:color w:val="auto"/>
                <w:sz w:val="21"/>
                <w:szCs w:val="21"/>
                <w:lang w:val="en-US" w:eastAsia="zh-CN"/>
              </w:rPr>
              <w:t>基本</w:t>
            </w:r>
            <w:r>
              <w:rPr>
                <w:rFonts w:hint="eastAsia" w:ascii="宋体" w:hAnsi="宋体" w:eastAsia="宋体" w:cs="宋体"/>
                <w:color w:val="auto"/>
                <w:sz w:val="21"/>
                <w:szCs w:val="21"/>
                <w:lang w:val="en-US" w:eastAsia="zh-CN"/>
              </w:rPr>
              <w:t>符合要求、有一定的操作性得</w:t>
            </w: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分；</w:t>
            </w:r>
          </w:p>
          <w:p w14:paraId="7B5B90D8">
            <w:pPr>
              <w:keepNext w:val="0"/>
              <w:keepLines w:val="0"/>
              <w:pageBreakBefore w:val="0"/>
              <w:widowControl/>
              <w:kinsoku/>
              <w:wordWrap/>
              <w:overflowPunct/>
              <w:topLinePunct w:val="0"/>
              <w:autoSpaceDE/>
              <w:autoSpaceDN/>
              <w:bidi w:val="0"/>
              <w:snapToGrid/>
              <w:spacing w:line="3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专项</w:t>
            </w:r>
            <w:r>
              <w:rPr>
                <w:rFonts w:hint="eastAsia" w:ascii="宋体" w:hAnsi="宋体" w:cs="宋体"/>
                <w:color w:val="auto"/>
                <w:sz w:val="21"/>
                <w:szCs w:val="21"/>
                <w:lang w:val="en-US" w:eastAsia="zh-CN"/>
              </w:rPr>
              <w:t>团队</w:t>
            </w:r>
            <w:r>
              <w:rPr>
                <w:rFonts w:hint="eastAsia" w:ascii="宋体" w:hAnsi="宋体" w:eastAsia="宋体" w:cs="宋体"/>
                <w:color w:val="auto"/>
                <w:sz w:val="21"/>
                <w:szCs w:val="21"/>
                <w:lang w:val="en-US" w:eastAsia="zh-CN"/>
              </w:rPr>
              <w:t>服务</w:t>
            </w:r>
            <w:r>
              <w:rPr>
                <w:rFonts w:hint="eastAsia" w:ascii="宋体" w:hAnsi="宋体" w:cs="宋体"/>
                <w:color w:val="auto"/>
                <w:sz w:val="21"/>
                <w:szCs w:val="21"/>
                <w:lang w:val="en-US" w:eastAsia="zh-CN"/>
              </w:rPr>
              <w:t>一般</w:t>
            </w:r>
            <w:r>
              <w:rPr>
                <w:rFonts w:hint="eastAsia" w:ascii="宋体" w:hAnsi="宋体" w:eastAsia="宋体" w:cs="宋体"/>
                <w:color w:val="auto"/>
                <w:sz w:val="21"/>
                <w:szCs w:val="21"/>
                <w:lang w:val="en-US" w:eastAsia="zh-CN"/>
              </w:rPr>
              <w:t>，团队人员配置不合理、可行性有所欠缺得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分；</w:t>
            </w:r>
          </w:p>
          <w:p w14:paraId="1D97D188">
            <w:pPr>
              <w:keepNext w:val="0"/>
              <w:keepLines w:val="0"/>
              <w:pageBreakBefore w:val="0"/>
              <w:widowControl/>
              <w:kinsoku/>
              <w:wordWrap/>
              <w:overflowPunct/>
              <w:topLinePunct w:val="0"/>
              <w:autoSpaceDE/>
              <w:autoSpaceDN/>
              <w:bidi w:val="0"/>
              <w:snapToGrid/>
              <w:spacing w:line="38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未提供承诺不得分。</w:t>
            </w:r>
          </w:p>
        </w:tc>
        <w:tc>
          <w:tcPr>
            <w:tcW w:w="2153" w:type="dxa"/>
            <w:tcBorders>
              <w:top w:val="nil"/>
              <w:left w:val="nil"/>
              <w:bottom w:val="single" w:color="auto" w:sz="4" w:space="0"/>
              <w:right w:val="single" w:color="auto" w:sz="4" w:space="0"/>
            </w:tcBorders>
            <w:noWrap w:val="0"/>
            <w:vAlign w:val="center"/>
          </w:tcPr>
          <w:p w14:paraId="0E7F9551">
            <w:pPr>
              <w:keepNext w:val="0"/>
              <w:keepLines w:val="0"/>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需提供相应承诺并盖供应商公章，不提供不得分。</w:t>
            </w:r>
          </w:p>
        </w:tc>
      </w:tr>
      <w:tr w14:paraId="155F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98" w:type="dxa"/>
            <w:vMerge w:val="continue"/>
            <w:noWrap w:val="0"/>
            <w:vAlign w:val="center"/>
          </w:tcPr>
          <w:p w14:paraId="63E7E863">
            <w:pPr>
              <w:adjustRightInd w:val="0"/>
              <w:snapToGrid w:val="0"/>
              <w:spacing w:line="324" w:lineRule="auto"/>
              <w:jc w:val="left"/>
              <w:rPr>
                <w:rFonts w:hint="eastAsia" w:ascii="宋体" w:hAnsi="宋体" w:eastAsia="宋体" w:cs="宋体"/>
                <w:b/>
                <w:sz w:val="21"/>
                <w:szCs w:val="21"/>
              </w:rPr>
            </w:pPr>
          </w:p>
        </w:tc>
        <w:tc>
          <w:tcPr>
            <w:tcW w:w="1028" w:type="dxa"/>
            <w:vMerge w:val="continue"/>
            <w:noWrap w:val="0"/>
            <w:vAlign w:val="center"/>
          </w:tcPr>
          <w:p w14:paraId="012C04EC">
            <w:pPr>
              <w:adjustRightInd w:val="0"/>
              <w:snapToGrid w:val="0"/>
              <w:spacing w:line="324" w:lineRule="auto"/>
              <w:jc w:val="center"/>
              <w:rPr>
                <w:rFonts w:hint="eastAsia" w:ascii="宋体" w:hAnsi="宋体" w:eastAsia="宋体" w:cs="宋体"/>
                <w:sz w:val="21"/>
                <w:szCs w:val="21"/>
              </w:rPr>
            </w:pPr>
          </w:p>
        </w:tc>
        <w:tc>
          <w:tcPr>
            <w:tcW w:w="743" w:type="dxa"/>
            <w:vMerge w:val="continue"/>
            <w:noWrap w:val="0"/>
            <w:vAlign w:val="center"/>
          </w:tcPr>
          <w:p w14:paraId="4B73A9EF">
            <w:pPr>
              <w:widowControl/>
              <w:adjustRightInd w:val="0"/>
              <w:snapToGrid w:val="0"/>
              <w:spacing w:line="324" w:lineRule="auto"/>
              <w:jc w:val="center"/>
              <w:rPr>
                <w:rFonts w:hint="eastAsia" w:ascii="宋体" w:hAnsi="宋体" w:eastAsia="宋体" w:cs="宋体"/>
                <w:sz w:val="21"/>
                <w:szCs w:val="21"/>
              </w:rPr>
            </w:pPr>
          </w:p>
        </w:tc>
        <w:tc>
          <w:tcPr>
            <w:tcW w:w="900" w:type="dxa"/>
            <w:noWrap w:val="0"/>
            <w:vAlign w:val="center"/>
          </w:tcPr>
          <w:p w14:paraId="0E17C9B1">
            <w:pPr>
              <w:widowControl/>
              <w:adjustRightInd w:val="0"/>
              <w:snapToGrid w:val="0"/>
              <w:spacing w:line="360" w:lineRule="exact"/>
              <w:jc w:val="center"/>
              <w:rPr>
                <w:rFonts w:hint="default" w:ascii="宋体" w:hAnsi="宋体" w:eastAsia="宋体" w:cs="宋体"/>
                <w:color w:val="C0504D" w:themeColor="accent2"/>
                <w:sz w:val="21"/>
                <w:szCs w:val="21"/>
                <w:lang w:val="en-US" w:eastAsia="zh-CN"/>
                <w14:textFill>
                  <w14:solidFill>
                    <w14:schemeClr w14:val="accent2"/>
                  </w14:solidFill>
                </w14:textFill>
              </w:rPr>
            </w:pPr>
            <w:r>
              <w:rPr>
                <w:rFonts w:hint="eastAsia" w:ascii="宋体" w:hAnsi="宋体" w:cs="宋体"/>
                <w:color w:val="auto"/>
                <w:sz w:val="21"/>
                <w:szCs w:val="21"/>
                <w:lang w:val="en-US" w:eastAsia="zh-CN"/>
              </w:rPr>
              <w:t>12</w:t>
            </w:r>
          </w:p>
        </w:tc>
        <w:tc>
          <w:tcPr>
            <w:tcW w:w="2145" w:type="dxa"/>
            <w:noWrap w:val="0"/>
            <w:vAlign w:val="center"/>
          </w:tcPr>
          <w:p w14:paraId="5D4D94D2">
            <w:pPr>
              <w:keepNext w:val="0"/>
              <w:keepLines w:val="0"/>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理赔服务</w:t>
            </w:r>
            <w:r>
              <w:rPr>
                <w:rFonts w:hint="eastAsia" w:ascii="宋体" w:hAnsi="宋体" w:cs="宋体"/>
                <w:sz w:val="21"/>
                <w:szCs w:val="21"/>
                <w:lang w:val="en-US" w:eastAsia="zh-CN"/>
              </w:rPr>
              <w:t>方案</w:t>
            </w:r>
          </w:p>
        </w:tc>
        <w:tc>
          <w:tcPr>
            <w:tcW w:w="3430" w:type="dxa"/>
            <w:tcBorders>
              <w:top w:val="single" w:color="auto" w:sz="4" w:space="0"/>
              <w:left w:val="nil"/>
              <w:bottom w:val="single" w:color="auto" w:sz="4" w:space="0"/>
              <w:right w:val="single" w:color="000000" w:sz="4" w:space="0"/>
            </w:tcBorders>
            <w:noWrap w:val="0"/>
            <w:vAlign w:val="center"/>
          </w:tcPr>
          <w:p w14:paraId="3DB08C51">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根据供应商在磋商方案中陈述的</w:t>
            </w:r>
            <w:r>
              <w:rPr>
                <w:rFonts w:hint="eastAsia" w:ascii="宋体" w:hAnsi="宋体" w:cs="宋体"/>
                <w:sz w:val="21"/>
                <w:szCs w:val="21"/>
                <w:lang w:val="en-US" w:eastAsia="zh-CN"/>
              </w:rPr>
              <w:t>理赔服务保障措施、</w:t>
            </w:r>
            <w:r>
              <w:rPr>
                <w:rFonts w:hint="eastAsia" w:ascii="宋体" w:hAnsi="宋体" w:eastAsia="宋体" w:cs="宋体"/>
                <w:sz w:val="21"/>
                <w:szCs w:val="21"/>
                <w:lang w:val="en-US" w:eastAsia="zh-CN"/>
              </w:rPr>
              <w:t>提高理赔满意度、争议处理的保障措施及有效投诉的处罚措施和标准的进行打分。</w:t>
            </w:r>
          </w:p>
          <w:p w14:paraId="189BA188">
            <w:pPr>
              <w:pStyle w:val="9"/>
              <w:keepNext w:val="0"/>
              <w:keepLines w:val="0"/>
              <w:pageBreakBefore w:val="0"/>
              <w:widowControl w:val="0"/>
              <w:kinsoku/>
              <w:wordWrap/>
              <w:overflowPunct/>
              <w:topLinePunct w:val="0"/>
              <w:autoSpaceDE/>
              <w:autoSpaceDN/>
              <w:bidi w:val="0"/>
              <w:snapToGrid/>
              <w:spacing w:before="0" w:after="0" w:line="380" w:lineRule="exact"/>
              <w:ind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方案合理有效、保证措施完整、对有效投诉处理措施和标准合理且有针对性得12分；</w:t>
            </w:r>
          </w:p>
          <w:p w14:paraId="26EA685A">
            <w:pPr>
              <w:pStyle w:val="9"/>
              <w:keepNext w:val="0"/>
              <w:keepLines w:val="0"/>
              <w:pageBreakBefore w:val="0"/>
              <w:widowControl w:val="0"/>
              <w:kinsoku/>
              <w:wordWrap/>
              <w:overflowPunct/>
              <w:topLinePunct w:val="0"/>
              <w:autoSpaceDE/>
              <w:autoSpaceDN/>
              <w:bidi w:val="0"/>
              <w:snapToGrid/>
              <w:spacing w:before="0" w:after="0" w:line="380" w:lineRule="exact"/>
              <w:ind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方案较为合理、保证措施较完整、对有效投诉处理措施和标准较合理且针对性一般得8分；</w:t>
            </w:r>
          </w:p>
          <w:p w14:paraId="307E6B1F">
            <w:pPr>
              <w:pStyle w:val="9"/>
              <w:keepNext w:val="0"/>
              <w:keepLines w:val="0"/>
              <w:pageBreakBefore w:val="0"/>
              <w:widowControl w:val="0"/>
              <w:kinsoku/>
              <w:wordWrap/>
              <w:overflowPunct/>
              <w:topLinePunct w:val="0"/>
              <w:autoSpaceDE/>
              <w:autoSpaceDN/>
              <w:bidi w:val="0"/>
              <w:snapToGrid/>
              <w:spacing w:before="0" w:after="0" w:line="380" w:lineRule="exact"/>
              <w:ind w:firstLine="420" w:firstLineChars="200"/>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方案合理性一般、保证措施合不完整、对有效投诉处理措施和标准合理性一般且针对性不强得4分；</w:t>
            </w:r>
          </w:p>
          <w:p w14:paraId="2989C679">
            <w:pPr>
              <w:keepNext w:val="0"/>
              <w:keepLines w:val="0"/>
              <w:pageBreakBefore w:val="0"/>
              <w:widowControl w:val="0"/>
              <w:kinsoku/>
              <w:wordWrap/>
              <w:overflowPunct/>
              <w:topLinePunct w:val="0"/>
              <w:autoSpaceDE/>
              <w:autoSpaceDN/>
              <w:bidi w:val="0"/>
              <w:snapToGrid/>
              <w:spacing w:line="380" w:lineRule="exact"/>
              <w:ind w:firstLine="420" w:firstLineChars="200"/>
              <w:textAlignment w:val="auto"/>
              <w:rPr>
                <w:rFonts w:hint="default"/>
                <w:lang w:val="en-US" w:eastAsia="zh-CN"/>
              </w:rPr>
            </w:pPr>
            <w:r>
              <w:rPr>
                <w:rFonts w:hint="eastAsia" w:ascii="宋体" w:hAnsi="宋体" w:eastAsia="宋体" w:cs="宋体"/>
                <w:sz w:val="21"/>
                <w:szCs w:val="21"/>
                <w:lang w:val="en-US" w:eastAsia="zh-CN"/>
              </w:rPr>
              <w:t>未提供承诺不得分。</w:t>
            </w:r>
          </w:p>
        </w:tc>
        <w:tc>
          <w:tcPr>
            <w:tcW w:w="2153" w:type="dxa"/>
            <w:tcBorders>
              <w:top w:val="nil"/>
              <w:left w:val="nil"/>
              <w:bottom w:val="single" w:color="auto" w:sz="4" w:space="0"/>
              <w:right w:val="single" w:color="auto" w:sz="4" w:space="0"/>
            </w:tcBorders>
            <w:noWrap w:val="0"/>
            <w:vAlign w:val="center"/>
          </w:tcPr>
          <w:p w14:paraId="6BBD6EED">
            <w:pPr>
              <w:keepNext w:val="0"/>
              <w:keepLines w:val="0"/>
              <w:pageBreakBefore w:val="0"/>
              <w:kinsoku/>
              <w:wordWrap/>
              <w:overflowPunct/>
              <w:topLinePunct w:val="0"/>
              <w:autoSpaceDE/>
              <w:autoSpaceDN/>
              <w:bidi w:val="0"/>
              <w:adjustRightInd w:val="0"/>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需提供相应理赔</w:t>
            </w:r>
            <w:r>
              <w:rPr>
                <w:rFonts w:hint="eastAsia" w:ascii="宋体" w:hAnsi="宋体" w:cs="宋体"/>
                <w:sz w:val="21"/>
                <w:szCs w:val="21"/>
                <w:lang w:val="en-US" w:eastAsia="zh-CN"/>
              </w:rPr>
              <w:t>服务方案</w:t>
            </w:r>
            <w:r>
              <w:rPr>
                <w:rFonts w:hint="eastAsia" w:ascii="宋体" w:hAnsi="宋体" w:eastAsia="宋体" w:cs="宋体"/>
                <w:sz w:val="21"/>
                <w:szCs w:val="21"/>
                <w:lang w:val="en-US" w:eastAsia="zh-CN"/>
              </w:rPr>
              <w:t>并盖供应商公章，不提供不得分。</w:t>
            </w:r>
          </w:p>
        </w:tc>
      </w:tr>
      <w:tr w14:paraId="1D50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8" w:type="dxa"/>
            <w:vMerge w:val="continue"/>
            <w:noWrap w:val="0"/>
            <w:vAlign w:val="center"/>
          </w:tcPr>
          <w:p w14:paraId="21AC64DC">
            <w:pPr>
              <w:adjustRightInd w:val="0"/>
              <w:snapToGrid w:val="0"/>
              <w:spacing w:line="324" w:lineRule="auto"/>
              <w:jc w:val="left"/>
              <w:rPr>
                <w:rFonts w:hint="eastAsia" w:ascii="宋体" w:hAnsi="宋体" w:eastAsia="宋体" w:cs="宋体"/>
                <w:b/>
                <w:sz w:val="21"/>
                <w:szCs w:val="21"/>
              </w:rPr>
            </w:pPr>
          </w:p>
        </w:tc>
        <w:tc>
          <w:tcPr>
            <w:tcW w:w="1028" w:type="dxa"/>
            <w:vMerge w:val="continue"/>
            <w:noWrap w:val="0"/>
            <w:vAlign w:val="center"/>
          </w:tcPr>
          <w:p w14:paraId="47430D01">
            <w:pPr>
              <w:adjustRightInd w:val="0"/>
              <w:snapToGrid w:val="0"/>
              <w:spacing w:line="324" w:lineRule="auto"/>
              <w:jc w:val="center"/>
              <w:rPr>
                <w:rFonts w:hint="eastAsia" w:ascii="宋体" w:hAnsi="宋体" w:eastAsia="宋体" w:cs="宋体"/>
                <w:sz w:val="21"/>
                <w:szCs w:val="21"/>
              </w:rPr>
            </w:pPr>
          </w:p>
        </w:tc>
        <w:tc>
          <w:tcPr>
            <w:tcW w:w="743" w:type="dxa"/>
            <w:vMerge w:val="continue"/>
            <w:noWrap w:val="0"/>
            <w:vAlign w:val="center"/>
          </w:tcPr>
          <w:p w14:paraId="3BC3A883">
            <w:pPr>
              <w:widowControl/>
              <w:adjustRightInd w:val="0"/>
              <w:snapToGrid w:val="0"/>
              <w:spacing w:line="324" w:lineRule="auto"/>
              <w:jc w:val="center"/>
              <w:rPr>
                <w:rFonts w:hint="eastAsia" w:ascii="宋体" w:hAnsi="宋体" w:eastAsia="宋体" w:cs="宋体"/>
                <w:sz w:val="21"/>
                <w:szCs w:val="21"/>
              </w:rPr>
            </w:pPr>
          </w:p>
        </w:tc>
        <w:tc>
          <w:tcPr>
            <w:tcW w:w="900" w:type="dxa"/>
            <w:noWrap w:val="0"/>
            <w:vAlign w:val="center"/>
          </w:tcPr>
          <w:p w14:paraId="7678EF88">
            <w:pPr>
              <w:widowControl/>
              <w:adjustRightInd w:val="0"/>
              <w:snapToGrid w:val="0"/>
              <w:spacing w:line="360" w:lineRule="exact"/>
              <w:jc w:val="center"/>
              <w:rPr>
                <w:rFonts w:hint="default" w:ascii="宋体" w:hAnsi="宋体" w:eastAsia="宋体" w:cs="宋体"/>
                <w:kern w:val="2"/>
                <w:sz w:val="21"/>
                <w:szCs w:val="21"/>
                <w:lang w:val="en-US" w:eastAsia="zh-CN" w:bidi="ar-SA"/>
              </w:rPr>
            </w:pPr>
            <w:r>
              <w:rPr>
                <w:rFonts w:hint="eastAsia" w:ascii="宋体" w:hAnsi="宋体" w:cs="宋体"/>
                <w:color w:val="auto"/>
                <w:sz w:val="21"/>
                <w:szCs w:val="21"/>
                <w:lang w:val="en-US" w:eastAsia="zh-CN"/>
              </w:rPr>
              <w:t>10</w:t>
            </w:r>
          </w:p>
        </w:tc>
        <w:tc>
          <w:tcPr>
            <w:tcW w:w="2145" w:type="dxa"/>
            <w:noWrap w:val="0"/>
            <w:vAlign w:val="center"/>
          </w:tcPr>
          <w:p w14:paraId="30A9E80C">
            <w:pPr>
              <w:keepNext w:val="0"/>
              <w:keepLines w:val="0"/>
              <w:pageBreakBefore w:val="0"/>
              <w:widowControl/>
              <w:kinsoku/>
              <w:wordWrap/>
              <w:overflowPunct/>
              <w:topLinePunct w:val="0"/>
              <w:autoSpaceDE/>
              <w:autoSpaceDN/>
              <w:bidi w:val="0"/>
              <w:adjustRightInd w:val="0"/>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保全服务能力</w:t>
            </w:r>
          </w:p>
        </w:tc>
        <w:tc>
          <w:tcPr>
            <w:tcW w:w="3430" w:type="dxa"/>
            <w:tcBorders>
              <w:top w:val="single" w:color="auto" w:sz="4" w:space="0"/>
              <w:left w:val="nil"/>
              <w:bottom w:val="single" w:color="auto" w:sz="4" w:space="0"/>
              <w:right w:val="single" w:color="000000" w:sz="4" w:space="0"/>
            </w:tcBorders>
            <w:noWrap w:val="0"/>
            <w:vAlign w:val="center"/>
          </w:tcPr>
          <w:p w14:paraId="74739C67">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（1）使用自有系统平台提供网上人员变更，提供快捷便利的服务体验,可实时加减人员得</w:t>
            </w:r>
            <w:r>
              <w:rPr>
                <w:rFonts w:hint="eastAsia" w:ascii="宋体" w:hAnsi="宋体" w:eastAsia="宋体" w:cs="宋体"/>
                <w:sz w:val="21"/>
                <w:szCs w:val="21"/>
                <w:lang w:val="en-US" w:eastAsia="zh-CN"/>
              </w:rPr>
              <w:t>2</w:t>
            </w:r>
            <w:r>
              <w:rPr>
                <w:rFonts w:hint="eastAsia" w:ascii="宋体" w:hAnsi="宋体" w:eastAsia="宋体" w:cs="宋体"/>
                <w:sz w:val="21"/>
                <w:szCs w:val="21"/>
              </w:rPr>
              <w:t>分；不能提供的不得分</w:t>
            </w:r>
          </w:p>
          <w:p w14:paraId="4EA93D11">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（2）使用自有系统平台提供网上人员变更，提供定期月结服务得2分；不能提供的不得分</w:t>
            </w:r>
          </w:p>
          <w:p w14:paraId="16ECFCF0">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）同时能使用自有系统平台（包括微信）提供自助理赔，得2分；没有自有自助理赔的而需借助第三方平台提供自助理赔，得1分；不能提供自助理赔：得0分；</w:t>
            </w:r>
          </w:p>
          <w:p w14:paraId="5DA8857A">
            <w:pPr>
              <w:keepNext w:val="0"/>
              <w:keepLines w:val="0"/>
              <w:pageBreakBefore w:val="0"/>
              <w:widowControl/>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4）能</w:t>
            </w:r>
            <w:r>
              <w:rPr>
                <w:rFonts w:hint="eastAsia" w:ascii="宋体" w:hAnsi="宋体" w:eastAsia="宋体" w:cs="宋体"/>
                <w:sz w:val="21"/>
                <w:szCs w:val="21"/>
              </w:rPr>
              <w:t>通过手机端自助查询理赔进度及结果</w:t>
            </w:r>
            <w:r>
              <w:rPr>
                <w:rFonts w:hint="eastAsia" w:ascii="宋体" w:hAnsi="宋体" w:eastAsia="宋体" w:cs="宋体"/>
                <w:sz w:val="21"/>
                <w:szCs w:val="21"/>
                <w:lang w:val="en-US"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4</w:t>
            </w:r>
            <w:r>
              <w:rPr>
                <w:rFonts w:hint="eastAsia" w:ascii="宋体" w:hAnsi="宋体" w:eastAsia="宋体" w:cs="宋体"/>
                <w:sz w:val="21"/>
                <w:szCs w:val="21"/>
              </w:rPr>
              <w:t>分；通过手机端只能够自助查询理赔结果得</w:t>
            </w:r>
            <w:r>
              <w:rPr>
                <w:rFonts w:hint="eastAsia" w:ascii="宋体" w:hAnsi="宋体" w:eastAsia="宋体" w:cs="宋体"/>
                <w:sz w:val="21"/>
                <w:szCs w:val="21"/>
                <w:lang w:val="en-US" w:eastAsia="zh-CN"/>
              </w:rPr>
              <w:t>2</w:t>
            </w:r>
            <w:r>
              <w:rPr>
                <w:rFonts w:hint="eastAsia" w:ascii="宋体" w:hAnsi="宋体" w:eastAsia="宋体" w:cs="宋体"/>
                <w:sz w:val="21"/>
                <w:szCs w:val="21"/>
              </w:rPr>
              <w:t>分；不能通过手机端查询理赔进度及结果</w:t>
            </w:r>
            <w:r>
              <w:rPr>
                <w:rFonts w:hint="eastAsia" w:ascii="宋体" w:hAnsi="宋体" w:eastAsia="宋体" w:cs="宋体"/>
                <w:sz w:val="21"/>
                <w:szCs w:val="21"/>
                <w:lang w:val="en-US" w:eastAsia="zh-CN"/>
              </w:rPr>
              <w:t>不得分</w:t>
            </w:r>
            <w:r>
              <w:rPr>
                <w:rFonts w:hint="eastAsia" w:ascii="宋体" w:hAnsi="宋体" w:eastAsia="宋体" w:cs="宋体"/>
                <w:sz w:val="21"/>
                <w:szCs w:val="21"/>
              </w:rPr>
              <w:t>；</w:t>
            </w:r>
          </w:p>
        </w:tc>
        <w:tc>
          <w:tcPr>
            <w:tcW w:w="2153" w:type="dxa"/>
            <w:tcBorders>
              <w:top w:val="nil"/>
              <w:left w:val="nil"/>
              <w:bottom w:val="single" w:color="auto" w:sz="4" w:space="0"/>
              <w:right w:val="single" w:color="auto" w:sz="4" w:space="0"/>
            </w:tcBorders>
            <w:noWrap w:val="0"/>
            <w:vAlign w:val="center"/>
          </w:tcPr>
          <w:p w14:paraId="1F3C5AD4">
            <w:pPr>
              <w:keepNext w:val="0"/>
              <w:keepLines w:val="0"/>
              <w:pageBreakBefore w:val="0"/>
              <w:widowControl/>
              <w:kinsoku/>
              <w:wordWrap/>
              <w:overflowPunct/>
              <w:topLinePunct w:val="0"/>
              <w:autoSpaceDE/>
              <w:autoSpaceDN/>
              <w:bidi w:val="0"/>
              <w:adjustRightInd w:val="0"/>
              <w:snapToGrid/>
              <w:spacing w:line="38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提供网上平台截图等证明材料，所提供的材料未能反映相关数据的，视为未提供，网上加减人员定期月结提供承诺书</w:t>
            </w:r>
          </w:p>
        </w:tc>
      </w:tr>
      <w:tr w14:paraId="2D34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26" w:type="dxa"/>
            <w:gridSpan w:val="2"/>
            <w:noWrap w:val="0"/>
            <w:vAlign w:val="center"/>
          </w:tcPr>
          <w:p w14:paraId="67BE0A43">
            <w:pPr>
              <w:widowControl/>
              <w:adjustRightInd w:val="0"/>
              <w:snapToGrid w:val="0"/>
              <w:spacing w:line="324" w:lineRule="auto"/>
              <w:jc w:val="center"/>
              <w:rPr>
                <w:rFonts w:hint="eastAsia" w:ascii="宋体" w:hAnsi="宋体" w:eastAsia="宋体" w:cs="宋体"/>
                <w:sz w:val="21"/>
                <w:szCs w:val="21"/>
              </w:rPr>
            </w:pPr>
            <w:r>
              <w:rPr>
                <w:rFonts w:hint="eastAsia" w:ascii="宋体" w:hAnsi="宋体" w:eastAsia="宋体" w:cs="宋体"/>
                <w:sz w:val="21"/>
                <w:szCs w:val="21"/>
              </w:rPr>
              <w:t>小计</w:t>
            </w:r>
          </w:p>
        </w:tc>
        <w:tc>
          <w:tcPr>
            <w:tcW w:w="743" w:type="dxa"/>
            <w:noWrap w:val="0"/>
            <w:vAlign w:val="center"/>
          </w:tcPr>
          <w:p w14:paraId="37829E30">
            <w:pPr>
              <w:widowControl/>
              <w:adjustRightInd w:val="0"/>
              <w:snapToGrid w:val="0"/>
              <w:spacing w:line="324"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0分</w:t>
            </w:r>
          </w:p>
        </w:tc>
        <w:tc>
          <w:tcPr>
            <w:tcW w:w="900" w:type="dxa"/>
            <w:noWrap w:val="0"/>
            <w:vAlign w:val="center"/>
          </w:tcPr>
          <w:p w14:paraId="64C7F621">
            <w:pPr>
              <w:widowControl/>
              <w:adjustRightInd w:val="0"/>
              <w:snapToGrid w:val="0"/>
              <w:spacing w:line="360" w:lineRule="exact"/>
              <w:jc w:val="center"/>
              <w:rPr>
                <w:rFonts w:hint="eastAsia" w:ascii="宋体" w:hAnsi="宋体" w:eastAsia="宋体" w:cs="宋体"/>
                <w:sz w:val="21"/>
                <w:szCs w:val="21"/>
              </w:rPr>
            </w:pPr>
          </w:p>
        </w:tc>
        <w:tc>
          <w:tcPr>
            <w:tcW w:w="2145" w:type="dxa"/>
            <w:noWrap w:val="0"/>
            <w:vAlign w:val="center"/>
          </w:tcPr>
          <w:p w14:paraId="42697409">
            <w:pPr>
              <w:widowControl/>
              <w:adjustRightInd w:val="0"/>
              <w:snapToGrid w:val="0"/>
              <w:spacing w:line="360" w:lineRule="exact"/>
              <w:jc w:val="left"/>
              <w:rPr>
                <w:rFonts w:hint="eastAsia" w:ascii="宋体" w:hAnsi="宋体" w:eastAsia="宋体" w:cs="宋体"/>
                <w:sz w:val="21"/>
                <w:szCs w:val="21"/>
              </w:rPr>
            </w:pPr>
          </w:p>
        </w:tc>
        <w:tc>
          <w:tcPr>
            <w:tcW w:w="3430" w:type="dxa"/>
            <w:tcBorders>
              <w:top w:val="single" w:color="auto" w:sz="4" w:space="0"/>
              <w:left w:val="nil"/>
              <w:bottom w:val="single" w:color="auto" w:sz="4" w:space="0"/>
              <w:right w:val="single" w:color="000000" w:sz="4" w:space="0"/>
            </w:tcBorders>
            <w:noWrap w:val="0"/>
            <w:vAlign w:val="center"/>
          </w:tcPr>
          <w:p w14:paraId="132BA662">
            <w:pPr>
              <w:widowControl/>
              <w:adjustRightInd w:val="0"/>
              <w:snapToGrid w:val="0"/>
              <w:spacing w:line="360" w:lineRule="exact"/>
              <w:jc w:val="left"/>
              <w:rPr>
                <w:rFonts w:hint="eastAsia" w:ascii="宋体" w:hAnsi="宋体" w:eastAsia="宋体" w:cs="宋体"/>
                <w:sz w:val="21"/>
                <w:szCs w:val="21"/>
              </w:rPr>
            </w:pPr>
          </w:p>
        </w:tc>
        <w:tc>
          <w:tcPr>
            <w:tcW w:w="2153" w:type="dxa"/>
            <w:tcBorders>
              <w:top w:val="single" w:color="auto" w:sz="4" w:space="0"/>
              <w:left w:val="nil"/>
              <w:bottom w:val="single" w:color="auto" w:sz="4" w:space="0"/>
              <w:right w:val="single" w:color="auto" w:sz="4" w:space="0"/>
            </w:tcBorders>
            <w:noWrap w:val="0"/>
            <w:vAlign w:val="center"/>
          </w:tcPr>
          <w:p w14:paraId="17CE849E">
            <w:pPr>
              <w:widowControl/>
              <w:adjustRightInd w:val="0"/>
              <w:snapToGrid w:val="0"/>
              <w:spacing w:line="360" w:lineRule="exact"/>
              <w:jc w:val="left"/>
              <w:rPr>
                <w:rFonts w:hint="eastAsia" w:ascii="宋体" w:hAnsi="宋体" w:eastAsia="宋体" w:cs="宋体"/>
                <w:sz w:val="21"/>
                <w:szCs w:val="21"/>
              </w:rPr>
            </w:pPr>
          </w:p>
        </w:tc>
      </w:tr>
    </w:tbl>
    <w:p w14:paraId="4F8D50F2">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p>
    <w:p w14:paraId="0DC6B24A">
      <w:pPr>
        <w:pStyle w:val="5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40" w:lineRule="exact"/>
        <w:ind w:firstLine="482" w:firstLineChars="200"/>
        <w:jc w:val="both"/>
        <w:textAlignment w:val="auto"/>
        <w:rPr>
          <w:rFonts w:ascii="Times New Roman" w:hAnsi="Times New Roman" w:cs="宋体"/>
          <w:b/>
          <w:szCs w:val="24"/>
          <w:lang w:eastAsia="zh-CN"/>
        </w:rPr>
      </w:pPr>
      <w:r>
        <w:rPr>
          <w:rFonts w:hint="eastAsia" w:ascii="Times New Roman" w:hAnsi="Times New Roman" w:cs="宋体"/>
          <w:b/>
          <w:szCs w:val="24"/>
          <w:lang w:eastAsia="zh-CN"/>
        </w:rPr>
        <w:t>注：以上所提供材料必须真实可靠，伪造证书证件、伪造合同、伪造发票等一切弄虚作假行为，一经发现和查实（含在本项目合同履行期间被查实），采购方有权取消成交资格或终止合同。</w:t>
      </w:r>
    </w:p>
    <w:p w14:paraId="2AEB4D89">
      <w:pPr>
        <w:pStyle w:val="52"/>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440" w:lineRule="exact"/>
        <w:ind w:firstLine="482" w:firstLineChars="200"/>
        <w:jc w:val="both"/>
        <w:textAlignment w:val="auto"/>
        <w:rPr>
          <w:rFonts w:hint="eastAsia" w:ascii="Times New Roman" w:hAnsi="Times New Roman" w:cs="宋体"/>
          <w:b/>
          <w:bCs/>
          <w:szCs w:val="24"/>
          <w:shd w:val="clear" w:color="auto" w:fill="FFFFFF"/>
          <w:lang w:eastAsia="zh-CN"/>
        </w:rPr>
      </w:pPr>
      <w:r>
        <w:rPr>
          <w:rFonts w:hint="eastAsia" w:ascii="Times New Roman" w:hAnsi="Times New Roman" w:eastAsia="宋体" w:cs="宋体"/>
          <w:b/>
          <w:bCs/>
          <w:sz w:val="24"/>
          <w:szCs w:val="24"/>
          <w:shd w:val="clear" w:fill="FFFFFF"/>
          <w:lang w:val="en-US" w:eastAsia="zh-CN" w:bidi="ar-SA"/>
        </w:rPr>
        <w:t>（二）</w:t>
      </w:r>
      <w:r>
        <w:rPr>
          <w:rFonts w:hint="eastAsia" w:ascii="Times New Roman" w:hAnsi="Times New Roman" w:cs="宋体"/>
          <w:b/>
          <w:bCs/>
          <w:szCs w:val="24"/>
          <w:shd w:val="clear" w:color="auto" w:fill="FFFFFF"/>
          <w:lang w:eastAsia="zh-CN"/>
        </w:rPr>
        <w:t>报价分：</w:t>
      </w:r>
      <w:r>
        <w:rPr>
          <w:rFonts w:hint="eastAsia" w:ascii="Times New Roman" w:hAnsi="Times New Roman" w:cs="宋体"/>
          <w:b/>
          <w:bCs/>
          <w:szCs w:val="24"/>
          <w:shd w:val="clear" w:color="auto" w:fill="FFFFFF"/>
          <w:lang w:val="en-US" w:eastAsia="zh-CN"/>
        </w:rPr>
        <w:t>1</w:t>
      </w:r>
      <w:r>
        <w:rPr>
          <w:rFonts w:hint="eastAsia" w:ascii="Times New Roman" w:hAnsi="Times New Roman" w:cs="宋体"/>
          <w:b/>
          <w:bCs/>
          <w:szCs w:val="24"/>
          <w:shd w:val="clear" w:color="auto" w:fill="FFFFFF"/>
          <w:lang w:eastAsia="zh-CN"/>
        </w:rPr>
        <w:t>0分</w:t>
      </w:r>
    </w:p>
    <w:p w14:paraId="32B8EEEC">
      <w:pPr>
        <w:pStyle w:val="52"/>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440" w:lineRule="exact"/>
        <w:ind w:firstLine="480" w:firstLineChars="200"/>
        <w:jc w:val="both"/>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eastAsia="zh-CN"/>
        </w:rPr>
        <w:t>在职民警人均保费</w:t>
      </w:r>
      <w:r>
        <w:rPr>
          <w:rFonts w:hint="eastAsia" w:ascii="宋体" w:hAnsi="宋体" w:eastAsia="宋体" w:cs="Times New Roman"/>
          <w:sz w:val="24"/>
          <w:szCs w:val="24"/>
          <w:highlight w:val="none"/>
          <w:lang w:val="en-US" w:eastAsia="zh-CN"/>
        </w:rPr>
        <w:t>价格分（7分）</w:t>
      </w:r>
    </w:p>
    <w:p w14:paraId="6F14ACAD">
      <w:pPr>
        <w:pStyle w:val="52"/>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440" w:lineRule="exact"/>
        <w:ind w:firstLine="480" w:firstLineChars="200"/>
        <w:jc w:val="both"/>
        <w:textAlignment w:val="auto"/>
        <w:rPr>
          <w:rFonts w:hint="eastAsia" w:ascii="Times New Roman" w:hAnsi="Times New Roman" w:cs="宋体"/>
          <w:b/>
          <w:bCs/>
          <w:szCs w:val="24"/>
          <w:highlight w:val="none"/>
          <w:shd w:val="clear" w:color="auto" w:fill="FFFFFF"/>
          <w:lang w:eastAsia="zh-CN"/>
        </w:rPr>
      </w:pPr>
      <w:r>
        <w:rPr>
          <w:rFonts w:hint="eastAsia" w:ascii="宋体" w:hAnsi="宋体" w:eastAsia="宋体" w:cs="Times New Roman"/>
          <w:sz w:val="24"/>
          <w:szCs w:val="24"/>
          <w:highlight w:val="none"/>
          <w:lang w:eastAsia="zh-CN"/>
        </w:rPr>
        <w:t>在职民警人均保费</w:t>
      </w:r>
      <w:r>
        <w:rPr>
          <w:rFonts w:hint="eastAsia" w:ascii="宋体" w:hAnsi="宋体" w:eastAsia="宋体" w:cs="Times New Roman"/>
          <w:sz w:val="24"/>
          <w:szCs w:val="24"/>
          <w:highlight w:val="none"/>
          <w:lang w:val="en-US" w:eastAsia="zh-CN"/>
        </w:rPr>
        <w:t>最高限价</w:t>
      </w:r>
      <w:r>
        <w:rPr>
          <w:rFonts w:hint="eastAsia" w:ascii="宋体" w:hAnsi="宋体" w:eastAsia="宋体" w:cs="Times New Roman"/>
          <w:sz w:val="24"/>
          <w:szCs w:val="24"/>
          <w:highlight w:val="none"/>
          <w:lang w:eastAsia="zh-CN"/>
        </w:rPr>
        <w:t>200元</w:t>
      </w:r>
      <w:r>
        <w:rPr>
          <w:rFonts w:hint="eastAsia" w:ascii="宋体" w:hAnsi="宋体" w:eastAsia="宋体" w:cs="Times New Roman"/>
          <w:sz w:val="24"/>
          <w:szCs w:val="24"/>
          <w:highlight w:val="none"/>
          <w:lang w:val="en-US" w:eastAsia="zh-CN"/>
        </w:rPr>
        <w:t>/人</w:t>
      </w:r>
      <w:r>
        <w:rPr>
          <w:rFonts w:hint="eastAsia" w:ascii="宋体" w:hAnsi="宋体" w:eastAsia="宋体" w:cs="Times New Roman"/>
          <w:sz w:val="24"/>
          <w:szCs w:val="24"/>
          <w:highlight w:val="none"/>
          <w:lang w:eastAsia="zh-CN"/>
        </w:rPr>
        <w:t>，</w:t>
      </w:r>
      <w:r>
        <w:rPr>
          <w:rFonts w:hint="eastAsia" w:ascii="宋体" w:hAnsi="宋体" w:eastAsia="宋体" w:cs="Times New Roman"/>
          <w:b/>
          <w:bCs/>
          <w:sz w:val="24"/>
          <w:szCs w:val="24"/>
          <w:highlight w:val="none"/>
          <w:lang w:eastAsia="zh-CN"/>
        </w:rPr>
        <w:t>报</w:t>
      </w:r>
      <w:r>
        <w:rPr>
          <w:rFonts w:hint="eastAsia" w:ascii="宋体" w:hAnsi="宋体"/>
          <w:b/>
          <w:bCs/>
          <w:sz w:val="24"/>
          <w:szCs w:val="24"/>
          <w:highlight w:val="none"/>
        </w:rPr>
        <w:t>价超过最高限价的将作为无效响应处理。</w:t>
      </w:r>
    </w:p>
    <w:p w14:paraId="423C9F46">
      <w:pPr>
        <w:pStyle w:val="52"/>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价格分统一采用低价优先法计算，即满足招标文件要求且投标价格最低的</w:t>
      </w:r>
      <w:r>
        <w:rPr>
          <w:rFonts w:hint="eastAsia" w:ascii="宋体" w:hAnsi="宋体" w:eastAsia="宋体" w:cs="Times New Roman"/>
          <w:sz w:val="24"/>
          <w:szCs w:val="24"/>
          <w:highlight w:val="none"/>
          <w:lang w:eastAsia="zh-CN"/>
        </w:rPr>
        <w:t>在职民警人均保费</w:t>
      </w:r>
      <w:r>
        <w:rPr>
          <w:rFonts w:hint="eastAsia" w:ascii="宋体" w:hAnsi="宋体" w:eastAsia="宋体" w:cs="宋体"/>
          <w:color w:val="auto"/>
          <w:sz w:val="24"/>
          <w:szCs w:val="24"/>
          <w:highlight w:val="none"/>
        </w:rPr>
        <w:t>投标报价为评标基准价，其价格分为满分。其他投标人的价格分统一按照下列公式计算：</w:t>
      </w:r>
    </w:p>
    <w:p w14:paraId="75C26345">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Times New Roman"/>
          <w:sz w:val="24"/>
          <w:szCs w:val="24"/>
          <w:highlight w:val="none"/>
          <w:lang w:eastAsia="zh-CN"/>
        </w:rPr>
        <w:t>在职民警人均保费</w:t>
      </w:r>
      <w:r>
        <w:rPr>
          <w:rFonts w:hint="eastAsia" w:ascii="宋体" w:hAnsi="宋体" w:eastAsia="宋体" w:cs="宋体"/>
          <w:color w:val="auto"/>
          <w:sz w:val="24"/>
          <w:szCs w:val="24"/>
          <w:highlight w:val="none"/>
        </w:rPr>
        <w:t>投标报价得分=（评标基准价/投标报价）×</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lang w:val="en-US" w:eastAsia="zh-CN"/>
        </w:rPr>
        <w:t>%</w:t>
      </w:r>
    </w:p>
    <w:p w14:paraId="3378316C">
      <w:pPr>
        <w:keepNext w:val="0"/>
        <w:keepLines w:val="0"/>
        <w:pageBreakBefore w:val="0"/>
        <w:numPr>
          <w:ilvl w:val="0"/>
          <w:numId w:val="0"/>
        </w:numPr>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bidi="ar-SA"/>
        </w:rPr>
        <w:t>2、</w:t>
      </w:r>
      <w:r>
        <w:rPr>
          <w:rFonts w:hint="eastAsia" w:ascii="宋体" w:hAnsi="宋体" w:eastAsia="宋体" w:cs="Times New Roman"/>
          <w:sz w:val="24"/>
          <w:szCs w:val="24"/>
          <w:highlight w:val="none"/>
          <w:lang w:eastAsia="zh-CN"/>
        </w:rPr>
        <w:t>在职民警配偶及成年子女和未成年子女人均保费</w:t>
      </w:r>
      <w:r>
        <w:rPr>
          <w:rFonts w:hint="eastAsia" w:ascii="宋体" w:hAnsi="宋体" w:eastAsia="宋体" w:cs="Times New Roman"/>
          <w:sz w:val="24"/>
          <w:szCs w:val="24"/>
          <w:highlight w:val="none"/>
          <w:lang w:val="en-US" w:eastAsia="zh-CN"/>
        </w:rPr>
        <w:t>价格分（3分）</w:t>
      </w:r>
    </w:p>
    <w:p w14:paraId="7A2EE7E5">
      <w:pPr>
        <w:keepNext w:val="0"/>
        <w:keepLines w:val="0"/>
        <w:pageBreakBefore w:val="0"/>
        <w:numPr>
          <w:ilvl w:val="0"/>
          <w:numId w:val="0"/>
        </w:numPr>
        <w:kinsoku/>
        <w:wordWrap/>
        <w:overflowPunct/>
        <w:topLinePunct w:val="0"/>
        <w:autoSpaceDE/>
        <w:autoSpaceDN/>
        <w:bidi w:val="0"/>
        <w:adjustRightInd w:val="0"/>
        <w:snapToGrid/>
        <w:spacing w:line="440" w:lineRule="exact"/>
        <w:ind w:firstLine="480" w:firstLineChars="200"/>
        <w:textAlignment w:val="auto"/>
        <w:rPr>
          <w:rFonts w:hint="eastAsia" w:ascii="宋体" w:hAnsi="宋体"/>
          <w:b/>
          <w:bCs/>
          <w:sz w:val="24"/>
          <w:szCs w:val="24"/>
          <w:highlight w:val="none"/>
        </w:rPr>
      </w:pPr>
      <w:r>
        <w:rPr>
          <w:rFonts w:hint="eastAsia" w:ascii="宋体" w:hAnsi="宋体" w:eastAsia="宋体" w:cs="Times New Roman"/>
          <w:sz w:val="24"/>
          <w:szCs w:val="24"/>
          <w:highlight w:val="none"/>
          <w:lang w:eastAsia="zh-CN"/>
        </w:rPr>
        <w:t>在职民警配偶及成年子女和未成年子女人均保费100元</w:t>
      </w:r>
      <w:r>
        <w:rPr>
          <w:rFonts w:hint="eastAsia" w:ascii="宋体" w:hAnsi="宋体" w:eastAsia="宋体" w:cs="Times New Roman"/>
          <w:sz w:val="24"/>
          <w:szCs w:val="24"/>
          <w:highlight w:val="none"/>
          <w:lang w:val="en-US" w:eastAsia="zh-CN"/>
        </w:rPr>
        <w:t>/人</w:t>
      </w:r>
      <w:r>
        <w:rPr>
          <w:rFonts w:hint="eastAsia" w:ascii="宋体" w:hAnsi="宋体" w:eastAsia="宋体" w:cs="Times New Roman"/>
          <w:sz w:val="24"/>
          <w:szCs w:val="24"/>
          <w:highlight w:val="none"/>
          <w:lang w:eastAsia="zh-CN"/>
        </w:rPr>
        <w:t>，</w:t>
      </w:r>
      <w:r>
        <w:rPr>
          <w:rFonts w:hint="eastAsia" w:ascii="宋体" w:hAnsi="宋体" w:eastAsia="宋体" w:cs="Times New Roman"/>
          <w:b/>
          <w:bCs/>
          <w:sz w:val="24"/>
          <w:szCs w:val="24"/>
          <w:highlight w:val="none"/>
          <w:lang w:eastAsia="zh-CN"/>
        </w:rPr>
        <w:t>报</w:t>
      </w:r>
      <w:r>
        <w:rPr>
          <w:rFonts w:hint="eastAsia" w:ascii="宋体" w:hAnsi="宋体"/>
          <w:b/>
          <w:bCs/>
          <w:sz w:val="24"/>
          <w:szCs w:val="24"/>
          <w:highlight w:val="none"/>
        </w:rPr>
        <w:t>价超过最高限价的将作为无效响应处理。</w:t>
      </w:r>
    </w:p>
    <w:p w14:paraId="26E79F7A">
      <w:pPr>
        <w:pStyle w:val="52"/>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价格分统一采用低价优先法计算，即满足招标文件要求且</w:t>
      </w:r>
      <w:r>
        <w:rPr>
          <w:rFonts w:hint="eastAsia" w:ascii="宋体" w:hAnsi="宋体" w:eastAsia="宋体" w:cs="Times New Roman"/>
          <w:sz w:val="24"/>
          <w:szCs w:val="24"/>
          <w:highlight w:val="none"/>
          <w:lang w:eastAsia="zh-CN"/>
        </w:rPr>
        <w:t>在职民警配偶及成年子女和未成年子女人均保费</w:t>
      </w:r>
      <w:r>
        <w:rPr>
          <w:rFonts w:hint="eastAsia" w:ascii="宋体" w:hAnsi="宋体" w:eastAsia="宋体" w:cs="Times New Roman"/>
          <w:sz w:val="24"/>
          <w:szCs w:val="24"/>
          <w:highlight w:val="none"/>
          <w:lang w:val="en-US" w:eastAsia="zh-CN"/>
        </w:rPr>
        <w:t>价格</w:t>
      </w:r>
      <w:r>
        <w:rPr>
          <w:rFonts w:hint="eastAsia" w:ascii="宋体" w:hAnsi="宋体" w:eastAsia="宋体" w:cs="宋体"/>
          <w:color w:val="auto"/>
          <w:sz w:val="24"/>
          <w:szCs w:val="24"/>
          <w:highlight w:val="none"/>
        </w:rPr>
        <w:t>最低的投标报价为评标基准价，其价格分为满分。其他投标人的价格分统一按照下列公式计算：</w:t>
      </w:r>
    </w:p>
    <w:p w14:paraId="384B7C2D">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Times New Roman"/>
          <w:sz w:val="24"/>
          <w:szCs w:val="24"/>
          <w:highlight w:val="none"/>
          <w:lang w:eastAsia="zh-CN"/>
        </w:rPr>
        <w:t>在职民警配偶及成年子女和未成年子女人均保费</w:t>
      </w:r>
      <w:r>
        <w:rPr>
          <w:rFonts w:hint="eastAsia" w:ascii="宋体" w:hAnsi="宋体" w:eastAsia="宋体" w:cs="宋体"/>
          <w:color w:val="auto"/>
          <w:sz w:val="24"/>
          <w:szCs w:val="24"/>
          <w:highlight w:val="none"/>
        </w:rPr>
        <w:t>投标报价得分=（评标基准价/投标报价）×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lang w:val="en-US" w:eastAsia="zh-CN"/>
        </w:rPr>
        <w:t>%</w:t>
      </w:r>
    </w:p>
    <w:p w14:paraId="1CB4A022">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hint="eastAsia"/>
          <w:highlight w:val="none"/>
          <w:lang w:val="en-US" w:eastAsia="zh-CN"/>
        </w:rPr>
      </w:pPr>
      <w:r>
        <w:rPr>
          <w:rFonts w:hint="eastAsia" w:ascii="宋体" w:hAnsi="宋体" w:eastAsia="宋体" w:cs="宋体"/>
          <w:b/>
          <w:bCs/>
          <w:kern w:val="0"/>
          <w:sz w:val="24"/>
          <w:szCs w:val="24"/>
          <w:highlight w:val="none"/>
        </w:rPr>
        <w:t>总得分为两项得分之和，总得分高者推荐为成交候选人。</w:t>
      </w:r>
    </w:p>
    <w:p w14:paraId="7233AF8D">
      <w:pPr>
        <w:pStyle w:val="5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40" w:lineRule="exact"/>
        <w:ind w:firstLine="482" w:firstLineChars="200"/>
        <w:jc w:val="both"/>
        <w:textAlignment w:val="auto"/>
        <w:rPr>
          <w:rFonts w:ascii="Times New Roman" w:hAnsi="Times New Roman" w:cs="宋体"/>
          <w:b/>
          <w:bCs/>
          <w:szCs w:val="24"/>
          <w:lang w:eastAsia="zh-CN"/>
        </w:rPr>
      </w:pPr>
      <w:r>
        <w:rPr>
          <w:rFonts w:hint="eastAsia" w:ascii="Times New Roman" w:hAnsi="Times New Roman" w:cs="宋体"/>
          <w:b/>
          <w:bCs/>
          <w:szCs w:val="24"/>
          <w:lang w:eastAsia="zh-CN"/>
        </w:rPr>
        <w:t>五、出现下列情形之一的，作无效响应处理</w:t>
      </w:r>
    </w:p>
    <w:p w14:paraId="6355653F">
      <w:pPr>
        <w:keepNext w:val="0"/>
        <w:keepLines w:val="0"/>
        <w:pageBreakBefore w:val="0"/>
        <w:kinsoku/>
        <w:wordWrap/>
        <w:overflowPunct/>
        <w:topLinePunct w:val="0"/>
        <w:autoSpaceDE/>
        <w:autoSpaceDN/>
        <w:bidi w:val="0"/>
        <w:snapToGrid/>
        <w:spacing w:line="440" w:lineRule="exact"/>
        <w:ind w:firstLine="480" w:firstLineChars="200"/>
        <w:textAlignment w:val="auto"/>
        <w:rPr>
          <w:rFonts w:ascii="Times New Roman" w:hAnsi="Times New Roman" w:cs="宋体"/>
          <w:sz w:val="24"/>
          <w:szCs w:val="24"/>
        </w:rPr>
      </w:pPr>
      <w:r>
        <w:rPr>
          <w:rFonts w:hint="eastAsia" w:ascii="Times New Roman" w:hAnsi="Times New Roman" w:cs="宋体"/>
          <w:sz w:val="24"/>
          <w:szCs w:val="24"/>
        </w:rPr>
        <w:t>1、响应文件未按规定要求签署、盖章及主要资料不齐全的；</w:t>
      </w:r>
    </w:p>
    <w:p w14:paraId="03FA6796">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2、响应文件的资料有虚报或者谎报的；</w:t>
      </w:r>
    </w:p>
    <w:p w14:paraId="36BB7C4E">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3、响应文件中资格审查文件及技术响应文件出现磋商报价的内容；</w:t>
      </w:r>
    </w:p>
    <w:p w14:paraId="131E9438">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4、不具备磋商文件规定的资格要求的；</w:t>
      </w:r>
    </w:p>
    <w:p w14:paraId="4A14EF42">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5、响应文件有重大漏项或重大不合理的；</w:t>
      </w:r>
    </w:p>
    <w:p w14:paraId="36750BB6">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6、项目技术、方案不满足项目需求中的要求，有重大偏离或保留的；</w:t>
      </w:r>
    </w:p>
    <w:p w14:paraId="50CA566A">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7、磋商响应报价超出项目预算的；</w:t>
      </w:r>
    </w:p>
    <w:p w14:paraId="5BD43119">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8、被认定为低于成本报价磋商竞标的；</w:t>
      </w:r>
    </w:p>
    <w:p w14:paraId="15A70C7F">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9、供应商的磋商报价低于自己前一轮的；</w:t>
      </w:r>
    </w:p>
    <w:p w14:paraId="6D41091D">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10、不符合法律、法规和磋商文件中规定的其他实质性响应要求的；</w:t>
      </w:r>
    </w:p>
    <w:p w14:paraId="1A800013">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11、磋商小组依据法律法规可以认定为无效响应的其他情况；</w:t>
      </w:r>
    </w:p>
    <w:p w14:paraId="3E381680">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12、未按要求提供样品的（如有）。</w:t>
      </w:r>
    </w:p>
    <w:p w14:paraId="2DBB7A50">
      <w:pPr>
        <w:pStyle w:val="5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40" w:lineRule="exact"/>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val="en-US" w:eastAsia="zh-CN"/>
        </w:rPr>
        <w:t>六</w:t>
      </w:r>
      <w:r>
        <w:rPr>
          <w:rFonts w:hint="eastAsia" w:ascii="Times New Roman" w:hAnsi="Times New Roman" w:cs="宋体"/>
          <w:b/>
          <w:bCs/>
          <w:szCs w:val="24"/>
          <w:shd w:val="clear" w:color="auto" w:fill="FFFFFF"/>
          <w:lang w:eastAsia="zh-CN"/>
        </w:rPr>
        <w:t>、出现下列情形之一的，</w:t>
      </w:r>
      <w:r>
        <w:rPr>
          <w:rFonts w:hint="eastAsia" w:ascii="Times New Roman" w:hAnsi="Times New Roman" w:cs="宋体"/>
          <w:b/>
          <w:bCs/>
          <w:szCs w:val="24"/>
          <w:lang w:eastAsia="zh-CN"/>
        </w:rPr>
        <w:t>作无效</w:t>
      </w:r>
      <w:r>
        <w:rPr>
          <w:rFonts w:hint="eastAsia" w:ascii="Times New Roman" w:hAnsi="Times New Roman" w:cs="宋体"/>
          <w:b/>
          <w:bCs/>
          <w:szCs w:val="24"/>
          <w:shd w:val="clear" w:color="auto" w:fill="FFFFFF"/>
          <w:lang w:eastAsia="zh-CN"/>
        </w:rPr>
        <w:t>响应处理</w:t>
      </w:r>
    </w:p>
    <w:p w14:paraId="35E9FE41">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1、供应商的报价均超出了采购预算，采购单位不能支付的；</w:t>
      </w:r>
    </w:p>
    <w:p w14:paraId="1E5D006B">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2、因情况变化，不再符合规定的竞争性磋商采购方式所适用情形的；</w:t>
      </w:r>
    </w:p>
    <w:p w14:paraId="48410DF8">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3、出现影响采购公正的违法、违规行为的；</w:t>
      </w:r>
    </w:p>
    <w:p w14:paraId="0FAE48A0">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4、因重大变故，采购任务取消的；</w:t>
      </w:r>
    </w:p>
    <w:p w14:paraId="18A644B0">
      <w:pPr>
        <w:pStyle w:val="5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40" w:lineRule="exact"/>
        <w:ind w:firstLine="480"/>
        <w:jc w:val="both"/>
        <w:textAlignment w:val="auto"/>
        <w:rPr>
          <w:rFonts w:ascii="Times New Roman" w:hAnsi="Times New Roman" w:cs="宋体"/>
          <w:b/>
          <w:bCs/>
          <w:szCs w:val="24"/>
          <w:lang w:eastAsia="zh-CN"/>
        </w:rPr>
      </w:pPr>
      <w:r>
        <w:rPr>
          <w:rFonts w:hint="eastAsia" w:ascii="Times New Roman" w:hAnsi="Times New Roman" w:cs="宋体"/>
          <w:szCs w:val="24"/>
          <w:lang w:eastAsia="zh-CN"/>
        </w:rPr>
        <w:t>5、磋商小组依据法律法规可以认定为无效响应的其他情况。</w:t>
      </w:r>
    </w:p>
    <w:p w14:paraId="3580D43A">
      <w:pPr>
        <w:pStyle w:val="5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40" w:lineRule="exact"/>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val="en-US" w:eastAsia="zh-CN"/>
        </w:rPr>
        <w:t>七</w:t>
      </w:r>
      <w:r>
        <w:rPr>
          <w:rFonts w:hint="eastAsia" w:ascii="Times New Roman" w:hAnsi="Times New Roman" w:cs="宋体"/>
          <w:b/>
          <w:bCs/>
          <w:szCs w:val="24"/>
          <w:shd w:val="clear" w:color="auto" w:fill="FFFFFF"/>
          <w:lang w:eastAsia="zh-CN"/>
        </w:rPr>
        <w:t>、出现下列情形之一的，采购人或采购代理机构应当终止竞争性磋商采购活动，发布项目终止公告并说明原因，重新开展采购活动：</w:t>
      </w:r>
    </w:p>
    <w:p w14:paraId="6E9122C6">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1、在采购过程中符合要求的供应商或者报价未超过采购预算的供应商不足3家的；</w:t>
      </w:r>
    </w:p>
    <w:p w14:paraId="7BFD6D20">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2、因情况变化，不再符合规定的竞争性磋商采购方式所适用情形的；</w:t>
      </w:r>
    </w:p>
    <w:p w14:paraId="21A1F1E0">
      <w:pPr>
        <w:keepNext w:val="0"/>
        <w:keepLines w:val="0"/>
        <w:pageBreakBefore w:val="0"/>
        <w:kinsoku/>
        <w:wordWrap/>
        <w:overflowPunct/>
        <w:topLinePunct w:val="0"/>
        <w:autoSpaceDE/>
        <w:autoSpaceDN/>
        <w:bidi w:val="0"/>
        <w:snapToGrid/>
        <w:spacing w:line="440" w:lineRule="exact"/>
        <w:ind w:firstLine="480"/>
        <w:textAlignment w:val="auto"/>
        <w:rPr>
          <w:rFonts w:ascii="Times New Roman" w:hAnsi="Times New Roman" w:cs="宋体"/>
          <w:sz w:val="24"/>
          <w:szCs w:val="24"/>
        </w:rPr>
      </w:pPr>
      <w:r>
        <w:rPr>
          <w:rFonts w:hint="eastAsia" w:ascii="Times New Roman" w:hAnsi="Times New Roman" w:cs="宋体"/>
          <w:sz w:val="24"/>
          <w:szCs w:val="24"/>
        </w:rPr>
        <w:t>3、出现影响采购公正的违法、违规行为的；</w:t>
      </w:r>
    </w:p>
    <w:p w14:paraId="54217765">
      <w:pPr>
        <w:pStyle w:val="52"/>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40" w:lineRule="exact"/>
        <w:ind w:firstLine="482"/>
        <w:jc w:val="both"/>
        <w:textAlignment w:val="auto"/>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val="en-US" w:eastAsia="zh-CN"/>
        </w:rPr>
        <w:t>八</w:t>
      </w:r>
      <w:r>
        <w:rPr>
          <w:rFonts w:hint="eastAsia" w:ascii="Times New Roman" w:hAnsi="Times New Roman" w:cs="宋体"/>
          <w:b/>
          <w:bCs/>
          <w:szCs w:val="24"/>
          <w:shd w:val="clear" w:color="auto" w:fill="FFFFFF"/>
          <w:lang w:eastAsia="zh-CN"/>
        </w:rPr>
        <w:t>、成交通知</w:t>
      </w:r>
    </w:p>
    <w:p w14:paraId="47A95190">
      <w:pPr>
        <w:keepNext w:val="0"/>
        <w:keepLines w:val="0"/>
        <w:pageBreakBefore w:val="0"/>
        <w:kinsoku/>
        <w:wordWrap/>
        <w:overflowPunct/>
        <w:topLinePunct w:val="0"/>
        <w:autoSpaceDE/>
        <w:autoSpaceDN/>
        <w:bidi w:val="0"/>
        <w:snapToGrid/>
        <w:spacing w:line="440" w:lineRule="exact"/>
        <w:ind w:firstLine="480"/>
        <w:jc w:val="left"/>
        <w:textAlignment w:val="auto"/>
        <w:rPr>
          <w:rFonts w:ascii="Times New Roman" w:hAnsi="Times New Roman" w:cs="宋体"/>
          <w:b/>
          <w:iCs/>
          <w:sz w:val="44"/>
          <w:szCs w:val="44"/>
        </w:rPr>
      </w:pPr>
      <w:r>
        <w:rPr>
          <w:rFonts w:hint="eastAsia" w:ascii="Times New Roman" w:hAnsi="Times New Roman" w:cs="宋体"/>
          <w:sz w:val="24"/>
          <w:szCs w:val="24"/>
        </w:rPr>
        <w:t>成交结果在南通市公安局官网公告公示栏公示</w:t>
      </w:r>
      <w:r>
        <w:rPr>
          <w:rFonts w:hint="eastAsia" w:ascii="Times New Roman" w:hAnsi="Times New Roman" w:cs="宋体"/>
          <w:b/>
          <w:sz w:val="24"/>
          <w:szCs w:val="24"/>
          <w:u w:val="single"/>
        </w:rPr>
        <w:t>1</w:t>
      </w:r>
      <w:r>
        <w:rPr>
          <w:rFonts w:hint="eastAsia" w:ascii="Times New Roman" w:hAnsi="Times New Roman" w:cs="宋体"/>
          <w:sz w:val="24"/>
          <w:szCs w:val="24"/>
        </w:rPr>
        <w:t>个工作日。《成交通知书》一经发出，采购单位改变成交结果，或者成交人放弃成交的，各自承担相应的法律责任。《成交通知书》是采购合同的组成部分。</w:t>
      </w:r>
      <w:r>
        <w:rPr>
          <w:rFonts w:ascii="Times New Roman" w:hAnsi="Times New Roman" w:cs="宋体"/>
          <w:b/>
          <w:iCs/>
          <w:sz w:val="44"/>
          <w:szCs w:val="44"/>
        </w:rPr>
        <w:br w:type="page" w:clear="all"/>
      </w:r>
    </w:p>
    <w:p w14:paraId="29087E16">
      <w:pPr>
        <w:spacing w:line="360" w:lineRule="auto"/>
        <w:ind w:firstLine="480"/>
        <w:jc w:val="center"/>
        <w:rPr>
          <w:rFonts w:ascii="Times New Roman" w:hAnsi="Times New Roman" w:cs="宋体"/>
          <w:b/>
          <w:iCs/>
          <w:sz w:val="44"/>
          <w:szCs w:val="44"/>
        </w:rPr>
      </w:pPr>
    </w:p>
    <w:p w14:paraId="136776AB">
      <w:pPr>
        <w:spacing w:line="360" w:lineRule="auto"/>
        <w:ind w:firstLine="480"/>
        <w:jc w:val="center"/>
        <w:rPr>
          <w:rFonts w:ascii="Times New Roman" w:hAnsi="Times New Roman"/>
          <w:b/>
          <w:sz w:val="44"/>
          <w:szCs w:val="44"/>
        </w:rPr>
      </w:pPr>
      <w:r>
        <w:rPr>
          <w:rFonts w:ascii="Times New Roman" w:hAnsi="Times New Roman" w:cs="宋体"/>
          <w:b/>
          <w:iCs/>
          <w:sz w:val="44"/>
          <w:szCs w:val="44"/>
        </w:rPr>
        <w:t>第</w:t>
      </w:r>
      <w:r>
        <w:rPr>
          <w:rFonts w:hint="eastAsia" w:ascii="Times New Roman" w:hAnsi="Times New Roman" w:cs="宋体"/>
          <w:b/>
          <w:iCs/>
          <w:sz w:val="44"/>
          <w:szCs w:val="44"/>
        </w:rPr>
        <w:t>五</w:t>
      </w:r>
      <w:r>
        <w:rPr>
          <w:rFonts w:ascii="Times New Roman" w:hAnsi="Times New Roman" w:cs="宋体"/>
          <w:b/>
          <w:iCs/>
          <w:sz w:val="44"/>
          <w:szCs w:val="44"/>
        </w:rPr>
        <w:t>章</w:t>
      </w:r>
      <w:r>
        <w:rPr>
          <w:rFonts w:hint="eastAsia" w:ascii="Times New Roman" w:hAnsi="Times New Roman"/>
          <w:b/>
          <w:sz w:val="44"/>
          <w:szCs w:val="44"/>
        </w:rPr>
        <w:t>合同主要条款</w:t>
      </w:r>
    </w:p>
    <w:p w14:paraId="0338D057">
      <w:pPr>
        <w:spacing w:before="120" w:line="22" w:lineRule="atLeast"/>
        <w:rPr>
          <w:rFonts w:ascii="宋体" w:hAnsi="宋体" w:cs="宋体"/>
          <w:sz w:val="24"/>
        </w:rPr>
      </w:pPr>
    </w:p>
    <w:p w14:paraId="32703544">
      <w:pPr>
        <w:spacing w:before="120" w:line="22" w:lineRule="atLeast"/>
        <w:ind w:left="960"/>
        <w:rPr>
          <w:rFonts w:hint="eastAsia" w:ascii="宋体" w:hAnsi="宋体" w:cs="宋体"/>
          <w:sz w:val="24"/>
        </w:rPr>
      </w:pPr>
    </w:p>
    <w:p w14:paraId="6BF978B1">
      <w:pPr>
        <w:spacing w:before="319"/>
        <w:ind w:right="105" w:firstLine="6720"/>
        <w:rPr>
          <w:rFonts w:hint="eastAsia" w:ascii="宋体" w:hAnsi="宋体" w:eastAsia="宋体" w:cs="宋体"/>
          <w:sz w:val="21"/>
          <w:szCs w:val="21"/>
          <w:u w:val="single"/>
        </w:rPr>
      </w:pPr>
      <w:r>
        <w:rPr>
          <w:rFonts w:hint="eastAsia" w:ascii="宋体" w:hAnsi="宋体" w:eastAsia="宋体" w:cs="宋体"/>
          <w:sz w:val="21"/>
          <w:szCs w:val="21"/>
        </w:rPr>
        <w:t>合同编号：</w:t>
      </w:r>
    </w:p>
    <w:p w14:paraId="7A10869D">
      <w:pPr>
        <w:spacing w:before="319"/>
        <w:ind w:right="105" w:firstLine="602"/>
        <w:rPr>
          <w:rFonts w:hint="eastAsia" w:ascii="宋体" w:hAnsi="宋体" w:eastAsia="宋体" w:cs="宋体"/>
          <w:b/>
          <w:bCs/>
          <w:sz w:val="21"/>
          <w:szCs w:val="21"/>
        </w:rPr>
      </w:pPr>
    </w:p>
    <w:p w14:paraId="68FFE28D">
      <w:pPr>
        <w:keepNext w:val="0"/>
        <w:keepLines w:val="0"/>
        <w:pageBreakBefore w:val="0"/>
        <w:widowControl w:val="0"/>
        <w:kinsoku/>
        <w:wordWrap/>
        <w:overflowPunct/>
        <w:topLinePunct w:val="0"/>
        <w:autoSpaceDE/>
        <w:autoSpaceDN/>
        <w:bidi w:val="0"/>
        <w:adjustRightInd/>
        <w:snapToGrid/>
        <w:ind w:right="0" w:firstLine="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采购合同</w:t>
      </w:r>
    </w:p>
    <w:p w14:paraId="0B2D6BF9">
      <w:pPr>
        <w:spacing w:line="420" w:lineRule="exact"/>
        <w:ind w:firstLine="602"/>
        <w:rPr>
          <w:rFonts w:hint="eastAsia" w:ascii="宋体" w:hAnsi="宋体" w:eastAsia="宋体" w:cs="宋体"/>
          <w:b/>
          <w:bCs/>
          <w:sz w:val="28"/>
          <w:szCs w:val="28"/>
        </w:rPr>
      </w:pPr>
    </w:p>
    <w:p w14:paraId="11CA445A">
      <w:pPr>
        <w:spacing w:line="420" w:lineRule="exact"/>
        <w:ind w:firstLine="602"/>
        <w:rPr>
          <w:rFonts w:hint="eastAsia" w:ascii="宋体" w:hAnsi="宋体" w:eastAsia="宋体" w:cs="宋体"/>
          <w:b/>
          <w:bCs/>
          <w:sz w:val="28"/>
          <w:szCs w:val="28"/>
        </w:rPr>
      </w:pPr>
    </w:p>
    <w:p w14:paraId="5042D5E1">
      <w:pPr>
        <w:keepNext w:val="0"/>
        <w:keepLines w:val="0"/>
        <w:pageBreakBefore w:val="0"/>
        <w:widowControl w:val="0"/>
        <w:kinsoku/>
        <w:wordWrap/>
        <w:overflowPunct/>
        <w:topLinePunct w:val="0"/>
        <w:autoSpaceDE/>
        <w:autoSpaceDN/>
        <w:bidi w:val="0"/>
        <w:adjustRightInd/>
        <w:snapToGrid/>
        <w:spacing w:line="480" w:lineRule="auto"/>
        <w:ind w:firstLine="0"/>
        <w:jc w:val="center"/>
        <w:textAlignment w:val="auto"/>
        <w:rPr>
          <w:rFonts w:hint="eastAsia" w:ascii="宋体" w:hAnsi="宋体" w:eastAsia="宋体" w:cs="宋体"/>
          <w:b/>
          <w:sz w:val="28"/>
          <w:szCs w:val="28"/>
        </w:rPr>
      </w:pPr>
      <w:r>
        <w:rPr>
          <w:rFonts w:hint="eastAsia" w:ascii="宋体" w:hAnsi="宋体" w:eastAsia="宋体" w:cs="宋体"/>
          <w:b/>
          <w:sz w:val="28"/>
          <w:szCs w:val="28"/>
        </w:rPr>
        <w:t>第一部分 合同书</w:t>
      </w:r>
    </w:p>
    <w:p w14:paraId="60CDEFEB">
      <w:pPr>
        <w:widowControl/>
        <w:spacing w:before="120" w:after="160" w:line="480" w:lineRule="auto"/>
        <w:rPr>
          <w:rFonts w:hint="eastAsia" w:ascii="宋体" w:hAnsi="宋体" w:eastAsia="宋体" w:cs="宋体"/>
          <w:bCs/>
          <w:sz w:val="28"/>
          <w:szCs w:val="28"/>
        </w:rPr>
      </w:pPr>
    </w:p>
    <w:p w14:paraId="166F25A9">
      <w:pPr>
        <w:spacing w:line="600" w:lineRule="auto"/>
        <w:jc w:val="center"/>
        <w:rPr>
          <w:rFonts w:hint="eastAsia" w:ascii="宋体" w:hAnsi="宋体" w:cs="宋体"/>
          <w:b/>
          <w:bCs/>
          <w:sz w:val="28"/>
          <w:szCs w:val="28"/>
          <w:u w:val="single"/>
          <w:lang w:eastAsia="zh-CN"/>
        </w:rPr>
      </w:pPr>
      <w:r>
        <w:rPr>
          <w:rFonts w:hint="eastAsia" w:ascii="宋体" w:hAnsi="宋体" w:eastAsia="宋体" w:cs="宋体"/>
          <w:b/>
          <w:bCs/>
          <w:sz w:val="28"/>
          <w:szCs w:val="28"/>
        </w:rPr>
        <w:t>项目名称：</w:t>
      </w:r>
      <w:r>
        <w:rPr>
          <w:rFonts w:hint="eastAsia" w:ascii="宋体" w:hAnsi="宋体" w:cs="宋体"/>
          <w:b/>
          <w:bCs/>
          <w:sz w:val="28"/>
          <w:szCs w:val="28"/>
          <w:u w:val="single"/>
          <w:lang w:eastAsia="zh-CN"/>
        </w:rPr>
        <w:t>南通公安大病特困救助基金会2025民警家庭医疗保险项目</w:t>
      </w:r>
    </w:p>
    <w:p w14:paraId="0852654C">
      <w:pPr>
        <w:spacing w:line="600" w:lineRule="auto"/>
        <w:ind w:firstLine="843" w:firstLineChars="300"/>
        <w:jc w:val="left"/>
        <w:rPr>
          <w:rFonts w:hint="eastAsia" w:ascii="宋体" w:hAnsi="宋体" w:eastAsia="宋体" w:cs="宋体"/>
          <w:b/>
          <w:sz w:val="28"/>
          <w:szCs w:val="28"/>
          <w:highlight w:val="yellow"/>
          <w:u w:val="single"/>
        </w:rPr>
      </w:pPr>
      <w:r>
        <w:rPr>
          <w:rFonts w:hint="eastAsia" w:ascii="宋体" w:hAnsi="宋体" w:eastAsia="宋体" w:cs="宋体"/>
          <w:b/>
          <w:bCs/>
          <w:sz w:val="28"/>
          <w:szCs w:val="28"/>
        </w:rPr>
        <w:t>项目编号：</w:t>
      </w:r>
    </w:p>
    <w:p w14:paraId="000820FF">
      <w:pPr>
        <w:spacing w:line="420" w:lineRule="exact"/>
        <w:ind w:firstLine="1004"/>
        <w:jc w:val="left"/>
        <w:rPr>
          <w:rFonts w:hint="eastAsia" w:ascii="宋体" w:hAnsi="宋体" w:eastAsia="宋体" w:cs="宋体"/>
          <w:b/>
          <w:bCs/>
          <w:sz w:val="21"/>
          <w:szCs w:val="21"/>
        </w:rPr>
      </w:pPr>
    </w:p>
    <w:p w14:paraId="5D93F037">
      <w:pPr>
        <w:spacing w:line="420" w:lineRule="exact"/>
        <w:ind w:firstLine="1004"/>
        <w:jc w:val="left"/>
        <w:rPr>
          <w:rFonts w:hint="eastAsia" w:ascii="宋体" w:hAnsi="宋体" w:eastAsia="宋体" w:cs="宋体"/>
          <w:b/>
          <w:bCs/>
          <w:sz w:val="21"/>
          <w:szCs w:val="21"/>
        </w:rPr>
      </w:pPr>
    </w:p>
    <w:p w14:paraId="17E8BFDD">
      <w:pPr>
        <w:spacing w:line="420" w:lineRule="exact"/>
        <w:ind w:firstLine="1004"/>
        <w:jc w:val="left"/>
        <w:rPr>
          <w:rFonts w:hint="eastAsia" w:ascii="宋体" w:hAnsi="宋体" w:eastAsia="宋体" w:cs="宋体"/>
          <w:b/>
          <w:bCs/>
          <w:sz w:val="21"/>
          <w:szCs w:val="21"/>
        </w:rPr>
      </w:pPr>
    </w:p>
    <w:p w14:paraId="23690F8D">
      <w:pPr>
        <w:spacing w:line="420" w:lineRule="exact"/>
        <w:ind w:firstLine="1004"/>
        <w:jc w:val="left"/>
        <w:rPr>
          <w:rFonts w:hint="eastAsia" w:ascii="宋体" w:hAnsi="宋体" w:eastAsia="宋体" w:cs="宋体"/>
          <w:b/>
          <w:bCs/>
          <w:sz w:val="21"/>
          <w:szCs w:val="21"/>
        </w:rPr>
      </w:pPr>
    </w:p>
    <w:p w14:paraId="3C66AAC0">
      <w:pPr>
        <w:keepNext w:val="0"/>
        <w:keepLines w:val="0"/>
        <w:pageBreakBefore w:val="0"/>
        <w:widowControl/>
        <w:kinsoku/>
        <w:wordWrap/>
        <w:overflowPunct/>
        <w:topLinePunct w:val="0"/>
        <w:autoSpaceDE/>
        <w:autoSpaceDN/>
        <w:bidi w:val="0"/>
        <w:adjustRightInd/>
        <w:snapToGrid/>
        <w:spacing w:before="120" w:after="160" w:line="480" w:lineRule="auto"/>
        <w:ind w:left="0" w:firstLine="840" w:firstLineChars="400"/>
        <w:jc w:val="left"/>
        <w:textAlignment w:val="auto"/>
        <w:rPr>
          <w:rFonts w:hint="eastAsia" w:ascii="宋体" w:hAnsi="宋体" w:eastAsia="宋体" w:cs="宋体"/>
          <w:bCs/>
          <w:sz w:val="21"/>
          <w:szCs w:val="21"/>
          <w:u w:val="single"/>
        </w:rPr>
      </w:pPr>
      <w:r>
        <w:rPr>
          <w:rFonts w:hint="eastAsia" w:ascii="宋体" w:hAnsi="宋体" w:eastAsia="宋体" w:cs="宋体"/>
          <w:bCs/>
          <w:sz w:val="21"/>
          <w:szCs w:val="21"/>
        </w:rPr>
        <w:t>甲方（采 购 人）：</w:t>
      </w:r>
    </w:p>
    <w:p w14:paraId="359F7A39">
      <w:pPr>
        <w:keepNext w:val="0"/>
        <w:keepLines w:val="0"/>
        <w:pageBreakBefore w:val="0"/>
        <w:widowControl/>
        <w:kinsoku/>
        <w:wordWrap/>
        <w:overflowPunct/>
        <w:topLinePunct w:val="0"/>
        <w:autoSpaceDE/>
        <w:autoSpaceDN/>
        <w:bidi w:val="0"/>
        <w:adjustRightInd/>
        <w:snapToGrid/>
        <w:spacing w:before="120" w:after="160" w:line="480" w:lineRule="auto"/>
        <w:ind w:left="0" w:firstLine="840" w:firstLineChars="400"/>
        <w:jc w:val="left"/>
        <w:textAlignment w:val="auto"/>
        <w:rPr>
          <w:rFonts w:hint="eastAsia" w:ascii="宋体" w:hAnsi="宋体" w:eastAsia="宋体" w:cs="宋体"/>
          <w:bCs/>
          <w:sz w:val="21"/>
          <w:szCs w:val="21"/>
          <w:u w:val="single"/>
        </w:rPr>
      </w:pPr>
      <w:r>
        <w:rPr>
          <w:rFonts w:hint="eastAsia" w:ascii="宋体" w:hAnsi="宋体" w:eastAsia="宋体" w:cs="宋体"/>
          <w:bCs/>
          <w:sz w:val="21"/>
          <w:szCs w:val="21"/>
        </w:rPr>
        <w:t>乙方（成交投标人）：</w:t>
      </w:r>
    </w:p>
    <w:p w14:paraId="074CCB44">
      <w:pPr>
        <w:keepNext w:val="0"/>
        <w:keepLines w:val="0"/>
        <w:pageBreakBefore w:val="0"/>
        <w:widowControl/>
        <w:kinsoku/>
        <w:wordWrap/>
        <w:overflowPunct/>
        <w:topLinePunct w:val="0"/>
        <w:autoSpaceDE/>
        <w:autoSpaceDN/>
        <w:bidi w:val="0"/>
        <w:adjustRightInd/>
        <w:snapToGrid/>
        <w:spacing w:before="120" w:after="160" w:line="480" w:lineRule="auto"/>
        <w:ind w:left="0" w:firstLine="840" w:firstLineChars="400"/>
        <w:jc w:val="left"/>
        <w:textAlignment w:val="auto"/>
        <w:rPr>
          <w:rFonts w:hint="eastAsia" w:ascii="宋体" w:hAnsi="宋体" w:eastAsia="宋体" w:cs="宋体"/>
          <w:bCs/>
          <w:sz w:val="21"/>
          <w:szCs w:val="21"/>
          <w:u w:val="single"/>
        </w:rPr>
      </w:pPr>
      <w:r>
        <w:rPr>
          <w:rFonts w:hint="eastAsia" w:ascii="宋体" w:hAnsi="宋体" w:eastAsia="宋体" w:cs="宋体"/>
          <w:bCs/>
          <w:sz w:val="21"/>
          <w:szCs w:val="21"/>
        </w:rPr>
        <w:t>签 订 地：</w:t>
      </w:r>
      <w:r>
        <w:rPr>
          <w:rFonts w:hint="eastAsia" w:ascii="宋体" w:hAnsi="宋体" w:eastAsia="宋体" w:cs="宋体"/>
          <w:bCs/>
          <w:sz w:val="21"/>
          <w:szCs w:val="21"/>
          <w:u w:val="single"/>
        </w:rPr>
        <w:t xml:space="preserve">            南通市                </w:t>
      </w:r>
    </w:p>
    <w:p w14:paraId="5A10DD4E">
      <w:pPr>
        <w:keepNext w:val="0"/>
        <w:keepLines w:val="0"/>
        <w:pageBreakBefore w:val="0"/>
        <w:widowControl/>
        <w:kinsoku/>
        <w:wordWrap/>
        <w:overflowPunct/>
        <w:topLinePunct w:val="0"/>
        <w:autoSpaceDE/>
        <w:autoSpaceDN/>
        <w:bidi w:val="0"/>
        <w:adjustRightInd/>
        <w:snapToGrid/>
        <w:spacing w:before="120" w:after="160" w:line="480" w:lineRule="auto"/>
        <w:ind w:left="0" w:firstLine="840" w:firstLineChars="400"/>
        <w:jc w:val="left"/>
        <w:textAlignment w:val="auto"/>
        <w:rPr>
          <w:rFonts w:hint="eastAsia" w:ascii="宋体" w:hAnsi="宋体" w:eastAsia="宋体" w:cs="宋体"/>
          <w:bCs/>
          <w:sz w:val="21"/>
          <w:szCs w:val="21"/>
          <w:u w:val="single"/>
        </w:rPr>
      </w:pPr>
      <w:r>
        <w:rPr>
          <w:rFonts w:hint="eastAsia" w:ascii="宋体" w:hAnsi="宋体" w:eastAsia="宋体" w:cs="宋体"/>
          <w:bCs/>
          <w:sz w:val="21"/>
          <w:szCs w:val="21"/>
        </w:rPr>
        <w:t>签订日期：</w:t>
      </w:r>
      <w:r>
        <w:rPr>
          <w:rFonts w:hint="eastAsia" w:ascii="宋体" w:hAnsi="宋体" w:cs="宋体"/>
          <w:bCs/>
          <w:sz w:val="21"/>
          <w:szCs w:val="21"/>
          <w:lang w:val="en-US" w:eastAsia="zh-CN"/>
        </w:rPr>
        <w:t xml:space="preserve"> </w:t>
      </w:r>
      <w:r>
        <w:rPr>
          <w:rFonts w:hint="eastAsia" w:ascii="宋体" w:hAnsi="宋体" w:eastAsia="宋体" w:cs="宋体"/>
          <w:bCs/>
          <w:sz w:val="21"/>
          <w:szCs w:val="21"/>
        </w:rPr>
        <w:t>年</w:t>
      </w:r>
      <w:r>
        <w:rPr>
          <w:rFonts w:hint="eastAsia" w:ascii="宋体" w:hAnsi="宋体" w:cs="宋体"/>
          <w:bCs/>
          <w:sz w:val="21"/>
          <w:szCs w:val="21"/>
          <w:lang w:val="en-US" w:eastAsia="zh-CN"/>
        </w:rPr>
        <w:t xml:space="preserve"> </w:t>
      </w:r>
      <w:r>
        <w:rPr>
          <w:rFonts w:hint="eastAsia" w:ascii="宋体" w:hAnsi="宋体" w:eastAsia="宋体" w:cs="宋体"/>
          <w:bCs/>
          <w:sz w:val="21"/>
          <w:szCs w:val="21"/>
        </w:rPr>
        <w:t>月</w:t>
      </w:r>
      <w:r>
        <w:rPr>
          <w:rFonts w:hint="eastAsia" w:ascii="宋体" w:hAnsi="宋体" w:cs="宋体"/>
          <w:bCs/>
          <w:sz w:val="21"/>
          <w:szCs w:val="21"/>
          <w:lang w:val="en-US" w:eastAsia="zh-CN"/>
        </w:rPr>
        <w:t xml:space="preserve"> </w:t>
      </w:r>
      <w:r>
        <w:rPr>
          <w:rFonts w:hint="eastAsia" w:ascii="宋体" w:hAnsi="宋体" w:eastAsia="宋体" w:cs="宋体"/>
          <w:bCs/>
          <w:sz w:val="21"/>
          <w:szCs w:val="21"/>
        </w:rPr>
        <w:t>日</w:t>
      </w:r>
    </w:p>
    <w:p w14:paraId="24D90ED6">
      <w:pPr>
        <w:spacing w:line="420" w:lineRule="exact"/>
        <w:ind w:firstLine="602"/>
        <w:rPr>
          <w:rFonts w:hint="eastAsia" w:ascii="宋体" w:hAnsi="宋体" w:eastAsia="宋体" w:cs="宋体"/>
          <w:b/>
          <w:bCs/>
          <w:sz w:val="21"/>
          <w:szCs w:val="21"/>
        </w:rPr>
      </w:pPr>
    </w:p>
    <w:p w14:paraId="75E916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br w:type="page" w:clear="all"/>
      </w:r>
      <w:r>
        <w:rPr>
          <w:rFonts w:hint="eastAsia" w:ascii="宋体" w:hAnsi="宋体" w:cs="宋体"/>
          <w:b/>
          <w:bCs/>
          <w:sz w:val="21"/>
          <w:szCs w:val="21"/>
          <w:lang w:val="en-US" w:eastAsia="zh-CN"/>
        </w:rPr>
        <w:t>2025</w:t>
      </w:r>
      <w:r>
        <w:rPr>
          <w:rFonts w:hint="eastAsia" w:ascii="宋体" w:hAnsi="宋体" w:eastAsia="宋体" w:cs="宋体"/>
          <w:bCs/>
          <w:sz w:val="21"/>
          <w:szCs w:val="21"/>
          <w:lang w:val="zh-CN"/>
        </w:rPr>
        <w:t>年</w:t>
      </w:r>
      <w:r>
        <w:rPr>
          <w:rFonts w:hint="eastAsia" w:ascii="宋体" w:hAnsi="宋体" w:cs="宋体"/>
          <w:bCs/>
          <w:sz w:val="21"/>
          <w:szCs w:val="21"/>
          <w:lang w:val="en-US" w:eastAsia="zh-CN"/>
        </w:rPr>
        <w:t xml:space="preserve"> </w:t>
      </w:r>
      <w:r>
        <w:rPr>
          <w:rFonts w:hint="eastAsia" w:ascii="宋体" w:hAnsi="宋体" w:eastAsia="宋体" w:cs="宋体"/>
          <w:bCs/>
          <w:sz w:val="21"/>
          <w:szCs w:val="21"/>
          <w:lang w:val="zh-CN"/>
        </w:rPr>
        <w:t>月</w:t>
      </w:r>
      <w:r>
        <w:rPr>
          <w:rFonts w:hint="eastAsia" w:ascii="宋体" w:hAnsi="宋体" w:cs="宋体"/>
          <w:bCs/>
          <w:sz w:val="21"/>
          <w:szCs w:val="21"/>
          <w:lang w:val="en-US" w:eastAsia="zh-CN"/>
        </w:rPr>
        <w:t xml:space="preserve"> </w:t>
      </w:r>
      <w:r>
        <w:rPr>
          <w:rFonts w:hint="eastAsia" w:ascii="宋体" w:hAnsi="宋体" w:eastAsia="宋体" w:cs="宋体"/>
          <w:bCs/>
          <w:sz w:val="21"/>
          <w:szCs w:val="21"/>
          <w:lang w:val="zh-CN"/>
        </w:rPr>
        <w:t>日</w:t>
      </w:r>
      <w:r>
        <w:rPr>
          <w:rFonts w:hint="eastAsia" w:ascii="宋体" w:hAnsi="宋体" w:eastAsia="宋体" w:cs="宋体"/>
          <w:bCs/>
          <w:sz w:val="21"/>
          <w:szCs w:val="21"/>
        </w:rPr>
        <w:t>，</w:t>
      </w:r>
      <w:r>
        <w:rPr>
          <w:rFonts w:hint="eastAsia" w:ascii="宋体" w:hAnsi="宋体" w:eastAsia="宋体" w:cs="宋体"/>
          <w:bCs/>
          <w:sz w:val="21"/>
          <w:szCs w:val="21"/>
          <w:u w:val="single"/>
        </w:rPr>
        <w:t>南通公安大病特困救助基金会</w:t>
      </w:r>
      <w:r>
        <w:rPr>
          <w:rFonts w:hint="eastAsia" w:ascii="宋体" w:hAnsi="宋体" w:eastAsia="宋体" w:cs="宋体"/>
          <w:bCs/>
          <w:sz w:val="21"/>
          <w:szCs w:val="21"/>
        </w:rPr>
        <w:t>以</w:t>
      </w:r>
      <w:r>
        <w:rPr>
          <w:rFonts w:hint="eastAsia" w:ascii="宋体" w:hAnsi="宋体" w:cs="宋体"/>
          <w:bCs/>
          <w:sz w:val="21"/>
          <w:szCs w:val="21"/>
          <w:u w:val="single"/>
          <w:lang w:val="en-US" w:eastAsia="zh-CN"/>
        </w:rPr>
        <w:t>公开竞争性磋商</w:t>
      </w:r>
      <w:r>
        <w:rPr>
          <w:rFonts w:hint="eastAsia" w:ascii="宋体" w:hAnsi="宋体" w:eastAsia="宋体" w:cs="宋体"/>
          <w:bCs/>
          <w:sz w:val="21"/>
          <w:szCs w:val="21"/>
        </w:rPr>
        <w:t>对</w:t>
      </w:r>
      <w:r>
        <w:rPr>
          <w:rFonts w:hint="eastAsia" w:ascii="宋体" w:hAnsi="宋体" w:cs="宋体"/>
          <w:b/>
          <w:sz w:val="21"/>
          <w:szCs w:val="21"/>
          <w:u w:val="single"/>
          <w:lang w:val="en-US" w:eastAsia="zh-CN"/>
        </w:rPr>
        <w:t xml:space="preserve">        </w:t>
      </w:r>
      <w:r>
        <w:rPr>
          <w:rFonts w:hint="eastAsia" w:ascii="宋体" w:hAnsi="宋体" w:eastAsia="宋体" w:cs="宋体"/>
          <w:bCs/>
          <w:sz w:val="21"/>
          <w:szCs w:val="21"/>
        </w:rPr>
        <w:t>项目进行了采购。经</w:t>
      </w:r>
      <w:r>
        <w:rPr>
          <w:rFonts w:hint="eastAsia" w:ascii="宋体" w:hAnsi="宋体" w:cs="宋体"/>
          <w:bCs/>
          <w:sz w:val="21"/>
          <w:szCs w:val="21"/>
          <w:u w:val="single"/>
          <w:lang w:val="en-US" w:eastAsia="zh-CN"/>
        </w:rPr>
        <w:t>评审小组</w:t>
      </w:r>
      <w:r>
        <w:rPr>
          <w:rFonts w:hint="eastAsia" w:ascii="宋体" w:hAnsi="宋体" w:eastAsia="宋体" w:cs="宋体"/>
          <w:bCs/>
          <w:sz w:val="21"/>
          <w:szCs w:val="21"/>
        </w:rPr>
        <w:t>评定，</w:t>
      </w:r>
      <w:r>
        <w:rPr>
          <w:rFonts w:hint="eastAsia" w:ascii="宋体" w:hAnsi="宋体" w:eastAsia="宋体" w:cs="宋体"/>
          <w:bCs/>
          <w:sz w:val="21"/>
          <w:szCs w:val="21"/>
          <w:u w:val="single"/>
        </w:rPr>
        <w:t>（成交</w:t>
      </w:r>
      <w:r>
        <w:rPr>
          <w:rFonts w:hint="eastAsia" w:ascii="宋体" w:hAnsi="宋体" w:cs="宋体"/>
          <w:bCs/>
          <w:sz w:val="21"/>
          <w:szCs w:val="21"/>
          <w:u w:val="single"/>
          <w:lang w:val="en-US" w:eastAsia="zh-CN"/>
        </w:rPr>
        <w:t>供应商</w:t>
      </w:r>
      <w:r>
        <w:rPr>
          <w:rFonts w:hint="eastAsia" w:ascii="宋体" w:hAnsi="宋体" w:eastAsia="宋体" w:cs="宋体"/>
          <w:bCs/>
          <w:sz w:val="21"/>
          <w:szCs w:val="21"/>
          <w:u w:val="single"/>
        </w:rPr>
        <w:t xml:space="preserve">名称） </w:t>
      </w:r>
      <w:r>
        <w:rPr>
          <w:rFonts w:hint="eastAsia" w:ascii="宋体" w:hAnsi="宋体" w:eastAsia="宋体" w:cs="宋体"/>
          <w:bCs/>
          <w:sz w:val="21"/>
          <w:szCs w:val="21"/>
        </w:rPr>
        <w:t>为该项目成交</w:t>
      </w:r>
      <w:r>
        <w:rPr>
          <w:rFonts w:hint="eastAsia" w:ascii="宋体" w:hAnsi="宋体" w:cs="宋体"/>
          <w:bCs/>
          <w:sz w:val="21"/>
          <w:szCs w:val="21"/>
          <w:lang w:val="en-US" w:eastAsia="zh-CN"/>
        </w:rPr>
        <w:t>供应商</w:t>
      </w:r>
      <w:r>
        <w:rPr>
          <w:rFonts w:hint="eastAsia" w:ascii="宋体" w:hAnsi="宋体" w:eastAsia="宋体" w:cs="宋体"/>
          <w:bCs/>
          <w:sz w:val="21"/>
          <w:szCs w:val="21"/>
        </w:rPr>
        <w:t>。现于成交通知书发出之日起三十日内，按照采购文件确定的事项签订本合同。</w:t>
      </w:r>
    </w:p>
    <w:p w14:paraId="7F7F03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bookmarkStart w:id="7" w:name="_Hlk63008672"/>
      <w:bookmarkStart w:id="8" w:name="_Hlk63008690"/>
      <w:r>
        <w:rPr>
          <w:rFonts w:hint="eastAsia" w:ascii="宋体" w:hAnsi="宋体" w:eastAsia="宋体" w:cs="宋体"/>
          <w:sz w:val="21"/>
          <w:szCs w:val="21"/>
        </w:rPr>
        <w:t>根据</w:t>
      </w:r>
      <w:r>
        <w:rPr>
          <w:rFonts w:hint="eastAsia" w:ascii="宋体" w:hAnsi="宋体" w:eastAsia="宋体" w:cs="宋体"/>
          <w:bCs/>
          <w:sz w:val="21"/>
          <w:szCs w:val="21"/>
          <w:lang w:val="zh-CN"/>
        </w:rPr>
        <w:t>《</w:t>
      </w:r>
      <w:r>
        <w:rPr>
          <w:rFonts w:hint="eastAsia" w:ascii="宋体" w:hAnsi="宋体" w:eastAsia="宋体" w:cs="宋体"/>
          <w:sz w:val="21"/>
          <w:szCs w:val="21"/>
        </w:rPr>
        <w:t>中华人民共和国招标投标法</w:t>
      </w:r>
      <w:r>
        <w:rPr>
          <w:rFonts w:hint="eastAsia" w:ascii="宋体" w:hAnsi="宋体" w:eastAsia="宋体" w:cs="宋体"/>
          <w:bCs/>
          <w:sz w:val="21"/>
          <w:szCs w:val="21"/>
          <w:lang w:val="zh-CN"/>
        </w:rPr>
        <w:t>》</w:t>
      </w:r>
      <w:r>
        <w:rPr>
          <w:rFonts w:hint="eastAsia" w:ascii="宋体" w:hAnsi="宋体" w:eastAsia="宋体" w:cs="宋体"/>
          <w:sz w:val="21"/>
          <w:szCs w:val="21"/>
        </w:rPr>
        <w:t>及其实施条例、《中华人民共和国民法典》</w:t>
      </w:r>
      <w:bookmarkEnd w:id="7"/>
      <w:r>
        <w:rPr>
          <w:rFonts w:hint="eastAsia" w:ascii="宋体" w:hAnsi="宋体" w:eastAsia="宋体" w:cs="宋体"/>
          <w:sz w:val="21"/>
          <w:szCs w:val="21"/>
        </w:rPr>
        <w:t>等法律法规的规定</w:t>
      </w:r>
      <w:bookmarkEnd w:id="8"/>
      <w:r>
        <w:rPr>
          <w:rFonts w:hint="eastAsia" w:ascii="宋体" w:hAnsi="宋体" w:eastAsia="宋体" w:cs="宋体"/>
          <w:bCs/>
          <w:sz w:val="21"/>
          <w:szCs w:val="21"/>
          <w:lang w:val="zh-CN"/>
        </w:rPr>
        <w:t>，按照平等、自愿、公平和诚实信用的原则，经</w:t>
      </w:r>
      <w:r>
        <w:rPr>
          <w:rFonts w:hint="eastAsia" w:ascii="宋体" w:hAnsi="宋体" w:eastAsia="宋体" w:cs="宋体"/>
          <w:bCs/>
          <w:sz w:val="21"/>
          <w:szCs w:val="21"/>
          <w:u w:val="single"/>
        </w:rPr>
        <w:t>南通公安大病特困救助基金会</w:t>
      </w:r>
      <w:r>
        <w:rPr>
          <w:rFonts w:hint="eastAsia" w:ascii="宋体" w:hAnsi="宋体" w:eastAsia="宋体" w:cs="宋体"/>
          <w:bCs/>
          <w:sz w:val="21"/>
          <w:szCs w:val="21"/>
          <w:lang w:val="zh-CN"/>
        </w:rPr>
        <w:t>（以下简称：甲方）和</w:t>
      </w:r>
      <w:r>
        <w:rPr>
          <w:rFonts w:hint="eastAsia" w:ascii="宋体" w:hAnsi="宋体" w:eastAsia="宋体" w:cs="宋体"/>
          <w:bCs/>
          <w:sz w:val="21"/>
          <w:szCs w:val="21"/>
          <w:u w:val="single"/>
        </w:rPr>
        <w:t xml:space="preserve">   （成交</w:t>
      </w:r>
      <w:r>
        <w:rPr>
          <w:rFonts w:hint="eastAsia" w:ascii="宋体" w:hAnsi="宋体" w:cs="宋体"/>
          <w:bCs/>
          <w:sz w:val="21"/>
          <w:szCs w:val="21"/>
          <w:u w:val="single"/>
          <w:lang w:val="en-US" w:eastAsia="zh-CN"/>
        </w:rPr>
        <w:t>供应商</w:t>
      </w:r>
      <w:r>
        <w:rPr>
          <w:rFonts w:hint="eastAsia" w:ascii="宋体" w:hAnsi="宋体" w:eastAsia="宋体" w:cs="宋体"/>
          <w:bCs/>
          <w:sz w:val="21"/>
          <w:szCs w:val="21"/>
          <w:u w:val="single"/>
        </w:rPr>
        <w:t xml:space="preserve">名称）   </w:t>
      </w:r>
      <w:r>
        <w:rPr>
          <w:rFonts w:hint="eastAsia" w:ascii="宋体" w:hAnsi="宋体" w:eastAsia="宋体" w:cs="宋体"/>
          <w:bCs/>
          <w:sz w:val="21"/>
          <w:szCs w:val="21"/>
          <w:lang w:val="zh-CN"/>
        </w:rPr>
        <w:t>（以下简称：乙方）协商一致，约定以下合同</w:t>
      </w:r>
      <w:r>
        <w:rPr>
          <w:rFonts w:hint="eastAsia" w:ascii="宋体" w:hAnsi="宋体" w:eastAsia="宋体" w:cs="宋体"/>
          <w:bCs/>
          <w:sz w:val="21"/>
          <w:szCs w:val="21"/>
        </w:rPr>
        <w:t>条款，以兹共同遵守、全面履行。</w:t>
      </w:r>
    </w:p>
    <w:p w14:paraId="571BE4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sz w:val="21"/>
          <w:szCs w:val="21"/>
        </w:rPr>
      </w:pPr>
      <w:bookmarkStart w:id="9" w:name="_Toc15367"/>
      <w:bookmarkStart w:id="10" w:name="_Toc28855"/>
      <w:bookmarkStart w:id="11" w:name="_Toc22967"/>
      <w:bookmarkStart w:id="12" w:name="_Toc20421"/>
      <w:bookmarkStart w:id="13" w:name="_Toc19273"/>
      <w:r>
        <w:rPr>
          <w:rFonts w:hint="eastAsia" w:ascii="宋体" w:hAnsi="宋体" w:eastAsia="宋体" w:cs="宋体"/>
          <w:b/>
          <w:bCs/>
          <w:sz w:val="21"/>
          <w:szCs w:val="21"/>
        </w:rPr>
        <w:t>1.1 合同组成部分</w:t>
      </w:r>
      <w:bookmarkEnd w:id="9"/>
      <w:bookmarkEnd w:id="10"/>
      <w:bookmarkEnd w:id="11"/>
      <w:bookmarkEnd w:id="12"/>
      <w:bookmarkEnd w:id="13"/>
    </w:p>
    <w:p w14:paraId="67A8D5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3F25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1.1.1本合同及其补充合同、变更协议。</w:t>
      </w:r>
    </w:p>
    <w:p w14:paraId="2BF8A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1.1.2成交通知书。</w:t>
      </w:r>
    </w:p>
    <w:p w14:paraId="47EA63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1.1.3采购文件（含澄清或者说明文件）。</w:t>
      </w:r>
    </w:p>
    <w:p w14:paraId="5FD3A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1.1.4响应文件（含澄清或者修改文件）。</w:t>
      </w:r>
    </w:p>
    <w:p w14:paraId="179B8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1.1.5其他相关采购文件。</w:t>
      </w:r>
    </w:p>
    <w:p w14:paraId="35455E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4" w:name="_Toc18585"/>
      <w:bookmarkStart w:id="15" w:name="_Toc22185"/>
      <w:bookmarkStart w:id="16" w:name="_Toc6311"/>
      <w:bookmarkStart w:id="17" w:name="_Toc6773"/>
      <w:bookmarkStart w:id="18" w:name="_Toc2918"/>
      <w:r>
        <w:rPr>
          <w:rFonts w:hint="eastAsia" w:ascii="宋体" w:hAnsi="宋体" w:eastAsia="宋体" w:cs="宋体"/>
          <w:b/>
          <w:bCs/>
          <w:sz w:val="21"/>
          <w:szCs w:val="21"/>
        </w:rPr>
        <w:t>1.2 标的</w:t>
      </w:r>
      <w:bookmarkEnd w:id="14"/>
      <w:bookmarkEnd w:id="15"/>
      <w:bookmarkEnd w:id="16"/>
      <w:bookmarkEnd w:id="17"/>
      <w:bookmarkEnd w:id="18"/>
    </w:p>
    <w:p w14:paraId="7F94CA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u w:val="single"/>
          <w:lang w:eastAsia="zh-CN"/>
        </w:rPr>
      </w:pPr>
      <w:r>
        <w:rPr>
          <w:rFonts w:hint="eastAsia" w:ascii="宋体" w:hAnsi="宋体" w:eastAsia="宋体" w:cs="宋体"/>
          <w:bCs/>
          <w:sz w:val="21"/>
          <w:szCs w:val="21"/>
        </w:rPr>
        <w:t>1.2.1标的名称：</w:t>
      </w:r>
      <w:r>
        <w:rPr>
          <w:rFonts w:hint="eastAsia" w:ascii="宋体" w:hAnsi="宋体" w:cs="宋体"/>
          <w:b/>
          <w:bCs/>
          <w:sz w:val="21"/>
          <w:szCs w:val="21"/>
          <w:u w:val="single"/>
          <w:lang w:val="en-US" w:eastAsia="zh-CN"/>
        </w:rPr>
        <w:t xml:space="preserve"> </w:t>
      </w:r>
    </w:p>
    <w:p w14:paraId="3A4493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u w:val="single"/>
        </w:rPr>
      </w:pPr>
      <w:r>
        <w:rPr>
          <w:rFonts w:hint="eastAsia" w:ascii="宋体" w:hAnsi="宋体" w:eastAsia="宋体" w:cs="宋体"/>
          <w:bCs/>
          <w:sz w:val="21"/>
          <w:szCs w:val="21"/>
        </w:rPr>
        <w:t>1.2.2标的数量：</w:t>
      </w:r>
      <w:r>
        <w:rPr>
          <w:rFonts w:hint="eastAsia" w:ascii="宋体" w:hAnsi="宋体" w:eastAsia="宋体" w:cs="宋体"/>
          <w:bCs/>
          <w:sz w:val="21"/>
          <w:szCs w:val="21"/>
          <w:u w:val="single"/>
        </w:rPr>
        <w:t>1项。</w:t>
      </w:r>
    </w:p>
    <w:p w14:paraId="2DF450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u w:val="single"/>
        </w:rPr>
      </w:pPr>
      <w:r>
        <w:rPr>
          <w:rFonts w:hint="eastAsia" w:ascii="宋体" w:hAnsi="宋体" w:eastAsia="宋体" w:cs="宋体"/>
          <w:bCs/>
          <w:sz w:val="21"/>
          <w:szCs w:val="21"/>
        </w:rPr>
        <w:t>1.2.3标的内容：</w:t>
      </w:r>
    </w:p>
    <w:p w14:paraId="66AF54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9" w:name="_Toc5635"/>
      <w:bookmarkStart w:id="20" w:name="_Toc4929"/>
      <w:bookmarkStart w:id="21" w:name="_Toc21124"/>
      <w:bookmarkStart w:id="22" w:name="_Toc1386"/>
      <w:bookmarkStart w:id="23" w:name="_Toc13918"/>
      <w:r>
        <w:rPr>
          <w:rFonts w:hint="eastAsia" w:ascii="宋体" w:hAnsi="宋体" w:eastAsia="宋体" w:cs="宋体"/>
          <w:b/>
          <w:bCs/>
          <w:sz w:val="21"/>
          <w:szCs w:val="21"/>
        </w:rPr>
        <w:t>1.3 价款</w:t>
      </w:r>
      <w:bookmarkEnd w:id="19"/>
      <w:bookmarkEnd w:id="20"/>
      <w:bookmarkEnd w:id="21"/>
      <w:bookmarkEnd w:id="22"/>
      <w:bookmarkEnd w:id="23"/>
    </w:p>
    <w:p w14:paraId="7233E8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本合同</w:t>
      </w:r>
      <w:r>
        <w:rPr>
          <w:rFonts w:hint="eastAsia" w:ascii="宋体" w:hAnsi="宋体" w:cs="宋体"/>
          <w:bCs/>
          <w:sz w:val="21"/>
          <w:szCs w:val="21"/>
          <w:lang w:val="en-US" w:eastAsia="zh-CN"/>
        </w:rPr>
        <w:t>价款</w:t>
      </w:r>
      <w:r>
        <w:rPr>
          <w:rFonts w:hint="eastAsia" w:ascii="宋体" w:hAnsi="宋体" w:eastAsia="宋体" w:cs="宋体"/>
          <w:bCs/>
          <w:sz w:val="21"/>
          <w:szCs w:val="21"/>
        </w:rPr>
        <w:t>为：￥</w:t>
      </w:r>
      <w:r>
        <w:rPr>
          <w:rFonts w:hint="eastAsia" w:ascii="宋体" w:hAnsi="宋体" w:cs="宋体"/>
          <w:bCs/>
          <w:sz w:val="21"/>
          <w:szCs w:val="21"/>
          <w:lang w:val="en-US" w:eastAsia="zh-CN"/>
        </w:rPr>
        <w:t xml:space="preserve"> </w:t>
      </w:r>
      <w:r>
        <w:rPr>
          <w:rFonts w:hint="eastAsia" w:ascii="宋体" w:hAnsi="宋体" w:eastAsia="宋体" w:cs="宋体"/>
          <w:bCs/>
          <w:sz w:val="21"/>
          <w:szCs w:val="21"/>
        </w:rPr>
        <w:t>元</w:t>
      </w:r>
      <w:r>
        <w:rPr>
          <w:rFonts w:hint="eastAsia" w:ascii="宋体" w:hAnsi="宋体" w:cs="宋体"/>
          <w:bCs/>
          <w:sz w:val="21"/>
          <w:szCs w:val="21"/>
          <w:lang w:val="en-US" w:eastAsia="zh-CN"/>
        </w:rPr>
        <w:t>/人</w:t>
      </w:r>
      <w:r>
        <w:rPr>
          <w:rFonts w:hint="eastAsia" w:ascii="宋体" w:hAnsi="宋体" w:eastAsia="宋体" w:cs="宋体"/>
          <w:bCs/>
          <w:sz w:val="21"/>
          <w:szCs w:val="21"/>
        </w:rPr>
        <w:t>（大写：人民币元</w:t>
      </w:r>
      <w:r>
        <w:rPr>
          <w:rFonts w:hint="eastAsia" w:ascii="宋体" w:hAnsi="宋体" w:cs="宋体"/>
          <w:bCs/>
          <w:sz w:val="21"/>
          <w:szCs w:val="21"/>
          <w:lang w:val="en-US" w:eastAsia="zh-CN"/>
        </w:rPr>
        <w:t>/人</w:t>
      </w:r>
      <w:r>
        <w:rPr>
          <w:rFonts w:hint="eastAsia" w:ascii="宋体" w:hAnsi="宋体" w:eastAsia="宋体" w:cs="宋体"/>
          <w:bCs/>
          <w:sz w:val="21"/>
          <w:szCs w:val="21"/>
        </w:rPr>
        <w:t>）。</w:t>
      </w:r>
    </w:p>
    <w:p w14:paraId="78C08B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24" w:name="_Toc3654"/>
      <w:bookmarkStart w:id="25" w:name="_Toc30506"/>
      <w:bookmarkStart w:id="26" w:name="_Toc26916"/>
      <w:bookmarkStart w:id="27" w:name="_Toc14993"/>
      <w:bookmarkStart w:id="28" w:name="_Toc30158"/>
      <w:r>
        <w:rPr>
          <w:rFonts w:hint="eastAsia" w:ascii="宋体" w:hAnsi="宋体" w:eastAsia="宋体" w:cs="宋体"/>
          <w:b/>
          <w:bCs/>
          <w:sz w:val="21"/>
          <w:szCs w:val="21"/>
        </w:rPr>
        <w:t>1.4付款方式和发票开具方式</w:t>
      </w:r>
      <w:bookmarkEnd w:id="24"/>
      <w:bookmarkEnd w:id="25"/>
      <w:bookmarkEnd w:id="26"/>
      <w:bookmarkEnd w:id="27"/>
      <w:bookmarkEnd w:id="28"/>
    </w:p>
    <w:p w14:paraId="66E7CA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1.4.1本合同项下所有款项均以人民币支付。</w:t>
      </w:r>
    </w:p>
    <w:p w14:paraId="4528B6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1.4.2付款方式：项目完成且通过验收后的十个工作日内，甲方向乙方一次性付清全部合同款项。</w:t>
      </w:r>
    </w:p>
    <w:p w14:paraId="1AA045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sz w:val="21"/>
          <w:szCs w:val="21"/>
        </w:rPr>
      </w:pPr>
      <w:r>
        <w:rPr>
          <w:rFonts w:hint="eastAsia" w:ascii="宋体" w:hAnsi="宋体" w:eastAsia="宋体" w:cs="宋体"/>
          <w:b/>
          <w:sz w:val="21"/>
          <w:szCs w:val="21"/>
        </w:rPr>
        <w:t>注：付款前，乙方应提供符合甲方要求的同等金额的合法有效发票。否则，甲方有权顺延付款时间，且不承担任何违约或赔偿责任。</w:t>
      </w:r>
    </w:p>
    <w:p w14:paraId="299795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1.4.3发票开具方式：。</w:t>
      </w:r>
    </w:p>
    <w:p w14:paraId="0D4E67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29" w:name="_Toc11108"/>
      <w:bookmarkStart w:id="30" w:name="_Toc4760"/>
      <w:bookmarkStart w:id="31" w:name="_Toc3625"/>
      <w:bookmarkStart w:id="32" w:name="_Toc31421"/>
      <w:bookmarkStart w:id="33" w:name="_Toc8772"/>
      <w:r>
        <w:rPr>
          <w:rFonts w:hint="eastAsia" w:ascii="宋体" w:hAnsi="宋体" w:eastAsia="宋体" w:cs="宋体"/>
          <w:b/>
          <w:bCs/>
          <w:sz w:val="21"/>
          <w:szCs w:val="21"/>
        </w:rPr>
        <w:t>1.5 完成期限和地点</w:t>
      </w:r>
      <w:bookmarkEnd w:id="29"/>
      <w:bookmarkEnd w:id="30"/>
      <w:bookmarkEnd w:id="31"/>
      <w:bookmarkEnd w:id="32"/>
      <w:bookmarkEnd w:id="33"/>
    </w:p>
    <w:p w14:paraId="42F72C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1.5.1服务期限：</w:t>
      </w:r>
      <w:r>
        <w:rPr>
          <w:rFonts w:hint="eastAsia" w:ascii="宋体" w:hAnsi="宋体" w:eastAsia="宋体" w:cs="宋体"/>
          <w:bCs/>
          <w:sz w:val="21"/>
          <w:szCs w:val="21"/>
          <w:u w:val="single"/>
        </w:rPr>
        <w:t>。</w:t>
      </w:r>
    </w:p>
    <w:p w14:paraId="18A959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u w:val="single"/>
        </w:rPr>
      </w:pPr>
      <w:r>
        <w:rPr>
          <w:rFonts w:hint="eastAsia" w:ascii="宋体" w:hAnsi="宋体" w:eastAsia="宋体" w:cs="宋体"/>
          <w:bCs/>
          <w:sz w:val="21"/>
          <w:szCs w:val="21"/>
        </w:rPr>
        <w:t>1.5.2服务地点：</w:t>
      </w:r>
      <w:r>
        <w:rPr>
          <w:rFonts w:hint="eastAsia" w:ascii="宋体" w:hAnsi="宋体" w:eastAsia="宋体" w:cs="宋体"/>
          <w:bCs/>
          <w:sz w:val="21"/>
          <w:szCs w:val="21"/>
          <w:u w:val="single"/>
        </w:rPr>
        <w:t>甲方指定的地点。</w:t>
      </w:r>
    </w:p>
    <w:p w14:paraId="551B19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1.6 双方权利义务</w:t>
      </w:r>
    </w:p>
    <w:p w14:paraId="2ED1A8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bookmarkStart w:id="34" w:name="_Toc3079"/>
      <w:bookmarkStart w:id="35" w:name="_Toc8586"/>
      <w:bookmarkStart w:id="36" w:name="_Toc24662"/>
      <w:bookmarkStart w:id="37" w:name="_Toc5698"/>
      <w:bookmarkStart w:id="38" w:name="_Toc2375"/>
      <w:r>
        <w:rPr>
          <w:rFonts w:hint="eastAsia" w:ascii="宋体" w:hAnsi="宋体" w:eastAsia="宋体" w:cs="宋体"/>
          <w:b/>
          <w:sz w:val="21"/>
          <w:szCs w:val="21"/>
        </w:rPr>
        <w:t>1.6.1甲方权利义务</w:t>
      </w:r>
    </w:p>
    <w:p w14:paraId="57B70A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（1）甲方可指派代表作为项目负责人，与乙方进行及时的联络并监督、协调服务的执行情况。</w:t>
      </w:r>
    </w:p>
    <w:p w14:paraId="1BFE35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（2）经验收合格后按时支付费用。</w:t>
      </w:r>
    </w:p>
    <w:p w14:paraId="782BD7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（3）法规、政策规定由甲方承担的其他责任。</w:t>
      </w:r>
    </w:p>
    <w:p w14:paraId="1B7D71D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1.6.2乙方权利义务</w:t>
      </w:r>
    </w:p>
    <w:p w14:paraId="071A32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（1）乙方应及时履行合同一般性义务和文件中规定的具体义务。乙方所提供服务的质量应与报价文件规定及报价响应文件承诺的内容相一致。</w:t>
      </w:r>
    </w:p>
    <w:p w14:paraId="4F05B1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（2）在本合同期内或合同终止后，未经得甲方同意，不得泄露与本项目有关的保密资料。</w:t>
      </w:r>
    </w:p>
    <w:p w14:paraId="2951BA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（3）乙方应独立承担服务中由于乙方原因造成的各类责任。</w:t>
      </w:r>
    </w:p>
    <w:p w14:paraId="42BE92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sz w:val="21"/>
          <w:szCs w:val="21"/>
        </w:rPr>
      </w:pPr>
      <w:r>
        <w:rPr>
          <w:rFonts w:hint="eastAsia" w:ascii="宋体" w:hAnsi="宋体" w:eastAsia="宋体" w:cs="宋体"/>
          <w:sz w:val="21"/>
          <w:szCs w:val="21"/>
        </w:rPr>
        <w:t>（4）法规、政策规定由乙方承担的其他责任。</w:t>
      </w:r>
    </w:p>
    <w:p w14:paraId="0F214D6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Cs/>
          <w:sz w:val="21"/>
          <w:szCs w:val="21"/>
          <w:u w:val="single"/>
        </w:rPr>
      </w:pPr>
      <w:r>
        <w:rPr>
          <w:rFonts w:hint="eastAsia" w:ascii="宋体" w:hAnsi="宋体" w:eastAsia="宋体" w:cs="宋体"/>
          <w:b/>
          <w:bCs/>
          <w:sz w:val="21"/>
          <w:szCs w:val="21"/>
        </w:rPr>
        <w:t>1.7 违约责任</w:t>
      </w:r>
      <w:bookmarkEnd w:id="34"/>
      <w:bookmarkEnd w:id="35"/>
      <w:bookmarkEnd w:id="36"/>
      <w:bookmarkEnd w:id="37"/>
      <w:bookmarkEnd w:id="38"/>
    </w:p>
    <w:p w14:paraId="359BB2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bCs/>
          <w:sz w:val="21"/>
          <w:szCs w:val="21"/>
          <w:u w:val="single"/>
        </w:rPr>
        <w:t>0.5</w:t>
      </w:r>
      <w:r>
        <w:rPr>
          <w:rFonts w:hint="eastAsia" w:ascii="宋体" w:hAnsi="宋体" w:eastAsia="宋体" w:cs="宋体"/>
          <w:bCs/>
          <w:sz w:val="21"/>
          <w:szCs w:val="21"/>
        </w:rPr>
        <w:t>%计算，最高限额为本合同总价的</w:t>
      </w:r>
      <w:r>
        <w:rPr>
          <w:rFonts w:hint="eastAsia" w:ascii="宋体" w:hAnsi="宋体" w:eastAsia="宋体" w:cs="宋体"/>
          <w:bCs/>
          <w:sz w:val="21"/>
          <w:szCs w:val="21"/>
          <w:u w:val="single"/>
        </w:rPr>
        <w:t>5</w:t>
      </w:r>
      <w:r>
        <w:rPr>
          <w:rFonts w:hint="eastAsia" w:ascii="宋体" w:hAnsi="宋体" w:eastAsia="宋体" w:cs="宋体"/>
          <w:bCs/>
          <w:sz w:val="21"/>
          <w:szCs w:val="21"/>
        </w:rPr>
        <w:t>%；迟延履行的违约金计算数额达到前述最高限额之日起，甲方有权在要求乙方支付违约金的同时，书面通知乙方解除本合同。</w:t>
      </w:r>
    </w:p>
    <w:p w14:paraId="1367FC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1.7.2除不可抗力外，如果甲方没有按照本合同约定的付款方式付款，那么乙方可要求甲方支付违约金，违约金按每迟延付款一日的应付而未付款的</w:t>
      </w:r>
      <w:r>
        <w:rPr>
          <w:rFonts w:hint="eastAsia" w:ascii="宋体" w:hAnsi="宋体" w:eastAsia="宋体" w:cs="宋体"/>
          <w:bCs/>
          <w:sz w:val="21"/>
          <w:szCs w:val="21"/>
          <w:u w:val="single"/>
        </w:rPr>
        <w:t>0.5</w:t>
      </w:r>
      <w:r>
        <w:rPr>
          <w:rFonts w:hint="eastAsia" w:ascii="宋体" w:hAnsi="宋体" w:eastAsia="宋体" w:cs="宋体"/>
          <w:bCs/>
          <w:sz w:val="21"/>
          <w:szCs w:val="21"/>
        </w:rPr>
        <w:t>%计算，最高限额为本合同总价的</w:t>
      </w:r>
      <w:r>
        <w:rPr>
          <w:rFonts w:hint="eastAsia" w:ascii="宋体" w:hAnsi="宋体" w:eastAsia="宋体" w:cs="宋体"/>
          <w:bCs/>
          <w:sz w:val="21"/>
          <w:szCs w:val="21"/>
          <w:u w:val="single"/>
        </w:rPr>
        <w:t>5</w:t>
      </w:r>
      <w:r>
        <w:rPr>
          <w:rFonts w:hint="eastAsia" w:ascii="宋体" w:hAnsi="宋体" w:eastAsia="宋体" w:cs="宋体"/>
          <w:bCs/>
          <w:sz w:val="21"/>
          <w:szCs w:val="21"/>
        </w:rPr>
        <w:t>%；迟延付款的违约金计算数额达到前述最高限额之日起，乙方有权在要求甲方支付违约金的同时，书面通知甲方解除本合同。</w:t>
      </w:r>
    </w:p>
    <w:p w14:paraId="5BBE5A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AFCA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5CA2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E43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1.7.6如果出现政府采购监督管理部门在处理投诉事项期间，书面通知甲方暂停采购活动的情形，或者询问或质疑事项可能影响成交结果的，导致甲方中止履行合同的情形，均不视为甲方违约。</w:t>
      </w:r>
    </w:p>
    <w:p w14:paraId="7E45E9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39" w:name="_Toc18683"/>
      <w:bookmarkStart w:id="40" w:name="_Toc30329"/>
      <w:bookmarkStart w:id="41" w:name="_Toc32454"/>
      <w:bookmarkStart w:id="42" w:name="_Toc9497"/>
      <w:bookmarkStart w:id="43" w:name="_Toc26807"/>
      <w:r>
        <w:rPr>
          <w:rFonts w:hint="eastAsia" w:ascii="宋体" w:hAnsi="宋体" w:eastAsia="宋体" w:cs="宋体"/>
          <w:b/>
          <w:bCs/>
          <w:sz w:val="21"/>
          <w:szCs w:val="21"/>
        </w:rPr>
        <w:t>1.8 合同争议的解决</w:t>
      </w:r>
      <w:bookmarkEnd w:id="39"/>
      <w:bookmarkEnd w:id="40"/>
      <w:bookmarkEnd w:id="41"/>
      <w:bookmarkEnd w:id="42"/>
      <w:bookmarkEnd w:id="43"/>
    </w:p>
    <w:p w14:paraId="5EEB62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bCs/>
          <w:sz w:val="21"/>
          <w:szCs w:val="21"/>
          <w:u w:val="single"/>
        </w:rPr>
        <w:t>1.8.2</w:t>
      </w:r>
      <w:r>
        <w:rPr>
          <w:rFonts w:hint="eastAsia" w:ascii="宋体" w:hAnsi="宋体" w:eastAsia="宋体" w:cs="宋体"/>
          <w:bCs/>
          <w:sz w:val="21"/>
          <w:szCs w:val="21"/>
        </w:rPr>
        <w:t>种方式解决：</w:t>
      </w:r>
    </w:p>
    <w:p w14:paraId="239242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1.8.1将争议提交仲裁委员会依申请仲裁时其现行有效的仲裁规则裁决。</w:t>
      </w:r>
    </w:p>
    <w:p w14:paraId="6B0F7B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1.8.2向</w:t>
      </w:r>
      <w:r>
        <w:rPr>
          <w:rFonts w:hint="eastAsia" w:ascii="宋体" w:hAnsi="宋体" w:eastAsia="宋体" w:cs="宋体"/>
          <w:bCs/>
          <w:sz w:val="21"/>
          <w:szCs w:val="21"/>
          <w:u w:val="single"/>
        </w:rPr>
        <w:t>（被告住所地、合同履行地、合同签订地、原告住所地、标的物所在地等与争议有实际联系的地点中选出的人民法院名称）</w:t>
      </w:r>
      <w:r>
        <w:rPr>
          <w:rFonts w:hint="eastAsia" w:ascii="宋体" w:hAnsi="宋体" w:eastAsia="宋体" w:cs="宋体"/>
          <w:bCs/>
          <w:sz w:val="21"/>
          <w:szCs w:val="21"/>
        </w:rPr>
        <w:t>人民法院起诉。</w:t>
      </w:r>
    </w:p>
    <w:p w14:paraId="46CF5E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44" w:name="_Toc15827"/>
      <w:bookmarkStart w:id="45" w:name="_Toc12273"/>
      <w:bookmarkStart w:id="46" w:name="_Toc16417"/>
      <w:bookmarkStart w:id="47" w:name="_Toc23784"/>
      <w:bookmarkStart w:id="48" w:name="_Toc26227"/>
      <w:r>
        <w:rPr>
          <w:rFonts w:hint="eastAsia" w:ascii="宋体" w:hAnsi="宋体" w:eastAsia="宋体" w:cs="宋体"/>
          <w:b/>
          <w:bCs/>
          <w:sz w:val="21"/>
          <w:szCs w:val="21"/>
        </w:rPr>
        <w:t>1.9合同生效</w:t>
      </w:r>
      <w:bookmarkEnd w:id="44"/>
      <w:bookmarkEnd w:id="45"/>
      <w:bookmarkEnd w:id="46"/>
      <w:bookmarkEnd w:id="47"/>
      <w:bookmarkEnd w:id="48"/>
      <w:r>
        <w:rPr>
          <w:rFonts w:hint="eastAsia" w:ascii="宋体" w:hAnsi="宋体" w:eastAsia="宋体" w:cs="宋体"/>
          <w:b/>
          <w:bCs/>
          <w:sz w:val="21"/>
          <w:szCs w:val="21"/>
        </w:rPr>
        <w:t>及其他</w:t>
      </w:r>
    </w:p>
    <w:p w14:paraId="4F35BE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1.9.1合同应在甲乙双方代表签字后生效。</w:t>
      </w:r>
    </w:p>
    <w:p w14:paraId="0A70E4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1.9.2本合同一式二份，以简体中文书写，甲方、乙方各执一份。</w:t>
      </w:r>
    </w:p>
    <w:p w14:paraId="3AB136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1.9.3本合同应按照中华人民共和国的现行法律进行解释。</w:t>
      </w:r>
      <w:bookmarkStart w:id="49" w:name="_Toc331685783"/>
    </w:p>
    <w:p w14:paraId="79FFB7BD">
      <w:pPr>
        <w:spacing w:line="360" w:lineRule="auto"/>
        <w:ind w:firstLine="200"/>
        <w:jc w:val="center"/>
        <w:rPr>
          <w:rFonts w:hint="eastAsia" w:ascii="宋体" w:hAnsi="宋体" w:eastAsia="宋体" w:cs="宋体"/>
          <w:b/>
          <w:sz w:val="21"/>
          <w:szCs w:val="21"/>
        </w:rPr>
      </w:pPr>
      <w:r>
        <w:rPr>
          <w:rFonts w:hint="eastAsia" w:ascii="宋体" w:hAnsi="宋体" w:eastAsia="宋体" w:cs="宋体"/>
          <w:b/>
          <w:sz w:val="21"/>
          <w:szCs w:val="21"/>
        </w:rPr>
        <w:t>第二部分 合同一般条款</w:t>
      </w:r>
      <w:bookmarkEnd w:id="49"/>
    </w:p>
    <w:p w14:paraId="7B0A06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50" w:name="_Ref467379101"/>
      <w:bookmarkStart w:id="51" w:name="_Toc279701240"/>
      <w:bookmarkStart w:id="52" w:name="_Ref467378404"/>
      <w:bookmarkStart w:id="53" w:name="_Ref467379195"/>
      <w:bookmarkStart w:id="54" w:name="_Toc259093669"/>
      <w:bookmarkStart w:id="55" w:name="_Ref467379205"/>
      <w:bookmarkStart w:id="56" w:name="_Toc5228"/>
      <w:bookmarkStart w:id="57" w:name="_Ref467378499"/>
      <w:bookmarkStart w:id="58" w:name="_Toc487900349"/>
      <w:bookmarkStart w:id="59" w:name="_Toc19680"/>
      <w:bookmarkStart w:id="60" w:name="_Toc25079"/>
      <w:bookmarkStart w:id="61" w:name="_Ref467379214"/>
      <w:bookmarkStart w:id="62" w:name="_Toc14021"/>
      <w:bookmarkStart w:id="63" w:name="_Ref467379109"/>
      <w:bookmarkStart w:id="64" w:name="_Ref467378463"/>
      <w:bookmarkStart w:id="65" w:name="_Ref467379094"/>
      <w:bookmarkStart w:id="66" w:name="_Toc31297"/>
      <w:bookmarkStart w:id="67" w:name="_Ref467379225"/>
      <w:r>
        <w:rPr>
          <w:rFonts w:hint="eastAsia" w:ascii="宋体" w:hAnsi="宋体" w:eastAsia="宋体" w:cs="宋体"/>
          <w:b/>
          <w:bCs/>
          <w:sz w:val="21"/>
          <w:szCs w:val="21"/>
        </w:rPr>
        <w:t>2.1定义</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FDA82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本合同中的下列词语应按以下内容进行解释：</w:t>
      </w:r>
    </w:p>
    <w:p w14:paraId="058166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2.1.1“合同”系指采购人和成交投标人签订的载明双方当事人所达成的协议，并包括所有的附件、附录和构成合同的其他文件。</w:t>
      </w:r>
    </w:p>
    <w:p w14:paraId="5EE3A3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2.1.2“合同价”系指根据合同约定，成交投标人在完全履行合同义务后，采购人应支付给成交投标人的价格。</w:t>
      </w:r>
    </w:p>
    <w:p w14:paraId="72AA67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2.1.3“服务”系指成交投标人根据合同约定应向采购人履行的除货物和工程以外的其他政府采购对象，包括采购人自身需要的服务和向社会公众提供的公共服务。</w:t>
      </w:r>
    </w:p>
    <w:p w14:paraId="4125A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bookmarkStart w:id="68" w:name="_Ref467378840"/>
      <w:r>
        <w:rPr>
          <w:rFonts w:hint="eastAsia" w:ascii="宋体" w:hAnsi="宋体" w:eastAsia="宋体" w:cs="宋体"/>
          <w:bCs/>
          <w:sz w:val="21"/>
          <w:szCs w:val="21"/>
        </w:rPr>
        <w:t>2.1.4“甲方”系指与成交投标人签署合同的采购人</w:t>
      </w:r>
      <w:bookmarkEnd w:id="68"/>
      <w:r>
        <w:rPr>
          <w:rFonts w:hint="eastAsia" w:ascii="宋体" w:hAnsi="宋体" w:eastAsia="宋体" w:cs="宋体"/>
          <w:bCs/>
          <w:sz w:val="21"/>
          <w:szCs w:val="21"/>
        </w:rPr>
        <w:t>；采购人委托采购人代表其与乙方签订合同的，采购人的授权委托书作为合同附件。</w:t>
      </w:r>
    </w:p>
    <w:p w14:paraId="12C364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bookmarkStart w:id="69" w:name="_Ref467379400"/>
      <w:r>
        <w:rPr>
          <w:rFonts w:hint="eastAsia" w:ascii="宋体" w:hAnsi="宋体" w:eastAsia="宋体" w:cs="宋体"/>
          <w:bCs/>
          <w:sz w:val="21"/>
          <w:szCs w:val="21"/>
        </w:rPr>
        <w:t>2.1.5“乙方”系指根据合同约定提供服务的成交</w:t>
      </w:r>
      <w:bookmarkEnd w:id="69"/>
      <w:r>
        <w:rPr>
          <w:rFonts w:hint="eastAsia" w:ascii="宋体" w:hAnsi="宋体" w:eastAsia="宋体" w:cs="宋体"/>
          <w:bCs/>
          <w:sz w:val="21"/>
          <w:szCs w:val="21"/>
        </w:rPr>
        <w:t>投标人。</w:t>
      </w:r>
      <w:bookmarkStart w:id="70" w:name="_Ref467379436"/>
    </w:p>
    <w:p w14:paraId="24433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2.1.6“现场”系指合同约定提供服务的地点。</w:t>
      </w:r>
      <w:bookmarkEnd w:id="70"/>
    </w:p>
    <w:p w14:paraId="25843D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71" w:name="_Toc3769"/>
      <w:bookmarkStart w:id="72" w:name="_Toc19539"/>
      <w:bookmarkStart w:id="73" w:name="_Toc31402"/>
      <w:bookmarkStart w:id="74" w:name="_Toc16752"/>
      <w:bookmarkStart w:id="75" w:name="_Toc487900350"/>
      <w:bookmarkStart w:id="76" w:name="_Toc279701241"/>
      <w:bookmarkStart w:id="77" w:name="_Toc23289"/>
      <w:bookmarkStart w:id="78" w:name="_Toc259093670"/>
      <w:r>
        <w:rPr>
          <w:rFonts w:hint="eastAsia" w:ascii="宋体" w:hAnsi="宋体" w:eastAsia="宋体" w:cs="宋体"/>
          <w:b/>
          <w:bCs/>
          <w:sz w:val="21"/>
          <w:szCs w:val="21"/>
        </w:rPr>
        <w:t>2.2技术规范</w:t>
      </w:r>
      <w:bookmarkEnd w:id="71"/>
      <w:bookmarkEnd w:id="72"/>
      <w:bookmarkEnd w:id="73"/>
      <w:bookmarkEnd w:id="74"/>
      <w:bookmarkEnd w:id="75"/>
      <w:bookmarkEnd w:id="76"/>
      <w:bookmarkEnd w:id="77"/>
      <w:bookmarkEnd w:id="78"/>
    </w:p>
    <w:p w14:paraId="6CE714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4A057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79" w:name="_Toc27945"/>
      <w:bookmarkStart w:id="80" w:name="_Toc4133"/>
      <w:bookmarkStart w:id="81" w:name="_Toc9161"/>
      <w:bookmarkStart w:id="82" w:name="_Toc12412"/>
      <w:bookmarkStart w:id="83" w:name="_Toc279701242"/>
      <w:bookmarkStart w:id="84" w:name="_Toc487900351"/>
      <w:bookmarkStart w:id="85" w:name="_Toc259093671"/>
      <w:bookmarkStart w:id="86" w:name="_Toc13673"/>
      <w:r>
        <w:rPr>
          <w:rFonts w:hint="eastAsia" w:ascii="宋体" w:hAnsi="宋体" w:eastAsia="宋体" w:cs="宋体"/>
          <w:b/>
          <w:bCs/>
          <w:sz w:val="21"/>
          <w:szCs w:val="21"/>
        </w:rPr>
        <w:t>2.3知识产权</w:t>
      </w:r>
      <w:bookmarkEnd w:id="79"/>
      <w:bookmarkEnd w:id="80"/>
      <w:bookmarkEnd w:id="81"/>
      <w:bookmarkEnd w:id="82"/>
      <w:bookmarkEnd w:id="83"/>
      <w:bookmarkEnd w:id="84"/>
      <w:bookmarkEnd w:id="85"/>
      <w:bookmarkEnd w:id="86"/>
    </w:p>
    <w:p w14:paraId="61FC64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6495F0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2.4 履约检查和问题反馈</w:t>
      </w:r>
    </w:p>
    <w:p w14:paraId="1398A0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bookmarkStart w:id="87" w:name="_Toc186431854"/>
      <w:bookmarkStart w:id="88" w:name="_Toc279701247"/>
      <w:bookmarkStart w:id="89" w:name="_Ref467379807"/>
      <w:bookmarkStart w:id="90" w:name="_Ref467379793"/>
      <w:bookmarkStart w:id="91" w:name="_Toc487900357"/>
      <w:bookmarkStart w:id="92" w:name="_Toc259093676"/>
      <w:r>
        <w:rPr>
          <w:rFonts w:hint="eastAsia" w:ascii="宋体" w:hAnsi="宋体" w:eastAsia="宋体" w:cs="宋体"/>
          <w:bCs/>
          <w:sz w:val="21"/>
          <w:szCs w:val="21"/>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71B5A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2.4.2合同履行期间，甲方有权将履行过程中出现的问题反馈给乙方，双方当事人应以书面形式约定需要完善和改进的内容</w:t>
      </w:r>
      <w:bookmarkEnd w:id="87"/>
      <w:bookmarkStart w:id="93" w:name="_Toc186431855"/>
      <w:r>
        <w:rPr>
          <w:rFonts w:hint="eastAsia" w:ascii="宋体" w:hAnsi="宋体" w:eastAsia="宋体" w:cs="宋体"/>
          <w:bCs/>
          <w:sz w:val="21"/>
          <w:szCs w:val="21"/>
        </w:rPr>
        <w:t>。</w:t>
      </w:r>
    </w:p>
    <w:bookmarkEnd w:id="88"/>
    <w:bookmarkEnd w:id="89"/>
    <w:bookmarkEnd w:id="90"/>
    <w:bookmarkEnd w:id="91"/>
    <w:bookmarkEnd w:id="92"/>
    <w:bookmarkEnd w:id="93"/>
    <w:p w14:paraId="1C0261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94" w:name="_Toc279701248"/>
      <w:bookmarkStart w:id="95" w:name="_Ref467379852"/>
      <w:bookmarkStart w:id="96" w:name="_Toc487900358"/>
      <w:bookmarkStart w:id="97" w:name="_Ref467379923"/>
      <w:bookmarkStart w:id="98" w:name="_Ref467379863"/>
      <w:bookmarkStart w:id="99" w:name="_Toc259093677"/>
      <w:bookmarkStart w:id="100" w:name="_Toc18990"/>
      <w:bookmarkStart w:id="101" w:name="_Toc30507"/>
      <w:bookmarkStart w:id="102" w:name="_Toc13154"/>
      <w:bookmarkStart w:id="103" w:name="_Toc16163"/>
      <w:bookmarkStart w:id="104" w:name="_Toc13467"/>
      <w:r>
        <w:rPr>
          <w:rFonts w:hint="eastAsia" w:ascii="宋体" w:hAnsi="宋体" w:eastAsia="宋体" w:cs="宋体"/>
          <w:b/>
          <w:bCs/>
          <w:sz w:val="21"/>
          <w:szCs w:val="21"/>
        </w:rPr>
        <w:t>2.5技术资料</w:t>
      </w:r>
      <w:bookmarkEnd w:id="94"/>
      <w:bookmarkEnd w:id="95"/>
      <w:bookmarkEnd w:id="96"/>
      <w:bookmarkEnd w:id="97"/>
      <w:bookmarkEnd w:id="98"/>
      <w:bookmarkEnd w:id="99"/>
      <w:r>
        <w:rPr>
          <w:rFonts w:hint="eastAsia" w:ascii="宋体" w:hAnsi="宋体" w:eastAsia="宋体" w:cs="宋体"/>
          <w:b/>
          <w:bCs/>
          <w:sz w:val="21"/>
          <w:szCs w:val="21"/>
        </w:rPr>
        <w:t>和保密义务</w:t>
      </w:r>
      <w:bookmarkEnd w:id="100"/>
      <w:bookmarkEnd w:id="101"/>
      <w:bookmarkEnd w:id="102"/>
      <w:bookmarkEnd w:id="103"/>
      <w:bookmarkEnd w:id="104"/>
    </w:p>
    <w:p w14:paraId="7461C1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2.5.1乙方有权依据合同约定和项目需要，向甲方了解有关情况，调阅有关资料等，甲方应予积极配合。</w:t>
      </w:r>
    </w:p>
    <w:p w14:paraId="33882F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2.5.2乙方有义务妥善保管和保护由甲方提供的前款信息和资料等。</w:t>
      </w:r>
    </w:p>
    <w:p w14:paraId="1F8BDD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6C9A8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05" w:name="_Toc19069"/>
      <w:bookmarkStart w:id="106" w:name="_Toc487900362"/>
      <w:bookmarkStart w:id="107" w:name="_Toc279701252"/>
      <w:bookmarkStart w:id="108" w:name="_Toc259093681"/>
      <w:r>
        <w:rPr>
          <w:rFonts w:hint="eastAsia" w:ascii="宋体" w:hAnsi="宋体" w:eastAsia="宋体" w:cs="宋体"/>
          <w:b/>
          <w:bCs/>
          <w:sz w:val="21"/>
          <w:szCs w:val="21"/>
        </w:rPr>
        <w:t>2.6 质量保证</w:t>
      </w:r>
      <w:bookmarkEnd w:id="105"/>
    </w:p>
    <w:p w14:paraId="1F57B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2.6.1乙方应建立和完善履行合同的内部质量保证体系，并提供相关内部规章制度给甲方，以便甲方进行监督检查；</w:t>
      </w:r>
    </w:p>
    <w:p w14:paraId="32025D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2.6.2乙方应保证履行合同的人员数量和素质、软件和硬件设备的配置、场地、环境和设施等满足全面履行合同的要求，并应接受甲方的监督检查。</w:t>
      </w:r>
    </w:p>
    <w:p w14:paraId="017DD0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2.6.3其他</w:t>
      </w:r>
      <w:r>
        <w:rPr>
          <w:rFonts w:hint="eastAsia" w:ascii="宋体" w:hAnsi="宋体" w:eastAsia="宋体" w:cs="宋体"/>
          <w:sz w:val="21"/>
          <w:szCs w:val="21"/>
        </w:rPr>
        <w:t>各项服务承诺指标及所采取的措施符合“采购文件”要求及响应承诺。</w:t>
      </w:r>
    </w:p>
    <w:p w14:paraId="599B18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2.6.4其他物业管理服务质量要求按江苏省有关标准执行。</w:t>
      </w:r>
    </w:p>
    <w:p w14:paraId="755E8D5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09" w:name="_Toc22267"/>
      <w:r>
        <w:rPr>
          <w:rFonts w:hint="eastAsia" w:ascii="宋体" w:hAnsi="宋体" w:eastAsia="宋体" w:cs="宋体"/>
          <w:b/>
          <w:bCs/>
          <w:sz w:val="21"/>
          <w:szCs w:val="21"/>
        </w:rPr>
        <w:t>2.7 延迟</w:t>
      </w:r>
      <w:bookmarkEnd w:id="106"/>
      <w:bookmarkEnd w:id="107"/>
      <w:bookmarkEnd w:id="108"/>
      <w:r>
        <w:rPr>
          <w:rFonts w:hint="eastAsia" w:ascii="宋体" w:hAnsi="宋体" w:eastAsia="宋体" w:cs="宋体"/>
          <w:b/>
          <w:bCs/>
          <w:sz w:val="21"/>
          <w:szCs w:val="21"/>
        </w:rPr>
        <w:t>履行</w:t>
      </w:r>
      <w:bookmarkEnd w:id="109"/>
    </w:p>
    <w:p w14:paraId="7E3707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D1040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10" w:name="_Toc10611"/>
      <w:bookmarkStart w:id="111" w:name="_Toc487900364"/>
      <w:bookmarkStart w:id="112" w:name="_Toc259093683"/>
      <w:bookmarkStart w:id="113" w:name="_Toc279701254"/>
      <w:bookmarkStart w:id="114" w:name="_Ref467378121"/>
      <w:r>
        <w:rPr>
          <w:rFonts w:hint="eastAsia" w:ascii="宋体" w:hAnsi="宋体" w:eastAsia="宋体" w:cs="宋体"/>
          <w:b/>
          <w:bCs/>
          <w:sz w:val="21"/>
          <w:szCs w:val="21"/>
        </w:rPr>
        <w:t>2.8 合同变更</w:t>
      </w:r>
      <w:bookmarkEnd w:id="110"/>
    </w:p>
    <w:p w14:paraId="0F1C5E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2.8.1双方当事人协商一致，可以签订书面补充合同的形式变更合同，但不得违背采购文件确定的事项，且如果系追加与合同标的相同的服务的，那么所有补充合同的采购金额不得超过原合同价的10%。</w:t>
      </w:r>
    </w:p>
    <w:p w14:paraId="112E47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2.8.2合同继续履行将损害国家利益和社会公共利益的，双方当事人应当以书面形式变更合同。有过错的一方应当承担赔偿责任，双方当事人都有过错的，各自承担相应的责任。</w:t>
      </w:r>
      <w:bookmarkStart w:id="115" w:name="_Toc259093688"/>
      <w:bookmarkStart w:id="116" w:name="_Toc487900369"/>
      <w:bookmarkStart w:id="117" w:name="_Toc279701259"/>
    </w:p>
    <w:p w14:paraId="12A984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18" w:name="_Toc21830"/>
      <w:bookmarkStart w:id="119" w:name="_Toc10663"/>
      <w:bookmarkStart w:id="120" w:name="_Toc42"/>
      <w:bookmarkStart w:id="121" w:name="_Toc23368"/>
      <w:bookmarkStart w:id="122" w:name="_Toc26689"/>
      <w:r>
        <w:rPr>
          <w:rFonts w:hint="eastAsia" w:ascii="宋体" w:hAnsi="宋体" w:eastAsia="宋体" w:cs="宋体"/>
          <w:b/>
          <w:bCs/>
          <w:sz w:val="21"/>
          <w:szCs w:val="21"/>
        </w:rPr>
        <w:t>2.9合同转让</w:t>
      </w:r>
      <w:bookmarkEnd w:id="115"/>
      <w:bookmarkEnd w:id="116"/>
      <w:bookmarkEnd w:id="117"/>
      <w:r>
        <w:rPr>
          <w:rFonts w:hint="eastAsia" w:ascii="宋体" w:hAnsi="宋体" w:eastAsia="宋体" w:cs="宋体"/>
          <w:b/>
          <w:bCs/>
          <w:sz w:val="21"/>
          <w:szCs w:val="21"/>
        </w:rPr>
        <w:t>和分包</w:t>
      </w:r>
      <w:bookmarkEnd w:id="118"/>
      <w:bookmarkEnd w:id="119"/>
      <w:bookmarkEnd w:id="120"/>
      <w:bookmarkEnd w:id="121"/>
      <w:bookmarkEnd w:id="122"/>
    </w:p>
    <w:p w14:paraId="1E9DA4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0EA026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23" w:name="_Toc4720"/>
      <w:bookmarkStart w:id="124" w:name="_Toc32494"/>
      <w:bookmarkStart w:id="125" w:name="_Toc14371"/>
      <w:bookmarkStart w:id="126" w:name="_Toc25571"/>
      <w:bookmarkStart w:id="127" w:name="_Toc26633"/>
      <w:r>
        <w:rPr>
          <w:rFonts w:hint="eastAsia" w:ascii="宋体" w:hAnsi="宋体" w:eastAsia="宋体" w:cs="宋体"/>
          <w:b/>
          <w:bCs/>
          <w:sz w:val="21"/>
          <w:szCs w:val="21"/>
        </w:rPr>
        <w:t>2.10 不可抗力</w:t>
      </w:r>
      <w:bookmarkEnd w:id="123"/>
      <w:bookmarkEnd w:id="124"/>
      <w:bookmarkEnd w:id="125"/>
      <w:bookmarkEnd w:id="126"/>
      <w:bookmarkEnd w:id="127"/>
    </w:p>
    <w:p w14:paraId="26FB66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2.10.1如果任何一方遭遇法律规定的不可抗力，致使合同履行受阻时，履行合同的期限应予延长，延长的期限应相当于不可抗力所影响的时间。</w:t>
      </w:r>
    </w:p>
    <w:p w14:paraId="04F711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2.10.2因不可抗力致使不能实现合同目的的，当事人可以解除合同。</w:t>
      </w:r>
    </w:p>
    <w:p w14:paraId="144CF9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i w:val="0"/>
          <w:iCs w:val="0"/>
          <w:sz w:val="21"/>
          <w:szCs w:val="21"/>
        </w:rPr>
      </w:pPr>
      <w:r>
        <w:rPr>
          <w:rFonts w:hint="eastAsia" w:ascii="宋体" w:hAnsi="宋体" w:eastAsia="宋体" w:cs="宋体"/>
          <w:bCs/>
          <w:sz w:val="21"/>
          <w:szCs w:val="21"/>
        </w:rPr>
        <w:t>2.10.3因不可抗力致使合同有变更必要的，双方当事人应</w:t>
      </w:r>
      <w:r>
        <w:rPr>
          <w:rFonts w:hint="eastAsia" w:ascii="宋体" w:hAnsi="宋体" w:eastAsia="宋体" w:cs="宋体"/>
          <w:bCs/>
          <w:i w:val="0"/>
          <w:iCs w:val="0"/>
          <w:sz w:val="21"/>
          <w:szCs w:val="21"/>
        </w:rPr>
        <w:t>在</w:t>
      </w:r>
      <w:r>
        <w:rPr>
          <w:rFonts w:hint="eastAsia" w:ascii="宋体" w:hAnsi="宋体" w:eastAsia="宋体" w:cs="宋体"/>
          <w:b/>
          <w:bCs/>
          <w:i w:val="0"/>
          <w:iCs w:val="0"/>
          <w:sz w:val="21"/>
          <w:szCs w:val="21"/>
          <w:u w:val="single"/>
        </w:rPr>
        <w:t>7个工作日内</w:t>
      </w:r>
      <w:r>
        <w:rPr>
          <w:rFonts w:hint="eastAsia" w:ascii="宋体" w:hAnsi="宋体" w:eastAsia="宋体" w:cs="宋体"/>
          <w:bCs/>
          <w:i w:val="0"/>
          <w:iCs w:val="0"/>
          <w:sz w:val="21"/>
          <w:szCs w:val="21"/>
        </w:rPr>
        <w:t>以书面形式变更合同。</w:t>
      </w:r>
    </w:p>
    <w:p w14:paraId="06FBD0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i w:val="0"/>
          <w:iCs w:val="0"/>
          <w:sz w:val="21"/>
          <w:szCs w:val="21"/>
        </w:rPr>
      </w:pPr>
      <w:r>
        <w:rPr>
          <w:rFonts w:hint="eastAsia" w:ascii="宋体" w:hAnsi="宋体" w:eastAsia="宋体" w:cs="宋体"/>
          <w:bCs/>
          <w:i w:val="0"/>
          <w:iCs w:val="0"/>
          <w:sz w:val="21"/>
          <w:szCs w:val="21"/>
        </w:rPr>
        <w:t>2.10.4受不可抗力影响的一方在不可抗力发生后，应在</w:t>
      </w:r>
      <w:r>
        <w:rPr>
          <w:rFonts w:hint="eastAsia" w:ascii="宋体" w:hAnsi="宋体" w:eastAsia="宋体" w:cs="宋体"/>
          <w:b/>
          <w:bCs/>
          <w:i w:val="0"/>
          <w:iCs w:val="0"/>
          <w:sz w:val="21"/>
          <w:szCs w:val="21"/>
          <w:u w:val="single"/>
        </w:rPr>
        <w:t>7个工作日</w:t>
      </w:r>
      <w:r>
        <w:rPr>
          <w:rFonts w:hint="eastAsia" w:ascii="宋体" w:hAnsi="宋体" w:eastAsia="宋体" w:cs="宋体"/>
          <w:bCs/>
          <w:i w:val="0"/>
          <w:iCs w:val="0"/>
          <w:sz w:val="21"/>
          <w:szCs w:val="21"/>
        </w:rPr>
        <w:t>内以书面形式通知对方当事人，并在</w:t>
      </w:r>
      <w:r>
        <w:rPr>
          <w:rFonts w:hint="eastAsia" w:ascii="宋体" w:hAnsi="宋体" w:eastAsia="宋体" w:cs="宋体"/>
          <w:b/>
          <w:bCs/>
          <w:i w:val="0"/>
          <w:iCs w:val="0"/>
          <w:sz w:val="21"/>
          <w:szCs w:val="21"/>
          <w:u w:val="single"/>
        </w:rPr>
        <w:t>7个工作日</w:t>
      </w:r>
      <w:r>
        <w:rPr>
          <w:rFonts w:hint="eastAsia" w:ascii="宋体" w:hAnsi="宋体" w:eastAsia="宋体" w:cs="宋体"/>
          <w:bCs/>
          <w:i w:val="0"/>
          <w:iCs w:val="0"/>
          <w:sz w:val="21"/>
          <w:szCs w:val="21"/>
        </w:rPr>
        <w:t>内，将有关部门出具的证明文件送达对方当事人。</w:t>
      </w:r>
    </w:p>
    <w:p w14:paraId="2EA397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28" w:name="_Toc23854"/>
      <w:bookmarkStart w:id="129" w:name="_Toc14115"/>
      <w:bookmarkStart w:id="130" w:name="_Toc279701255"/>
      <w:bookmarkStart w:id="131" w:name="_Toc487900365"/>
      <w:bookmarkStart w:id="132" w:name="_Toc24465"/>
      <w:bookmarkStart w:id="133" w:name="_Toc3638"/>
      <w:bookmarkStart w:id="134" w:name="_Toc25783"/>
      <w:bookmarkStart w:id="135" w:name="_Toc259093684"/>
      <w:r>
        <w:rPr>
          <w:rFonts w:hint="eastAsia" w:ascii="宋体" w:hAnsi="宋体" w:eastAsia="宋体" w:cs="宋体"/>
          <w:b/>
          <w:bCs/>
          <w:sz w:val="21"/>
          <w:szCs w:val="21"/>
        </w:rPr>
        <w:t>2.11税费</w:t>
      </w:r>
      <w:bookmarkEnd w:id="128"/>
      <w:bookmarkEnd w:id="129"/>
      <w:bookmarkEnd w:id="130"/>
      <w:bookmarkEnd w:id="131"/>
      <w:bookmarkEnd w:id="132"/>
      <w:bookmarkEnd w:id="133"/>
      <w:bookmarkEnd w:id="134"/>
      <w:bookmarkEnd w:id="135"/>
    </w:p>
    <w:p w14:paraId="232E52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与合同有关的一切税费，均按照中华人民共和国法律的相关规定缴纳。</w:t>
      </w:r>
    </w:p>
    <w:p w14:paraId="54675F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36" w:name="_Toc30105"/>
      <w:bookmarkStart w:id="137" w:name="_Toc14814"/>
      <w:bookmarkStart w:id="138" w:name="_Toc279701258"/>
      <w:bookmarkStart w:id="139" w:name="_Toc7315"/>
      <w:bookmarkStart w:id="140" w:name="_Toc259093687"/>
      <w:bookmarkStart w:id="141" w:name="_Toc487900368"/>
      <w:bookmarkStart w:id="142" w:name="_Toc25525"/>
      <w:bookmarkStart w:id="143" w:name="_Toc26883"/>
      <w:r>
        <w:rPr>
          <w:rFonts w:hint="eastAsia" w:ascii="宋体" w:hAnsi="宋体" w:eastAsia="宋体" w:cs="宋体"/>
          <w:b/>
          <w:bCs/>
          <w:sz w:val="21"/>
          <w:szCs w:val="21"/>
        </w:rPr>
        <w:t>2.12乙方破产</w:t>
      </w:r>
      <w:bookmarkEnd w:id="136"/>
      <w:bookmarkEnd w:id="137"/>
      <w:bookmarkEnd w:id="138"/>
      <w:bookmarkEnd w:id="139"/>
      <w:bookmarkEnd w:id="140"/>
      <w:bookmarkEnd w:id="141"/>
      <w:bookmarkEnd w:id="142"/>
      <w:bookmarkEnd w:id="143"/>
    </w:p>
    <w:p w14:paraId="79D29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53AA4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44" w:name="_Toc1123"/>
      <w:bookmarkStart w:id="145" w:name="_Toc2016"/>
      <w:bookmarkStart w:id="146" w:name="_Toc23323"/>
      <w:r>
        <w:rPr>
          <w:rFonts w:hint="eastAsia" w:ascii="宋体" w:hAnsi="宋体" w:eastAsia="宋体" w:cs="宋体"/>
          <w:b/>
          <w:bCs/>
          <w:sz w:val="21"/>
          <w:szCs w:val="21"/>
        </w:rPr>
        <w:t>2.13合同中止、终止</w:t>
      </w:r>
      <w:bookmarkEnd w:id="144"/>
      <w:bookmarkEnd w:id="145"/>
      <w:bookmarkEnd w:id="146"/>
    </w:p>
    <w:p w14:paraId="5193BA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2.13.1双方当事人不得擅自中止或者终止合同。</w:t>
      </w:r>
    </w:p>
    <w:p w14:paraId="4EAE12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2.13.2合同继续履行将损害国家利益和社会公共利益的，双方当事人应当中止或者终止合同。有过错的一方应当承担赔偿责任，双方当事人都有过错的，各自承担相应的责任。</w:t>
      </w:r>
    </w:p>
    <w:bookmarkEnd w:id="111"/>
    <w:bookmarkEnd w:id="112"/>
    <w:bookmarkEnd w:id="113"/>
    <w:bookmarkEnd w:id="114"/>
    <w:p w14:paraId="7DF7BDD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47" w:name="_Toc487900371"/>
      <w:bookmarkStart w:id="148" w:name="_Toc259093690"/>
      <w:bookmarkStart w:id="149" w:name="_Toc279701261"/>
      <w:bookmarkStart w:id="150" w:name="_Toc9808"/>
      <w:bookmarkStart w:id="151" w:name="_Toc12666"/>
      <w:bookmarkStart w:id="152" w:name="_Toc31892"/>
      <w:bookmarkStart w:id="153" w:name="_Toc25198"/>
      <w:bookmarkStart w:id="154" w:name="_Toc2308"/>
      <w:r>
        <w:rPr>
          <w:rFonts w:hint="eastAsia" w:ascii="宋体" w:hAnsi="宋体" w:eastAsia="宋体" w:cs="宋体"/>
          <w:b/>
          <w:bCs/>
          <w:sz w:val="21"/>
          <w:szCs w:val="21"/>
        </w:rPr>
        <w:t>2.14通知</w:t>
      </w:r>
      <w:bookmarkEnd w:id="147"/>
      <w:bookmarkEnd w:id="148"/>
      <w:bookmarkEnd w:id="149"/>
      <w:r>
        <w:rPr>
          <w:rFonts w:hint="eastAsia" w:ascii="宋体" w:hAnsi="宋体" w:eastAsia="宋体" w:cs="宋体"/>
          <w:b/>
          <w:bCs/>
          <w:sz w:val="21"/>
          <w:szCs w:val="21"/>
        </w:rPr>
        <w:t>和送达</w:t>
      </w:r>
      <w:bookmarkEnd w:id="150"/>
      <w:bookmarkEnd w:id="151"/>
      <w:bookmarkEnd w:id="152"/>
      <w:bookmarkEnd w:id="153"/>
      <w:bookmarkEnd w:id="154"/>
    </w:p>
    <w:p w14:paraId="4B55A0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bookmarkStart w:id="155" w:name="_Toc29220"/>
      <w:bookmarkStart w:id="156" w:name="_Toc7073"/>
      <w:bookmarkStart w:id="157" w:name="_Toc487900372"/>
      <w:bookmarkStart w:id="158" w:name="_Toc279701262"/>
      <w:bookmarkStart w:id="159" w:name="_Toc259093691"/>
      <w:r>
        <w:rPr>
          <w:rFonts w:hint="eastAsia" w:ascii="宋体" w:hAnsi="宋体" w:eastAsia="宋体" w:cs="宋体"/>
          <w:bCs/>
          <w:sz w:val="21"/>
          <w:szCs w:val="21"/>
        </w:rPr>
        <w:t>2.14.1任何一方因履行合同而以合同第一部分尾部所列明的</w:t>
      </w:r>
      <w:r>
        <w:rPr>
          <w:rFonts w:hint="eastAsia" w:ascii="宋体" w:hAnsi="宋体" w:eastAsia="宋体" w:cs="宋体"/>
          <w:b/>
          <w:bCs/>
          <w:i/>
          <w:sz w:val="21"/>
          <w:szCs w:val="21"/>
          <w:u w:val="single"/>
        </w:rPr>
        <w:t>内容</w:t>
      </w:r>
      <w:r>
        <w:rPr>
          <w:rFonts w:hint="eastAsia" w:ascii="宋体" w:hAnsi="宋体" w:eastAsia="宋体" w:cs="宋体"/>
          <w:bCs/>
          <w:sz w:val="21"/>
          <w:szCs w:val="21"/>
        </w:rPr>
        <w:t>发出的所有通知、文件、材料，均视为已向对方当事人送达；任何一方变更上述送达方式或者地址的，应于</w:t>
      </w:r>
      <w:r>
        <w:rPr>
          <w:rFonts w:hint="eastAsia" w:ascii="宋体" w:hAnsi="宋体" w:eastAsia="宋体" w:cs="宋体"/>
          <w:b/>
          <w:bCs/>
          <w:i/>
          <w:sz w:val="21"/>
          <w:szCs w:val="21"/>
          <w:u w:val="single"/>
        </w:rPr>
        <w:t>5个工作日</w:t>
      </w:r>
      <w:r>
        <w:rPr>
          <w:rFonts w:hint="eastAsia" w:ascii="宋体" w:hAnsi="宋体" w:eastAsia="宋体" w:cs="宋体"/>
          <w:bCs/>
          <w:sz w:val="21"/>
          <w:szCs w:val="21"/>
        </w:rPr>
        <w:t>内书面通知对方当事人，在对方当事人收到有关变更通知之前，变更前的约定送达方式或者地址仍视为有效。</w:t>
      </w:r>
      <w:bookmarkEnd w:id="155"/>
      <w:bookmarkEnd w:id="156"/>
    </w:p>
    <w:p w14:paraId="09A61E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bookmarkStart w:id="160" w:name="_Toc18401"/>
      <w:bookmarkStart w:id="161" w:name="_Toc27674"/>
      <w:r>
        <w:rPr>
          <w:rFonts w:hint="eastAsia" w:ascii="宋体" w:hAnsi="宋体" w:eastAsia="宋体" w:cs="宋体"/>
          <w:bCs/>
          <w:sz w:val="21"/>
          <w:szCs w:val="21"/>
        </w:rPr>
        <w:t>2.14.2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0"/>
      <w:bookmarkEnd w:id="161"/>
    </w:p>
    <w:bookmarkEnd w:id="157"/>
    <w:bookmarkEnd w:id="158"/>
    <w:bookmarkEnd w:id="159"/>
    <w:p w14:paraId="2644D4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162" w:name="_Toc20808"/>
      <w:bookmarkStart w:id="163" w:name="_Toc487900373"/>
      <w:bookmarkStart w:id="164" w:name="_Toc259093692"/>
      <w:bookmarkStart w:id="165" w:name="_Toc12254"/>
      <w:bookmarkStart w:id="166" w:name="_Toc28906"/>
      <w:bookmarkStart w:id="167" w:name="_Toc279701263"/>
      <w:bookmarkStart w:id="168" w:name="_Toc27644"/>
      <w:bookmarkStart w:id="169" w:name="_Toc5063"/>
      <w:r>
        <w:rPr>
          <w:rFonts w:hint="eastAsia" w:ascii="宋体" w:hAnsi="宋体" w:eastAsia="宋体" w:cs="宋体"/>
          <w:b/>
          <w:bCs/>
          <w:sz w:val="21"/>
          <w:szCs w:val="21"/>
        </w:rPr>
        <w:t>2.15 合同使用的文字和适用的法律</w:t>
      </w:r>
      <w:bookmarkEnd w:id="162"/>
      <w:bookmarkEnd w:id="163"/>
      <w:bookmarkEnd w:id="164"/>
      <w:bookmarkEnd w:id="165"/>
      <w:bookmarkEnd w:id="166"/>
      <w:bookmarkEnd w:id="167"/>
      <w:bookmarkEnd w:id="168"/>
      <w:bookmarkEnd w:id="169"/>
    </w:p>
    <w:p w14:paraId="6C16E1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2.15.1合同使用汉语书就、变更和解释。</w:t>
      </w:r>
    </w:p>
    <w:p w14:paraId="4A1D6E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2.15.2合同适用中华人民共和国法律。</w:t>
      </w:r>
    </w:p>
    <w:p w14:paraId="2B734117">
      <w:pPr>
        <w:widowControl/>
        <w:spacing w:line="360" w:lineRule="auto"/>
        <w:jc w:val="center"/>
        <w:rPr>
          <w:rFonts w:hint="eastAsia" w:ascii="宋体" w:hAnsi="宋体" w:eastAsia="宋体" w:cs="宋体"/>
          <w:b/>
          <w:sz w:val="21"/>
          <w:szCs w:val="21"/>
        </w:rPr>
      </w:pPr>
      <w:bookmarkStart w:id="170" w:name="_Toc331685784"/>
    </w:p>
    <w:p w14:paraId="0020AD17">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第三部分  合同专用条款</w:t>
      </w:r>
      <w:bookmarkEnd w:id="170"/>
    </w:p>
    <w:p w14:paraId="5E55BE6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本部分是对前两部分的补充和修改，如果前两部分和本部分的约定不一致，应以本部分的约定为准。本部分的条款号应与前两部分的条款号保持对应；与前两部分无对应关系的内容可另行编写条款号。</w:t>
      </w:r>
    </w:p>
    <w:tbl>
      <w:tblPr>
        <w:tblStyle w:val="5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7622"/>
      </w:tblGrid>
      <w:tr w14:paraId="289D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noWrap/>
            <w:vAlign w:val="center"/>
          </w:tcPr>
          <w:p w14:paraId="2C7C24C5">
            <w:pPr>
              <w:widowControl/>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7622" w:type="dxa"/>
            <w:noWrap/>
            <w:vAlign w:val="center"/>
          </w:tcPr>
          <w:p w14:paraId="4869C3CE">
            <w:pPr>
              <w:widowControl/>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约定内容</w:t>
            </w:r>
          </w:p>
        </w:tc>
      </w:tr>
      <w:tr w14:paraId="28F4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1162" w:type="dxa"/>
            <w:noWrap/>
            <w:vAlign w:val="center"/>
          </w:tcPr>
          <w:p w14:paraId="02A990B7">
            <w:pPr>
              <w:widowControl/>
              <w:spacing w:line="360" w:lineRule="auto"/>
              <w:jc w:val="center"/>
              <w:rPr>
                <w:rFonts w:hint="eastAsia" w:ascii="宋体" w:hAnsi="宋体" w:eastAsia="宋体" w:cs="宋体"/>
                <w:bCs/>
                <w:sz w:val="21"/>
                <w:szCs w:val="21"/>
              </w:rPr>
            </w:pPr>
          </w:p>
        </w:tc>
        <w:tc>
          <w:tcPr>
            <w:tcW w:w="7622" w:type="dxa"/>
            <w:noWrap/>
            <w:vAlign w:val="center"/>
          </w:tcPr>
          <w:p w14:paraId="6D3344EF">
            <w:pPr>
              <w:widowControl/>
              <w:spacing w:line="360" w:lineRule="auto"/>
              <w:rPr>
                <w:rFonts w:hint="eastAsia" w:ascii="宋体" w:hAnsi="宋体" w:eastAsia="宋体" w:cs="宋体"/>
                <w:sz w:val="21"/>
                <w:szCs w:val="21"/>
              </w:rPr>
            </w:pPr>
          </w:p>
        </w:tc>
      </w:tr>
      <w:tr w14:paraId="3B77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1162" w:type="dxa"/>
            <w:noWrap/>
            <w:vAlign w:val="center"/>
          </w:tcPr>
          <w:p w14:paraId="37D19D65">
            <w:pPr>
              <w:widowControl/>
              <w:spacing w:line="360" w:lineRule="auto"/>
              <w:jc w:val="center"/>
              <w:rPr>
                <w:rFonts w:hint="eastAsia" w:ascii="宋体" w:hAnsi="宋体" w:eastAsia="宋体" w:cs="宋体"/>
                <w:bCs/>
                <w:sz w:val="21"/>
                <w:szCs w:val="21"/>
              </w:rPr>
            </w:pPr>
          </w:p>
        </w:tc>
        <w:tc>
          <w:tcPr>
            <w:tcW w:w="7622" w:type="dxa"/>
            <w:noWrap/>
            <w:vAlign w:val="center"/>
          </w:tcPr>
          <w:p w14:paraId="3AA380AD">
            <w:pPr>
              <w:widowControl/>
              <w:spacing w:line="360" w:lineRule="auto"/>
              <w:rPr>
                <w:rFonts w:hint="eastAsia" w:ascii="宋体" w:hAnsi="宋体" w:eastAsia="宋体" w:cs="宋体"/>
                <w:sz w:val="21"/>
                <w:szCs w:val="21"/>
              </w:rPr>
            </w:pPr>
          </w:p>
        </w:tc>
      </w:tr>
      <w:tr w14:paraId="049A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1162" w:type="dxa"/>
            <w:noWrap/>
            <w:vAlign w:val="center"/>
          </w:tcPr>
          <w:p w14:paraId="4D3190E6">
            <w:pPr>
              <w:widowControl/>
              <w:spacing w:line="360" w:lineRule="auto"/>
              <w:jc w:val="center"/>
              <w:rPr>
                <w:rFonts w:hint="eastAsia" w:ascii="宋体" w:hAnsi="宋体" w:eastAsia="宋体" w:cs="宋体"/>
                <w:bCs/>
                <w:sz w:val="21"/>
                <w:szCs w:val="21"/>
              </w:rPr>
            </w:pPr>
          </w:p>
        </w:tc>
        <w:tc>
          <w:tcPr>
            <w:tcW w:w="7622" w:type="dxa"/>
            <w:noWrap/>
            <w:vAlign w:val="center"/>
          </w:tcPr>
          <w:p w14:paraId="2A1ACDE3">
            <w:pPr>
              <w:widowControl/>
              <w:spacing w:line="360" w:lineRule="auto"/>
              <w:rPr>
                <w:rFonts w:hint="eastAsia" w:ascii="宋体" w:hAnsi="宋体" w:eastAsia="宋体" w:cs="宋体"/>
                <w:sz w:val="21"/>
                <w:szCs w:val="21"/>
              </w:rPr>
            </w:pPr>
          </w:p>
        </w:tc>
      </w:tr>
      <w:tr w14:paraId="2936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1162" w:type="dxa"/>
            <w:noWrap/>
            <w:vAlign w:val="center"/>
          </w:tcPr>
          <w:p w14:paraId="37A84360">
            <w:pPr>
              <w:widowControl/>
              <w:spacing w:line="360" w:lineRule="auto"/>
              <w:jc w:val="center"/>
              <w:rPr>
                <w:rFonts w:hint="eastAsia" w:ascii="宋体" w:hAnsi="宋体" w:eastAsia="宋体" w:cs="宋体"/>
                <w:bCs/>
                <w:sz w:val="21"/>
                <w:szCs w:val="21"/>
              </w:rPr>
            </w:pPr>
          </w:p>
        </w:tc>
        <w:tc>
          <w:tcPr>
            <w:tcW w:w="7622" w:type="dxa"/>
            <w:noWrap/>
            <w:vAlign w:val="center"/>
          </w:tcPr>
          <w:p w14:paraId="58B394F0">
            <w:pPr>
              <w:widowControl/>
              <w:spacing w:line="360" w:lineRule="auto"/>
              <w:rPr>
                <w:rFonts w:hint="eastAsia" w:ascii="宋体" w:hAnsi="宋体" w:eastAsia="宋体" w:cs="宋体"/>
                <w:sz w:val="21"/>
                <w:szCs w:val="21"/>
              </w:rPr>
            </w:pPr>
          </w:p>
        </w:tc>
      </w:tr>
      <w:tr w14:paraId="282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1162" w:type="dxa"/>
            <w:noWrap/>
            <w:vAlign w:val="center"/>
          </w:tcPr>
          <w:p w14:paraId="3E2E279E">
            <w:pPr>
              <w:widowControl/>
              <w:spacing w:line="360" w:lineRule="auto"/>
              <w:jc w:val="center"/>
              <w:rPr>
                <w:rFonts w:hint="eastAsia" w:ascii="宋体" w:hAnsi="宋体" w:eastAsia="宋体" w:cs="宋体"/>
                <w:bCs/>
                <w:sz w:val="21"/>
                <w:szCs w:val="21"/>
              </w:rPr>
            </w:pPr>
          </w:p>
        </w:tc>
        <w:tc>
          <w:tcPr>
            <w:tcW w:w="7622" w:type="dxa"/>
            <w:noWrap/>
            <w:vAlign w:val="center"/>
          </w:tcPr>
          <w:p w14:paraId="0C834A51">
            <w:pPr>
              <w:widowControl/>
              <w:spacing w:line="360" w:lineRule="auto"/>
              <w:rPr>
                <w:rFonts w:hint="eastAsia" w:ascii="宋体" w:hAnsi="宋体" w:eastAsia="宋体" w:cs="宋体"/>
                <w:sz w:val="21"/>
                <w:szCs w:val="21"/>
              </w:rPr>
            </w:pPr>
          </w:p>
        </w:tc>
      </w:tr>
    </w:tbl>
    <w:p w14:paraId="10F15166">
      <w:pPr>
        <w:widowControl/>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甲方</w:t>
      </w:r>
      <w:r>
        <w:rPr>
          <w:rFonts w:hint="eastAsia" w:ascii="宋体" w:hAnsi="宋体" w:eastAsia="宋体" w:cs="宋体"/>
          <w:sz w:val="21"/>
          <w:szCs w:val="21"/>
        </w:rPr>
        <w:t>（盖章）</w:t>
      </w:r>
      <w:r>
        <w:rPr>
          <w:rFonts w:hint="eastAsia" w:ascii="宋体" w:hAnsi="宋体" w:eastAsia="宋体" w:cs="宋体"/>
          <w:bCs/>
          <w:sz w:val="21"/>
          <w:szCs w:val="21"/>
          <w:lang w:val="zh-CN"/>
        </w:rPr>
        <w:t>：                           乙方</w:t>
      </w:r>
      <w:r>
        <w:rPr>
          <w:rFonts w:hint="eastAsia" w:ascii="宋体" w:hAnsi="宋体" w:eastAsia="宋体" w:cs="宋体"/>
          <w:sz w:val="21"/>
          <w:szCs w:val="21"/>
        </w:rPr>
        <w:t>（盖章）</w:t>
      </w:r>
      <w:r>
        <w:rPr>
          <w:rFonts w:hint="eastAsia" w:ascii="宋体" w:hAnsi="宋体" w:eastAsia="宋体" w:cs="宋体"/>
          <w:bCs/>
          <w:sz w:val="21"/>
          <w:szCs w:val="21"/>
          <w:lang w:val="zh-CN"/>
        </w:rPr>
        <w:t>：</w:t>
      </w:r>
    </w:p>
    <w:p w14:paraId="73F9366D">
      <w:pPr>
        <w:widowControl/>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统一社会信用代码：                       统一社会信用代码：</w:t>
      </w:r>
    </w:p>
    <w:p w14:paraId="371EB96F">
      <w:pPr>
        <w:widowControl/>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授权代表（签字）：                       授权代表（签字）：</w:t>
      </w:r>
    </w:p>
    <w:p w14:paraId="717B0960">
      <w:pPr>
        <w:widowControl/>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联系人/电话：                            联系人/电话：</w:t>
      </w:r>
    </w:p>
    <w:p w14:paraId="68E676CB">
      <w:pPr>
        <w:widowControl/>
        <w:spacing w:line="360" w:lineRule="auto"/>
        <w:jc w:val="left"/>
        <w:rPr>
          <w:rFonts w:hint="eastAsia" w:ascii="宋体" w:hAnsi="宋体" w:eastAsia="宋体" w:cs="宋体"/>
          <w:sz w:val="21"/>
          <w:szCs w:val="21"/>
        </w:rPr>
      </w:pPr>
      <w:r>
        <w:rPr>
          <w:rFonts w:hint="eastAsia" w:ascii="宋体" w:hAnsi="宋体" w:eastAsia="宋体" w:cs="宋体"/>
          <w:bCs/>
          <w:sz w:val="21"/>
          <w:szCs w:val="21"/>
        </w:rPr>
        <w:t>签订日期：                               签订日期：</w:t>
      </w:r>
    </w:p>
    <w:p w14:paraId="011E5FDF">
      <w:pPr>
        <w:snapToGrid w:val="0"/>
        <w:spacing w:line="360" w:lineRule="auto"/>
        <w:ind w:firstLine="573"/>
        <w:rPr>
          <w:rFonts w:ascii="宋体" w:hAnsi="宋体" w:cs="宋体"/>
          <w:bCs/>
          <w:kern w:val="44"/>
          <w:sz w:val="24"/>
          <w:szCs w:val="24"/>
        </w:rPr>
      </w:pPr>
      <w:r>
        <w:rPr>
          <w:rFonts w:ascii="宋体" w:hAnsi="宋体" w:cs="宋体"/>
          <w:bCs/>
          <w:kern w:val="44"/>
          <w:sz w:val="24"/>
          <w:szCs w:val="24"/>
        </w:rPr>
        <w:br w:type="page"/>
      </w:r>
    </w:p>
    <w:p w14:paraId="60565811">
      <w:pPr>
        <w:pStyle w:val="237"/>
        <w:numPr>
          <w:ilvl w:val="0"/>
          <w:numId w:val="0"/>
        </w:numPr>
        <w:tabs>
          <w:tab w:val="left" w:pos="1050"/>
          <w:tab w:val="right" w:leader="dot" w:pos="9402"/>
        </w:tabs>
        <w:spacing w:line="360" w:lineRule="auto"/>
        <w:ind w:left="0" w:leftChars="0"/>
        <w:jc w:val="center"/>
        <w:rPr>
          <w:rFonts w:ascii="Times New Roman" w:hAnsi="Times New Roman" w:cs="宋体"/>
          <w:b/>
          <w:sz w:val="44"/>
          <w:szCs w:val="44"/>
        </w:rPr>
      </w:pPr>
      <w:r>
        <w:rPr>
          <w:rFonts w:hint="eastAsia" w:ascii="Times New Roman" w:hAnsi="Times New Roman" w:eastAsia="宋体" w:cs="宋体"/>
          <w:b/>
          <w:sz w:val="44"/>
          <w:szCs w:val="44"/>
          <w:lang w:val="en-US" w:eastAsia="en-US" w:bidi="ar-SA"/>
        </w:rPr>
        <w:t>第六章</w:t>
      </w:r>
      <w:r>
        <w:rPr>
          <w:rFonts w:hint="eastAsia" w:ascii="Times New Roman" w:hAnsi="Times New Roman" w:cs="宋体"/>
          <w:b/>
          <w:sz w:val="44"/>
          <w:szCs w:val="44"/>
          <w:lang w:val="en-US" w:eastAsia="zh-CN" w:bidi="ar-SA"/>
        </w:rPr>
        <w:t xml:space="preserve">  </w:t>
      </w:r>
      <w:r>
        <w:rPr>
          <w:rFonts w:hint="eastAsia" w:ascii="Times New Roman" w:hAnsi="Times New Roman" w:cs="宋体"/>
          <w:b/>
          <w:sz w:val="44"/>
          <w:szCs w:val="44"/>
        </w:rPr>
        <w:t>合同授予</w:t>
      </w:r>
    </w:p>
    <w:p w14:paraId="5E075D36">
      <w:pPr>
        <w:tabs>
          <w:tab w:val="left" w:pos="5250"/>
        </w:tabs>
        <w:spacing w:line="480" w:lineRule="exact"/>
        <w:ind w:firstLine="485"/>
        <w:rPr>
          <w:rFonts w:ascii="Times New Roman" w:hAnsi="Times New Roman" w:cs="宋体"/>
          <w:sz w:val="28"/>
          <w:szCs w:val="28"/>
        </w:rPr>
      </w:pPr>
      <w:r>
        <w:rPr>
          <w:rFonts w:hint="eastAsia" w:ascii="Times New Roman" w:hAnsi="Times New Roman" w:cs="宋体"/>
          <w:sz w:val="24"/>
        </w:rPr>
        <w:t>一、成交供应商在《成交通知书》发出之日起30日内须按照磋商文件确定的事项和采购单位签订政府采购合同。合同一式陆份，采购</w:t>
      </w:r>
      <w:r>
        <w:rPr>
          <w:rFonts w:hint="eastAsia" w:ascii="Times New Roman" w:hAnsi="Times New Roman" w:cs="宋体"/>
          <w:sz w:val="24"/>
          <w:szCs w:val="24"/>
        </w:rPr>
        <w:t>单位</w:t>
      </w:r>
      <w:r>
        <w:rPr>
          <w:rFonts w:hint="eastAsia" w:ascii="Times New Roman" w:hAnsi="Times New Roman" w:cs="宋体"/>
          <w:sz w:val="24"/>
        </w:rPr>
        <w:t>叁份、供应商叁份。所签合同不得对磋商文件作实质性修改。采购单位不得向成交供应商提出不合理的要求作为签订合同的条件，不得与成交供应商私下订立背离磋商文件实质性内容的协议。</w:t>
      </w:r>
    </w:p>
    <w:p w14:paraId="52291224">
      <w:pPr>
        <w:spacing w:line="480" w:lineRule="exact"/>
        <w:ind w:firstLine="485"/>
        <w:rPr>
          <w:rFonts w:ascii="Times New Roman" w:hAnsi="Times New Roman" w:cs="宋体"/>
          <w:sz w:val="24"/>
        </w:rPr>
      </w:pPr>
      <w:r>
        <w:rPr>
          <w:rFonts w:hint="eastAsia" w:ascii="Times New Roman" w:hAnsi="Times New Roman" w:cs="宋体"/>
          <w:sz w:val="24"/>
        </w:rPr>
        <w:t>二、采购单位按合同约定积极配合成交供应商履约，成交供应商履约到位后，请以书面形式向采购单位提出验收申请。</w:t>
      </w:r>
    </w:p>
    <w:p w14:paraId="25489118">
      <w:pPr>
        <w:spacing w:line="480" w:lineRule="exact"/>
        <w:ind w:firstLine="485"/>
        <w:rPr>
          <w:rFonts w:ascii="Times New Roman" w:hAnsi="Times New Roman" w:cs="宋体"/>
          <w:sz w:val="24"/>
        </w:rPr>
      </w:pPr>
      <w:r>
        <w:rPr>
          <w:rFonts w:hint="eastAsia" w:ascii="Times New Roman" w:hAnsi="Times New Roman" w:cs="宋体"/>
          <w:sz w:val="24"/>
        </w:rPr>
        <w:t>三、采购单位故意推迟</w:t>
      </w:r>
      <w:r>
        <w:rPr>
          <w:rFonts w:hint="eastAsia" w:ascii="Times New Roman" w:hAnsi="Times New Roman" w:cs="宋体"/>
          <w:sz w:val="24"/>
          <w:szCs w:val="24"/>
        </w:rPr>
        <w:t>项目</w:t>
      </w:r>
      <w:r>
        <w:rPr>
          <w:rFonts w:hint="eastAsia" w:ascii="Times New Roman" w:hAnsi="Times New Roman" w:cs="宋体"/>
          <w:sz w:val="24"/>
        </w:rPr>
        <w:t>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684A0C5C">
      <w:pPr>
        <w:spacing w:line="480" w:lineRule="exact"/>
        <w:ind w:firstLine="485"/>
        <w:rPr>
          <w:rFonts w:ascii="Times New Roman" w:hAnsi="Times New Roman" w:cs="宋体"/>
          <w:sz w:val="24"/>
        </w:rPr>
      </w:pPr>
      <w:r>
        <w:rPr>
          <w:rFonts w:hint="eastAsia" w:ascii="Times New Roman" w:hAnsi="Times New Roman" w:cs="宋体"/>
          <w:sz w:val="24"/>
        </w:rPr>
        <w:t>四、成交供应商出现违约情形，应当及时纠正或补偿；造成损失的，按合同约定追究违约责任；发现有假冒、伪劣、走私产品、商业贿赂等违法情形的，应由采购单位移交工商、质监、公安等行政执法部门依法查处。</w:t>
      </w:r>
    </w:p>
    <w:p w14:paraId="1741669F">
      <w:pPr>
        <w:spacing w:line="480" w:lineRule="exact"/>
        <w:ind w:firstLine="485"/>
        <w:rPr>
          <w:rFonts w:ascii="Times New Roman" w:hAnsi="Times New Roman" w:cs="宋体"/>
          <w:sz w:val="24"/>
        </w:rPr>
      </w:pPr>
      <w:r>
        <w:rPr>
          <w:rFonts w:hint="eastAsia" w:ascii="Times New Roman" w:hAnsi="Times New Roman" w:cs="宋体"/>
          <w:sz w:val="24"/>
        </w:rPr>
        <w:t>五、不响应付款方式的，视同响应文件无效，按无效响应文件处理。</w:t>
      </w:r>
    </w:p>
    <w:p w14:paraId="4BD34B96">
      <w:pPr>
        <w:spacing w:line="480" w:lineRule="exact"/>
        <w:ind w:firstLine="485"/>
        <w:rPr>
          <w:rFonts w:ascii="Times New Roman" w:hAnsi="Times New Roman" w:cs="宋体"/>
          <w:sz w:val="24"/>
        </w:rPr>
      </w:pPr>
      <w:r>
        <w:rPr>
          <w:rFonts w:hint="eastAsia" w:ascii="Times New Roman" w:hAnsi="Times New Roman" w:cs="宋体"/>
          <w:sz w:val="24"/>
        </w:rPr>
        <w:t>六、付款方式详见磋商文件第五章。</w:t>
      </w:r>
    </w:p>
    <w:p w14:paraId="1F2C85A2">
      <w:pPr>
        <w:spacing w:line="480" w:lineRule="exact"/>
        <w:ind w:firstLine="485"/>
        <w:rPr>
          <w:rFonts w:ascii="Times New Roman" w:hAnsi="Times New Roman" w:cs="宋体"/>
          <w:b/>
          <w:iCs/>
          <w:sz w:val="44"/>
          <w:szCs w:val="44"/>
        </w:rPr>
      </w:pPr>
      <w:r>
        <w:rPr>
          <w:rFonts w:hint="eastAsia" w:ascii="Times New Roman" w:hAnsi="Times New Roman" w:cs="宋体"/>
          <w:sz w:val="24"/>
        </w:rPr>
        <w:t>七、以上项目款的支付不计息。</w:t>
      </w:r>
    </w:p>
    <w:p w14:paraId="4E4FC2E4">
      <w:pPr>
        <w:rPr>
          <w:rFonts w:ascii="Times New Roman" w:hAnsi="Times New Roman" w:cs="宋体"/>
          <w:b/>
          <w:iCs/>
          <w:sz w:val="44"/>
          <w:szCs w:val="44"/>
        </w:rPr>
      </w:pPr>
    </w:p>
    <w:p w14:paraId="38BEA276">
      <w:pPr>
        <w:pStyle w:val="237"/>
        <w:tabs>
          <w:tab w:val="left" w:pos="1050"/>
          <w:tab w:val="right" w:leader="dot" w:pos="9402"/>
        </w:tabs>
        <w:spacing w:line="360" w:lineRule="auto"/>
        <w:ind w:left="0"/>
        <w:jc w:val="center"/>
        <w:rPr>
          <w:rFonts w:ascii="Times New Roman" w:hAnsi="Times New Roman"/>
          <w:sz w:val="28"/>
          <w:szCs w:val="28"/>
          <w:lang w:eastAsia="zh-CN"/>
        </w:rPr>
      </w:pPr>
      <w:r>
        <w:rPr>
          <w:rFonts w:ascii="Times New Roman" w:hAnsi="Times New Roman" w:cs="宋体"/>
          <w:b/>
          <w:iCs/>
          <w:sz w:val="44"/>
          <w:szCs w:val="44"/>
          <w:lang w:eastAsia="zh-CN"/>
        </w:rPr>
        <w:br w:type="page" w:clear="all"/>
      </w:r>
      <w:r>
        <w:rPr>
          <w:rFonts w:hint="eastAsia" w:ascii="Times New Roman" w:hAnsi="Times New Roman" w:cs="宋体"/>
          <w:b/>
          <w:iCs/>
          <w:sz w:val="44"/>
          <w:szCs w:val="44"/>
          <w:lang w:eastAsia="zh-CN"/>
        </w:rPr>
        <w:t>第七章 质疑提出和处理</w:t>
      </w:r>
    </w:p>
    <w:p w14:paraId="097000F0">
      <w:pPr>
        <w:spacing w:line="360" w:lineRule="auto"/>
        <w:ind w:firstLine="487"/>
        <w:rPr>
          <w:rFonts w:ascii="Times New Roman" w:hAnsi="Times New Roman"/>
          <w:b/>
          <w:sz w:val="24"/>
          <w:szCs w:val="24"/>
        </w:rPr>
      </w:pPr>
      <w:r>
        <w:rPr>
          <w:rFonts w:ascii="Times New Roman" w:hAnsi="Times New Roman"/>
          <w:b/>
          <w:sz w:val="24"/>
          <w:szCs w:val="24"/>
        </w:rPr>
        <w:t>一、质疑的提出</w:t>
      </w:r>
    </w:p>
    <w:p w14:paraId="532BF794">
      <w:pPr>
        <w:spacing w:line="360" w:lineRule="auto"/>
        <w:ind w:firstLine="485"/>
        <w:rPr>
          <w:rFonts w:ascii="Times New Roman" w:hAnsi="Times New Roman"/>
          <w:sz w:val="24"/>
          <w:szCs w:val="24"/>
        </w:rPr>
      </w:pPr>
      <w:r>
        <w:rPr>
          <w:rFonts w:hint="eastAsia" w:ascii="Times New Roman" w:hAnsi="Times New Roman"/>
          <w:sz w:val="24"/>
          <w:szCs w:val="24"/>
        </w:rPr>
        <w:t>1、提出质疑的供应商应当是参与所质疑项目采购活动的供应商。潜在供应商依法获取其可质疑的采购文件的，可以对采购文件提出质疑。</w:t>
      </w:r>
    </w:p>
    <w:p w14:paraId="7A10A9D6">
      <w:pPr>
        <w:spacing w:line="360" w:lineRule="auto"/>
        <w:ind w:firstLine="485"/>
        <w:rPr>
          <w:rFonts w:ascii="Times New Roman" w:hAnsi="Times New Roman"/>
          <w:sz w:val="24"/>
          <w:szCs w:val="24"/>
        </w:rPr>
      </w:pPr>
      <w:r>
        <w:rPr>
          <w:rFonts w:hint="eastAsia" w:ascii="Times New Roman" w:hAnsi="Times New Roman"/>
          <w:sz w:val="24"/>
          <w:szCs w:val="24"/>
        </w:rPr>
        <w:t>2、供应商认为采购文件、采购过程和采购结果使自己的权益受到损害的，可以在知道或应知其权益受到损害之日起七个工作日内，以书面形式向采购人提出质疑。上述应知其权益受到损害之日，是指：</w:t>
      </w:r>
    </w:p>
    <w:p w14:paraId="46CEDC51">
      <w:pPr>
        <w:spacing w:line="360" w:lineRule="auto"/>
        <w:ind w:firstLine="485"/>
        <w:rPr>
          <w:rFonts w:ascii="Times New Roman" w:hAnsi="Times New Roman"/>
          <w:sz w:val="24"/>
          <w:szCs w:val="24"/>
        </w:rPr>
      </w:pPr>
      <w:r>
        <w:rPr>
          <w:rFonts w:hint="eastAsia" w:ascii="Times New Roman" w:hAnsi="Times New Roman"/>
          <w:sz w:val="24"/>
          <w:szCs w:val="24"/>
        </w:rPr>
        <w:t>2.1对可以质疑的采购文件提出质疑的，为收到采购文件之日或者采购文件公告期限届满之日；</w:t>
      </w:r>
    </w:p>
    <w:p w14:paraId="5D83ACDC">
      <w:pPr>
        <w:spacing w:line="360" w:lineRule="auto"/>
        <w:ind w:firstLine="485"/>
        <w:rPr>
          <w:rFonts w:ascii="Times New Roman" w:hAnsi="Times New Roman"/>
          <w:sz w:val="24"/>
          <w:szCs w:val="24"/>
        </w:rPr>
      </w:pPr>
      <w:r>
        <w:rPr>
          <w:rFonts w:hint="eastAsia" w:ascii="Times New Roman" w:hAnsi="Times New Roman"/>
          <w:sz w:val="24"/>
          <w:szCs w:val="24"/>
        </w:rPr>
        <w:t>2.2对采购过程提出质疑的，为各采购程序环节结束之日；</w:t>
      </w:r>
    </w:p>
    <w:p w14:paraId="68B791D2">
      <w:pPr>
        <w:spacing w:line="360" w:lineRule="auto"/>
        <w:ind w:firstLine="485"/>
        <w:rPr>
          <w:rFonts w:ascii="Times New Roman" w:hAnsi="Times New Roman"/>
          <w:sz w:val="24"/>
          <w:szCs w:val="24"/>
        </w:rPr>
      </w:pPr>
      <w:r>
        <w:rPr>
          <w:rFonts w:hint="eastAsia" w:ascii="Times New Roman" w:hAnsi="Times New Roman"/>
          <w:sz w:val="24"/>
          <w:szCs w:val="24"/>
        </w:rPr>
        <w:t>2.3对成交结果提出质疑的，为成交结果公告期限届满之日。</w:t>
      </w:r>
    </w:p>
    <w:p w14:paraId="06B7BF2E">
      <w:pPr>
        <w:spacing w:line="360" w:lineRule="auto"/>
        <w:ind w:firstLine="485"/>
        <w:rPr>
          <w:rFonts w:ascii="Times New Roman" w:hAnsi="Times New Roman"/>
          <w:sz w:val="24"/>
          <w:szCs w:val="24"/>
        </w:rPr>
      </w:pPr>
      <w:r>
        <w:rPr>
          <w:rFonts w:hint="eastAsia" w:ascii="Times New Roman" w:hAnsi="Times New Roman"/>
          <w:sz w:val="24"/>
          <w:szCs w:val="24"/>
        </w:rPr>
        <w:t>供应商应当在法定质疑期内一次性提出针对同一采购程序环节的质疑。</w:t>
      </w:r>
    </w:p>
    <w:p w14:paraId="3DF7AC06">
      <w:pPr>
        <w:spacing w:line="360" w:lineRule="auto"/>
        <w:ind w:firstLine="485"/>
        <w:rPr>
          <w:rFonts w:ascii="Times New Roman" w:hAnsi="Times New Roman"/>
          <w:sz w:val="24"/>
          <w:szCs w:val="24"/>
        </w:rPr>
      </w:pPr>
      <w:r>
        <w:rPr>
          <w:rFonts w:hint="eastAsia" w:ascii="Times New Roman" w:hAnsi="Times New Roman"/>
          <w:sz w:val="24"/>
          <w:szCs w:val="24"/>
        </w:rPr>
        <w:t>3、质疑函必须按照本</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文件中《质疑函范本》要求的格式和内容进行填写。供应商如组成联合体参加采购活动，则《质疑函范本》中要求签字、盖章、加盖公章之处，联合体各方均须按要求签字、盖章、加盖公章。</w:t>
      </w:r>
    </w:p>
    <w:p w14:paraId="79023EEA">
      <w:pPr>
        <w:spacing w:line="360" w:lineRule="auto"/>
        <w:ind w:firstLine="485"/>
        <w:rPr>
          <w:rFonts w:ascii="Times New Roman" w:hAnsi="Times New Roman"/>
          <w:sz w:val="24"/>
          <w:szCs w:val="24"/>
        </w:rPr>
      </w:pPr>
      <w:r>
        <w:rPr>
          <w:rFonts w:hint="eastAsia" w:ascii="Times New Roman" w:hAnsi="Times New Roman"/>
          <w:sz w:val="24"/>
          <w:szCs w:val="24"/>
        </w:rPr>
        <w:t>4、对采购方式、</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文件中项目需求、供应商资格条件、评审方法和评审标准、资格审查结果等应当由采购人答复的质疑，请向采购人提出，由采购人负责答复。</w:t>
      </w:r>
    </w:p>
    <w:p w14:paraId="1D1BB9AB">
      <w:pPr>
        <w:spacing w:line="360" w:lineRule="auto"/>
        <w:ind w:firstLine="485"/>
        <w:rPr>
          <w:rFonts w:ascii="Times New Roman" w:hAnsi="Times New Roman"/>
          <w:sz w:val="24"/>
          <w:szCs w:val="24"/>
        </w:rPr>
      </w:pPr>
      <w:r>
        <w:rPr>
          <w:rFonts w:hint="eastAsia" w:ascii="Times New Roman" w:hAnsi="Times New Roman"/>
          <w:sz w:val="24"/>
          <w:szCs w:val="24"/>
        </w:rPr>
        <w:t>采购人质疑接收人及联系方式，见</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文件第一章。</w:t>
      </w:r>
    </w:p>
    <w:p w14:paraId="6552C57C">
      <w:pPr>
        <w:spacing w:line="360" w:lineRule="auto"/>
        <w:ind w:firstLine="485"/>
        <w:rPr>
          <w:rFonts w:ascii="Times New Roman" w:hAnsi="Times New Roman"/>
          <w:sz w:val="24"/>
          <w:szCs w:val="24"/>
        </w:rPr>
      </w:pPr>
      <w:r>
        <w:rPr>
          <w:rFonts w:hint="eastAsia" w:ascii="Times New Roman" w:hAnsi="Times New Roman"/>
          <w:sz w:val="24"/>
          <w:szCs w:val="24"/>
        </w:rPr>
        <w:t>5、以下情形的质疑不予受理</w:t>
      </w:r>
    </w:p>
    <w:p w14:paraId="053D0E2A">
      <w:pPr>
        <w:spacing w:line="360" w:lineRule="auto"/>
        <w:ind w:firstLine="485"/>
        <w:rPr>
          <w:rFonts w:ascii="Times New Roman" w:hAnsi="Times New Roman"/>
          <w:sz w:val="24"/>
          <w:szCs w:val="24"/>
        </w:rPr>
      </w:pPr>
      <w:r>
        <w:rPr>
          <w:rFonts w:hint="eastAsia" w:ascii="Times New Roman" w:hAnsi="Times New Roman"/>
          <w:sz w:val="24"/>
          <w:szCs w:val="24"/>
        </w:rPr>
        <w:t>5.1 内容不符合《政府采购质疑和投诉办法》财政部第94号令第十二条规定的质疑。</w:t>
      </w:r>
    </w:p>
    <w:p w14:paraId="23B29BBA">
      <w:pPr>
        <w:spacing w:line="360" w:lineRule="auto"/>
        <w:ind w:firstLine="485"/>
        <w:rPr>
          <w:rFonts w:ascii="Times New Roman" w:hAnsi="Times New Roman"/>
          <w:sz w:val="24"/>
          <w:szCs w:val="24"/>
        </w:rPr>
      </w:pPr>
      <w:r>
        <w:rPr>
          <w:rFonts w:hint="eastAsia" w:ascii="Times New Roman" w:hAnsi="Times New Roman"/>
          <w:sz w:val="24"/>
          <w:szCs w:val="24"/>
        </w:rPr>
        <w:t>5.2 超出政府采购法定期限的质疑。</w:t>
      </w:r>
    </w:p>
    <w:p w14:paraId="53B3860E">
      <w:pPr>
        <w:spacing w:line="360" w:lineRule="auto"/>
        <w:ind w:firstLine="485"/>
        <w:rPr>
          <w:rFonts w:ascii="Times New Roman" w:hAnsi="Times New Roman"/>
          <w:sz w:val="24"/>
          <w:szCs w:val="24"/>
        </w:rPr>
      </w:pPr>
      <w:r>
        <w:rPr>
          <w:rFonts w:hint="eastAsia" w:ascii="Times New Roman" w:hAnsi="Times New Roman"/>
          <w:sz w:val="24"/>
          <w:szCs w:val="24"/>
        </w:rPr>
        <w:t>5.3 未参加采购活动的供应商。</w:t>
      </w:r>
    </w:p>
    <w:p w14:paraId="1E1C183D">
      <w:pPr>
        <w:spacing w:line="360" w:lineRule="auto"/>
        <w:ind w:firstLine="485"/>
        <w:rPr>
          <w:rFonts w:ascii="Times New Roman" w:hAnsi="Times New Roman"/>
          <w:sz w:val="24"/>
          <w:szCs w:val="24"/>
        </w:rPr>
      </w:pPr>
      <w:r>
        <w:rPr>
          <w:rFonts w:hint="eastAsia" w:ascii="Times New Roman" w:hAnsi="Times New Roman"/>
          <w:sz w:val="24"/>
          <w:szCs w:val="24"/>
        </w:rPr>
        <w:t>5.4供应商组成联合体参加采购活动，联合体中任何一方或多方未按要求签字、盖章、加盖公章的质疑。</w:t>
      </w:r>
    </w:p>
    <w:p w14:paraId="09643D73">
      <w:pPr>
        <w:spacing w:line="360" w:lineRule="auto"/>
        <w:ind w:firstLine="485"/>
        <w:rPr>
          <w:rFonts w:ascii="Times New Roman" w:hAnsi="Times New Roman"/>
          <w:sz w:val="24"/>
          <w:szCs w:val="24"/>
        </w:rPr>
      </w:pPr>
      <w:r>
        <w:rPr>
          <w:rFonts w:hint="eastAsia" w:ascii="Times New Roman" w:hAnsi="Times New Roman"/>
          <w:sz w:val="24"/>
          <w:szCs w:val="24"/>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0B6E34C1">
      <w:pPr>
        <w:spacing w:after="120"/>
        <w:rPr>
          <w:rFonts w:ascii="Times New Roman" w:hAnsi="Times New Roman"/>
          <w:szCs w:val="21"/>
        </w:rPr>
      </w:pPr>
      <w:r>
        <w:rPr>
          <w:rFonts w:ascii="Times New Roman" w:hAnsi="Times New Roman"/>
        </w:rPr>
        <w:br w:type="page" w:clear="all"/>
      </w:r>
      <w:r>
        <w:rPr>
          <w:rFonts w:hint="eastAsia" w:ascii="Times New Roman" w:hAnsi="Times New Roman"/>
          <w:szCs w:val="21"/>
        </w:rPr>
        <w:t>附件：</w:t>
      </w:r>
    </w:p>
    <w:p w14:paraId="2B02EEAA">
      <w:pPr>
        <w:jc w:val="center"/>
        <w:rPr>
          <w:rFonts w:ascii="Times New Roman" w:hAnsi="Times New Roman" w:cs="仿宋"/>
          <w:bCs/>
          <w:sz w:val="24"/>
          <w:szCs w:val="24"/>
        </w:rPr>
      </w:pPr>
      <w:r>
        <w:rPr>
          <w:rFonts w:hint="eastAsia" w:ascii="Times New Roman" w:hAnsi="Times New Roman" w:cs="仿宋"/>
          <w:bCs/>
          <w:sz w:val="24"/>
          <w:szCs w:val="24"/>
        </w:rPr>
        <w:t>质疑函范本</w:t>
      </w:r>
    </w:p>
    <w:p w14:paraId="24DF64F5">
      <w:pPr>
        <w:spacing w:before="312" w:line="360" w:lineRule="auto"/>
        <w:rPr>
          <w:rFonts w:ascii="Times New Roman" w:hAnsi="Times New Roman" w:cs="仿宋"/>
          <w:bCs/>
          <w:sz w:val="24"/>
          <w:szCs w:val="24"/>
        </w:rPr>
      </w:pPr>
      <w:r>
        <w:rPr>
          <w:rFonts w:hint="eastAsia" w:ascii="Times New Roman" w:hAnsi="Times New Roman" w:cs="仿宋"/>
          <w:bCs/>
          <w:sz w:val="24"/>
          <w:szCs w:val="24"/>
        </w:rPr>
        <w:t>一、质疑供应商基本信息</w:t>
      </w:r>
    </w:p>
    <w:p w14:paraId="40AFCE1D">
      <w:pPr>
        <w:spacing w:line="360" w:lineRule="auto"/>
        <w:rPr>
          <w:rFonts w:ascii="Times New Roman" w:hAnsi="Times New Roman" w:cs="仿宋"/>
          <w:sz w:val="24"/>
          <w:szCs w:val="24"/>
          <w:u w:val="single"/>
        </w:rPr>
      </w:pPr>
      <w:r>
        <w:rPr>
          <w:rFonts w:hint="eastAsia" w:ascii="Times New Roman" w:hAnsi="Times New Roman" w:cs="仿宋"/>
          <w:sz w:val="24"/>
          <w:szCs w:val="24"/>
        </w:rPr>
        <w:t>质疑供应商：</w:t>
      </w:r>
    </w:p>
    <w:p w14:paraId="65C58E7E">
      <w:pPr>
        <w:spacing w:line="360" w:lineRule="auto"/>
        <w:rPr>
          <w:rFonts w:ascii="Times New Roman" w:hAnsi="Times New Roman" w:cs="仿宋"/>
          <w:sz w:val="24"/>
          <w:szCs w:val="24"/>
        </w:rPr>
      </w:pPr>
      <w:r>
        <w:rPr>
          <w:rFonts w:hint="eastAsia" w:ascii="Times New Roman" w:hAnsi="Times New Roman" w:cs="仿宋"/>
          <w:sz w:val="24"/>
          <w:szCs w:val="24"/>
        </w:rPr>
        <w:t>地址：邮编：</w:t>
      </w:r>
    </w:p>
    <w:p w14:paraId="564AE872">
      <w:pPr>
        <w:spacing w:line="360" w:lineRule="auto"/>
        <w:rPr>
          <w:rFonts w:ascii="Times New Roman" w:hAnsi="Times New Roman" w:cs="仿宋"/>
          <w:sz w:val="24"/>
          <w:szCs w:val="24"/>
        </w:rPr>
      </w:pPr>
      <w:r>
        <w:rPr>
          <w:rFonts w:hint="eastAsia" w:ascii="Times New Roman" w:hAnsi="Times New Roman" w:cs="仿宋"/>
          <w:sz w:val="24"/>
          <w:szCs w:val="24"/>
        </w:rPr>
        <w:t>联系人：联系电话：</w:t>
      </w:r>
    </w:p>
    <w:p w14:paraId="60B31C0E">
      <w:pPr>
        <w:spacing w:line="360" w:lineRule="auto"/>
        <w:rPr>
          <w:rFonts w:ascii="Times New Roman" w:hAnsi="Times New Roman" w:cs="仿宋"/>
          <w:sz w:val="24"/>
          <w:szCs w:val="24"/>
          <w:u w:val="single"/>
        </w:rPr>
      </w:pPr>
      <w:r>
        <w:rPr>
          <w:rFonts w:hint="eastAsia" w:ascii="Times New Roman" w:hAnsi="Times New Roman" w:cs="仿宋"/>
          <w:sz w:val="24"/>
          <w:szCs w:val="24"/>
        </w:rPr>
        <w:t>授权代表：</w:t>
      </w:r>
    </w:p>
    <w:p w14:paraId="5FE0F6E1">
      <w:pPr>
        <w:spacing w:line="360" w:lineRule="auto"/>
        <w:rPr>
          <w:rFonts w:ascii="Times New Roman" w:hAnsi="Times New Roman" w:cs="仿宋"/>
          <w:sz w:val="24"/>
          <w:szCs w:val="24"/>
        </w:rPr>
      </w:pPr>
      <w:r>
        <w:rPr>
          <w:rFonts w:hint="eastAsia" w:ascii="Times New Roman" w:hAnsi="Times New Roman" w:cs="仿宋"/>
          <w:sz w:val="24"/>
          <w:szCs w:val="24"/>
        </w:rPr>
        <w:t>联系电话：</w:t>
      </w:r>
    </w:p>
    <w:p w14:paraId="45526AF4">
      <w:pPr>
        <w:spacing w:line="360" w:lineRule="auto"/>
        <w:rPr>
          <w:rFonts w:ascii="Times New Roman" w:hAnsi="Times New Roman" w:cs="仿宋"/>
          <w:sz w:val="24"/>
          <w:szCs w:val="24"/>
        </w:rPr>
      </w:pPr>
      <w:r>
        <w:rPr>
          <w:rFonts w:hint="eastAsia" w:ascii="Times New Roman" w:hAnsi="Times New Roman" w:cs="仿宋"/>
          <w:sz w:val="24"/>
          <w:szCs w:val="24"/>
        </w:rPr>
        <w:t>地址：邮编：</w:t>
      </w:r>
    </w:p>
    <w:p w14:paraId="01770F6A">
      <w:pPr>
        <w:spacing w:line="360" w:lineRule="auto"/>
        <w:rPr>
          <w:rFonts w:ascii="Times New Roman" w:hAnsi="Times New Roman" w:cs="仿宋"/>
          <w:bCs/>
          <w:sz w:val="24"/>
          <w:szCs w:val="24"/>
        </w:rPr>
      </w:pPr>
      <w:r>
        <w:rPr>
          <w:rFonts w:hint="eastAsia" w:ascii="Times New Roman" w:hAnsi="Times New Roman" w:cs="仿宋"/>
          <w:bCs/>
          <w:sz w:val="24"/>
          <w:szCs w:val="24"/>
        </w:rPr>
        <w:t>二、质疑项目基本情况</w:t>
      </w:r>
    </w:p>
    <w:p w14:paraId="6CC768C9">
      <w:pPr>
        <w:spacing w:line="360" w:lineRule="auto"/>
        <w:rPr>
          <w:rFonts w:ascii="Times New Roman" w:hAnsi="Times New Roman" w:cs="仿宋"/>
          <w:sz w:val="24"/>
          <w:szCs w:val="24"/>
        </w:rPr>
      </w:pPr>
      <w:r>
        <w:rPr>
          <w:rFonts w:hint="eastAsia" w:ascii="Times New Roman" w:hAnsi="Times New Roman" w:cs="仿宋"/>
          <w:sz w:val="24"/>
          <w:szCs w:val="24"/>
        </w:rPr>
        <w:t>质疑项目的名称：</w:t>
      </w:r>
    </w:p>
    <w:p w14:paraId="79F6C629">
      <w:pPr>
        <w:spacing w:line="360" w:lineRule="auto"/>
        <w:rPr>
          <w:rFonts w:ascii="Times New Roman" w:hAnsi="Times New Roman" w:cs="仿宋"/>
          <w:sz w:val="24"/>
          <w:szCs w:val="24"/>
        </w:rPr>
      </w:pPr>
      <w:r>
        <w:rPr>
          <w:rFonts w:hint="eastAsia" w:ascii="Times New Roman" w:hAnsi="Times New Roman" w:cs="仿宋"/>
          <w:sz w:val="24"/>
          <w:szCs w:val="24"/>
        </w:rPr>
        <w:t>质疑项目的编号：包号：</w:t>
      </w:r>
    </w:p>
    <w:p w14:paraId="783802F8">
      <w:pPr>
        <w:spacing w:line="360" w:lineRule="auto"/>
        <w:rPr>
          <w:rFonts w:ascii="Times New Roman" w:hAnsi="Times New Roman" w:cs="仿宋"/>
          <w:sz w:val="24"/>
          <w:szCs w:val="24"/>
          <w:u w:val="single"/>
        </w:rPr>
      </w:pPr>
      <w:r>
        <w:rPr>
          <w:rFonts w:hint="eastAsia" w:ascii="Times New Roman" w:hAnsi="Times New Roman" w:cs="仿宋"/>
          <w:sz w:val="24"/>
          <w:szCs w:val="24"/>
        </w:rPr>
        <w:t>采购人名称：</w:t>
      </w:r>
    </w:p>
    <w:p w14:paraId="4599EFE4">
      <w:pPr>
        <w:spacing w:line="360" w:lineRule="auto"/>
        <w:rPr>
          <w:rFonts w:ascii="Times New Roman" w:hAnsi="Times New Roman" w:cs="仿宋"/>
          <w:sz w:val="24"/>
          <w:szCs w:val="24"/>
        </w:rPr>
      </w:pPr>
      <w:r>
        <w:rPr>
          <w:rFonts w:hint="eastAsia" w:ascii="Times New Roman" w:hAnsi="Times New Roman" w:cs="仿宋"/>
          <w:sz w:val="24"/>
          <w:szCs w:val="24"/>
        </w:rPr>
        <w:t>采购文件获取日期：</w:t>
      </w:r>
    </w:p>
    <w:p w14:paraId="22EAEFDB">
      <w:pPr>
        <w:spacing w:line="360" w:lineRule="auto"/>
        <w:rPr>
          <w:rFonts w:ascii="Times New Roman" w:hAnsi="Times New Roman" w:cs="仿宋"/>
          <w:bCs/>
          <w:sz w:val="24"/>
          <w:szCs w:val="24"/>
        </w:rPr>
      </w:pPr>
      <w:r>
        <w:rPr>
          <w:rFonts w:hint="eastAsia" w:ascii="Times New Roman" w:hAnsi="Times New Roman" w:cs="仿宋"/>
          <w:bCs/>
          <w:sz w:val="24"/>
          <w:szCs w:val="24"/>
        </w:rPr>
        <w:t>三、质疑事项具体内容</w:t>
      </w:r>
    </w:p>
    <w:p w14:paraId="2CDC5D13">
      <w:pPr>
        <w:spacing w:line="360" w:lineRule="auto"/>
        <w:rPr>
          <w:rFonts w:ascii="Times New Roman" w:hAnsi="Times New Roman" w:cs="仿宋"/>
          <w:sz w:val="24"/>
          <w:szCs w:val="24"/>
          <w:u w:val="single"/>
        </w:rPr>
      </w:pPr>
      <w:r>
        <w:rPr>
          <w:rFonts w:hint="eastAsia" w:ascii="Times New Roman" w:hAnsi="Times New Roman" w:cs="仿宋"/>
          <w:sz w:val="24"/>
          <w:szCs w:val="24"/>
        </w:rPr>
        <w:t>质疑事项1：</w:t>
      </w:r>
    </w:p>
    <w:p w14:paraId="6D62798E">
      <w:pPr>
        <w:spacing w:line="360" w:lineRule="auto"/>
        <w:rPr>
          <w:rFonts w:ascii="Times New Roman" w:hAnsi="Times New Roman" w:cs="仿宋"/>
          <w:sz w:val="24"/>
          <w:szCs w:val="24"/>
          <w:u w:val="single"/>
        </w:rPr>
      </w:pPr>
      <w:r>
        <w:rPr>
          <w:rFonts w:hint="eastAsia" w:ascii="Times New Roman" w:hAnsi="Times New Roman" w:cs="仿宋"/>
          <w:sz w:val="24"/>
          <w:szCs w:val="24"/>
        </w:rPr>
        <w:t>事实依据：</w:t>
      </w:r>
    </w:p>
    <w:p w14:paraId="299C2A01">
      <w:pPr>
        <w:spacing w:line="360" w:lineRule="auto"/>
        <w:rPr>
          <w:rFonts w:ascii="Times New Roman" w:hAnsi="Times New Roman" w:cs="仿宋"/>
          <w:sz w:val="24"/>
          <w:szCs w:val="24"/>
        </w:rPr>
      </w:pPr>
    </w:p>
    <w:p w14:paraId="72301A6B">
      <w:pPr>
        <w:spacing w:line="360" w:lineRule="auto"/>
        <w:rPr>
          <w:rFonts w:ascii="Times New Roman" w:hAnsi="Times New Roman" w:cs="仿宋"/>
          <w:sz w:val="24"/>
          <w:szCs w:val="24"/>
          <w:u w:val="single"/>
        </w:rPr>
      </w:pPr>
      <w:r>
        <w:rPr>
          <w:rFonts w:hint="eastAsia" w:ascii="Times New Roman" w:hAnsi="Times New Roman" w:cs="仿宋"/>
          <w:sz w:val="24"/>
          <w:szCs w:val="24"/>
        </w:rPr>
        <w:t>法律依据：</w:t>
      </w:r>
    </w:p>
    <w:p w14:paraId="05B06EFE">
      <w:pPr>
        <w:spacing w:line="360" w:lineRule="auto"/>
        <w:rPr>
          <w:rFonts w:ascii="Times New Roman" w:hAnsi="Times New Roman" w:cs="仿宋"/>
          <w:sz w:val="24"/>
          <w:szCs w:val="24"/>
          <w:u w:val="single"/>
        </w:rPr>
      </w:pPr>
    </w:p>
    <w:p w14:paraId="002F95D5">
      <w:pPr>
        <w:spacing w:line="360" w:lineRule="auto"/>
        <w:rPr>
          <w:rFonts w:ascii="Times New Roman" w:hAnsi="Times New Roman" w:cs="仿宋"/>
          <w:sz w:val="24"/>
          <w:szCs w:val="24"/>
          <w:u w:val="single"/>
        </w:rPr>
      </w:pPr>
      <w:r>
        <w:rPr>
          <w:rFonts w:hint="eastAsia" w:ascii="Times New Roman" w:hAnsi="Times New Roman" w:cs="仿宋"/>
          <w:sz w:val="24"/>
          <w:szCs w:val="24"/>
        </w:rPr>
        <w:t>质疑事项2</w:t>
      </w:r>
    </w:p>
    <w:p w14:paraId="6BB5ABBE">
      <w:pPr>
        <w:spacing w:line="360" w:lineRule="auto"/>
        <w:rPr>
          <w:rFonts w:ascii="Times New Roman" w:hAnsi="Times New Roman" w:cs="仿宋"/>
          <w:sz w:val="24"/>
          <w:szCs w:val="24"/>
        </w:rPr>
      </w:pPr>
      <w:r>
        <w:rPr>
          <w:rFonts w:hint="eastAsia" w:ascii="Times New Roman" w:hAnsi="Times New Roman" w:cs="仿宋"/>
          <w:sz w:val="24"/>
          <w:szCs w:val="24"/>
        </w:rPr>
        <w:t>……</w:t>
      </w:r>
    </w:p>
    <w:p w14:paraId="6371CC12">
      <w:pPr>
        <w:spacing w:line="360" w:lineRule="auto"/>
        <w:rPr>
          <w:rFonts w:ascii="Times New Roman" w:hAnsi="Times New Roman" w:cs="仿宋"/>
          <w:bCs/>
          <w:sz w:val="24"/>
          <w:szCs w:val="24"/>
        </w:rPr>
      </w:pPr>
      <w:r>
        <w:rPr>
          <w:rFonts w:hint="eastAsia" w:ascii="Times New Roman" w:hAnsi="Times New Roman" w:cs="仿宋"/>
          <w:bCs/>
          <w:sz w:val="24"/>
          <w:szCs w:val="24"/>
        </w:rPr>
        <w:t>四、与质疑事项相关的质疑请求</w:t>
      </w:r>
    </w:p>
    <w:p w14:paraId="6D1B58C4">
      <w:pPr>
        <w:spacing w:line="360" w:lineRule="auto"/>
        <w:rPr>
          <w:rFonts w:ascii="Times New Roman" w:hAnsi="Times New Roman" w:cs="仿宋"/>
          <w:sz w:val="24"/>
          <w:szCs w:val="24"/>
          <w:u w:val="single"/>
        </w:rPr>
      </w:pPr>
      <w:r>
        <w:rPr>
          <w:rFonts w:hint="eastAsia" w:ascii="Times New Roman" w:hAnsi="Times New Roman" w:cs="仿宋"/>
          <w:sz w:val="24"/>
          <w:szCs w:val="24"/>
        </w:rPr>
        <w:t>请求：</w:t>
      </w:r>
    </w:p>
    <w:p w14:paraId="493F9CA8">
      <w:pPr>
        <w:rPr>
          <w:rFonts w:ascii="Times New Roman" w:hAnsi="Times New Roman"/>
          <w:sz w:val="24"/>
          <w:szCs w:val="24"/>
        </w:rPr>
      </w:pPr>
      <w:r>
        <w:rPr>
          <w:rFonts w:hint="eastAsia" w:ascii="Times New Roman" w:hAnsi="Times New Roman"/>
          <w:sz w:val="24"/>
          <w:szCs w:val="24"/>
        </w:rPr>
        <w:t>签字(签章)：公章：</w:t>
      </w:r>
    </w:p>
    <w:p w14:paraId="7BFAFF8A">
      <w:pPr>
        <w:rPr>
          <w:rFonts w:ascii="Times New Roman" w:hAnsi="Times New Roman"/>
          <w:sz w:val="24"/>
          <w:szCs w:val="24"/>
        </w:rPr>
      </w:pPr>
      <w:r>
        <w:rPr>
          <w:rFonts w:hint="eastAsia" w:ascii="Times New Roman" w:hAnsi="Times New Roman"/>
          <w:sz w:val="24"/>
          <w:szCs w:val="24"/>
        </w:rPr>
        <w:t>日期：</w:t>
      </w:r>
    </w:p>
    <w:p w14:paraId="125C0B80">
      <w:pPr>
        <w:spacing w:line="360" w:lineRule="auto"/>
        <w:rPr>
          <w:rFonts w:ascii="Times New Roman" w:hAnsi="Times New Roman" w:cs="仿宋"/>
          <w:sz w:val="24"/>
          <w:szCs w:val="24"/>
        </w:rPr>
      </w:pPr>
    </w:p>
    <w:p w14:paraId="7BEF0C55">
      <w:pPr>
        <w:rPr>
          <w:rFonts w:ascii="Times New Roman" w:hAnsi="Times New Roman"/>
          <w:b/>
          <w:sz w:val="24"/>
          <w:szCs w:val="24"/>
        </w:rPr>
      </w:pPr>
    </w:p>
    <w:p w14:paraId="5909581C">
      <w:pPr>
        <w:widowControl/>
        <w:jc w:val="left"/>
        <w:rPr>
          <w:rFonts w:ascii="Times New Roman" w:hAnsi="Times New Roman"/>
          <w:b/>
          <w:sz w:val="24"/>
          <w:szCs w:val="24"/>
        </w:rPr>
      </w:pPr>
      <w:r>
        <w:rPr>
          <w:rFonts w:ascii="Times New Roman" w:hAnsi="Times New Roman"/>
          <w:b/>
          <w:sz w:val="24"/>
          <w:szCs w:val="24"/>
        </w:rPr>
        <w:br w:type="page" w:clear="all"/>
      </w:r>
    </w:p>
    <w:p w14:paraId="668B26CF">
      <w:pPr>
        <w:widowControl/>
        <w:spacing w:line="360" w:lineRule="auto"/>
        <w:jc w:val="left"/>
        <w:rPr>
          <w:rFonts w:ascii="Times New Roman" w:hAnsi="Times New Roman"/>
          <w:b/>
          <w:sz w:val="24"/>
          <w:szCs w:val="24"/>
        </w:rPr>
      </w:pPr>
      <w:r>
        <w:rPr>
          <w:rFonts w:hint="eastAsia" w:ascii="Times New Roman" w:hAnsi="Times New Roman"/>
          <w:b/>
          <w:sz w:val="24"/>
          <w:szCs w:val="24"/>
        </w:rPr>
        <w:t>质疑函制作说明：</w:t>
      </w:r>
    </w:p>
    <w:p w14:paraId="03771BF7">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1、供应商提出质疑时，应提交质疑函和必要的证明材料。</w:t>
      </w:r>
    </w:p>
    <w:p w14:paraId="2392A0CB">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2、质疑供应商若委托代理人进行质疑的，质疑函应按要求列明“授权代表”的有关内容，并在附件中提交由质疑</w:t>
      </w:r>
      <w:r>
        <w:rPr>
          <w:rFonts w:hint="eastAsia" w:ascii="Times New Roman" w:hAnsi="Times New Roman" w:cs="宋体"/>
          <w:sz w:val="24"/>
          <w:szCs w:val="24"/>
        </w:rPr>
        <w:t>供应商签署的授权委托书。授权委托书应载明代理人的姓名或者名称、代理事项、具体权限、期限和相关事项。</w:t>
      </w:r>
    </w:p>
    <w:p w14:paraId="49D3D722">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3、质疑供应商若对项目的某一分包进行质疑，质疑函中应列明具体分包号。</w:t>
      </w:r>
    </w:p>
    <w:p w14:paraId="3A4E3433">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4、质疑函的质疑事项应具体、明确，并有必要的事实依据和法律依据。</w:t>
      </w:r>
    </w:p>
    <w:p w14:paraId="513F737C">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5、质疑函的质疑请求应与质疑事项相关。</w:t>
      </w:r>
    </w:p>
    <w:p w14:paraId="3EFAD8BA">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sz w:val="24"/>
          <w:szCs w:val="24"/>
        </w:rPr>
        <w:t>。</w:t>
      </w:r>
    </w:p>
    <w:p w14:paraId="66D14D7F">
      <w:pPr>
        <w:widowControl/>
        <w:spacing w:line="360" w:lineRule="auto"/>
        <w:jc w:val="left"/>
        <w:rPr>
          <w:rFonts w:ascii="Times New Roman" w:hAnsi="Times New Roman" w:cs="宋体"/>
          <w:sz w:val="24"/>
          <w:szCs w:val="24"/>
        </w:rPr>
      </w:pPr>
    </w:p>
    <w:p w14:paraId="671B8E19">
      <w:pPr>
        <w:spacing w:line="360" w:lineRule="auto"/>
        <w:jc w:val="center"/>
        <w:rPr>
          <w:rFonts w:ascii="Times New Roman" w:hAnsi="Times New Roman"/>
          <w:b/>
          <w:sz w:val="44"/>
        </w:rPr>
      </w:pPr>
      <w:r>
        <w:rPr>
          <w:rFonts w:ascii="Times New Roman" w:hAnsi="Times New Roman"/>
          <w:b/>
          <w:sz w:val="44"/>
          <w:szCs w:val="44"/>
        </w:rPr>
        <w:br w:type="page" w:clear="all"/>
      </w:r>
      <w:r>
        <w:rPr>
          <w:rFonts w:hint="eastAsia" w:ascii="Times New Roman" w:hAnsi="Times New Roman"/>
          <w:b/>
          <w:sz w:val="44"/>
          <w:szCs w:val="44"/>
        </w:rPr>
        <w:t>第八章 响应文件组成及格式</w:t>
      </w:r>
    </w:p>
    <w:p w14:paraId="2A41FE88">
      <w:pPr>
        <w:adjustRightInd w:val="0"/>
        <w:snapToGrid w:val="0"/>
        <w:spacing w:line="360" w:lineRule="auto"/>
        <w:ind w:firstLine="555"/>
        <w:jc w:val="left"/>
        <w:rPr>
          <w:rFonts w:ascii="宋体" w:hAnsi="宋体"/>
          <w:b/>
          <w:color w:val="auto"/>
          <w:kern w:val="2"/>
          <w:sz w:val="24"/>
          <w:szCs w:val="24"/>
          <w:highlight w:val="none"/>
        </w:rPr>
      </w:pPr>
      <w:r>
        <w:rPr>
          <w:rFonts w:ascii="宋体" w:hAnsi="宋体"/>
          <w:b/>
          <w:color w:val="auto"/>
          <w:kern w:val="2"/>
          <w:sz w:val="24"/>
          <w:szCs w:val="24"/>
          <w:highlight w:val="none"/>
        </w:rPr>
        <w:t>响应文件由资格审查</w:t>
      </w:r>
      <w:r>
        <w:rPr>
          <w:rFonts w:hint="eastAsia" w:ascii="宋体" w:hAnsi="宋体"/>
          <w:b/>
          <w:color w:val="auto"/>
          <w:kern w:val="2"/>
          <w:sz w:val="24"/>
          <w:szCs w:val="24"/>
          <w:highlight w:val="none"/>
        </w:rPr>
        <w:t>文件</w:t>
      </w:r>
      <w:r>
        <w:rPr>
          <w:rFonts w:ascii="宋体" w:hAnsi="宋体"/>
          <w:b/>
          <w:color w:val="auto"/>
          <w:kern w:val="2"/>
          <w:sz w:val="24"/>
          <w:szCs w:val="24"/>
          <w:highlight w:val="none"/>
        </w:rPr>
        <w:t>、商务技术</w:t>
      </w:r>
      <w:r>
        <w:rPr>
          <w:rFonts w:hint="eastAsia" w:ascii="宋体" w:hAnsi="宋体"/>
          <w:b/>
          <w:color w:val="auto"/>
          <w:kern w:val="2"/>
          <w:sz w:val="24"/>
          <w:szCs w:val="24"/>
          <w:highlight w:val="none"/>
        </w:rPr>
        <w:t>响应</w:t>
      </w:r>
      <w:r>
        <w:rPr>
          <w:rFonts w:ascii="宋体" w:hAnsi="宋体"/>
          <w:b/>
          <w:color w:val="auto"/>
          <w:kern w:val="2"/>
          <w:sz w:val="24"/>
          <w:szCs w:val="24"/>
          <w:highlight w:val="none"/>
        </w:rPr>
        <w:t>文件、</w:t>
      </w:r>
      <w:r>
        <w:rPr>
          <w:rFonts w:hint="eastAsia" w:ascii="宋体" w:hAnsi="宋体"/>
          <w:b/>
          <w:color w:val="auto"/>
          <w:kern w:val="2"/>
          <w:sz w:val="24"/>
          <w:szCs w:val="24"/>
          <w:highlight w:val="none"/>
        </w:rPr>
        <w:t>报价响应</w:t>
      </w:r>
      <w:r>
        <w:rPr>
          <w:rFonts w:ascii="宋体" w:hAnsi="宋体"/>
          <w:b/>
          <w:color w:val="auto"/>
          <w:kern w:val="2"/>
          <w:sz w:val="24"/>
          <w:szCs w:val="24"/>
          <w:highlight w:val="none"/>
        </w:rPr>
        <w:t>文件三部分组成。</w:t>
      </w:r>
      <w:r>
        <w:rPr>
          <w:rFonts w:ascii="宋体" w:hAnsi="宋体"/>
          <w:b/>
          <w:bCs/>
          <w:color w:val="auto"/>
          <w:sz w:val="24"/>
          <w:szCs w:val="24"/>
          <w:highlight w:val="none"/>
          <w:lang w:val="zh-CN"/>
        </w:rPr>
        <w:t>请供应商根据本磋商文件的要求分别</w:t>
      </w:r>
      <w:r>
        <w:rPr>
          <w:rFonts w:hint="eastAsia" w:ascii="宋体" w:hAnsi="宋体"/>
          <w:b/>
          <w:bCs/>
          <w:color w:val="auto"/>
          <w:sz w:val="24"/>
          <w:szCs w:val="24"/>
          <w:highlight w:val="none"/>
          <w:lang w:val="zh-CN"/>
        </w:rPr>
        <w:t>制作、密封</w:t>
      </w:r>
      <w:r>
        <w:rPr>
          <w:rFonts w:ascii="宋体" w:hAnsi="宋体"/>
          <w:b/>
          <w:bCs/>
          <w:color w:val="auto"/>
          <w:sz w:val="24"/>
          <w:szCs w:val="24"/>
          <w:highlight w:val="none"/>
          <w:lang w:val="zh-CN"/>
        </w:rPr>
        <w:t>响应的材料。</w:t>
      </w:r>
    </w:p>
    <w:p w14:paraId="5B78B3F6">
      <w:pPr>
        <w:adjustRightInd w:val="0"/>
        <w:snapToGrid w:val="0"/>
        <w:spacing w:line="360" w:lineRule="auto"/>
        <w:ind w:firstLine="482" w:firstLineChars="200"/>
        <w:rPr>
          <w:rFonts w:ascii="宋体" w:hAnsi="宋体"/>
          <w:b/>
          <w:bCs/>
          <w:color w:val="auto"/>
          <w:sz w:val="24"/>
          <w:szCs w:val="24"/>
          <w:highlight w:val="none"/>
          <w:lang w:val="zh-CN"/>
        </w:rPr>
      </w:pPr>
      <w:r>
        <w:rPr>
          <w:rFonts w:ascii="宋体" w:hAnsi="宋体"/>
          <w:b/>
          <w:bCs/>
          <w:color w:val="auto"/>
          <w:sz w:val="24"/>
          <w:szCs w:val="24"/>
          <w:highlight w:val="none"/>
          <w:lang w:val="zh-CN"/>
        </w:rPr>
        <w:t>一、资格审查</w:t>
      </w:r>
      <w:r>
        <w:rPr>
          <w:rFonts w:hint="eastAsia" w:ascii="宋体" w:hAnsi="宋体"/>
          <w:b/>
          <w:bCs/>
          <w:color w:val="auto"/>
          <w:sz w:val="24"/>
          <w:szCs w:val="24"/>
          <w:highlight w:val="none"/>
          <w:lang w:val="zh-CN"/>
        </w:rPr>
        <w:t>文件</w:t>
      </w:r>
      <w:r>
        <w:rPr>
          <w:rFonts w:ascii="宋体" w:hAnsi="宋体"/>
          <w:b/>
          <w:bCs/>
          <w:color w:val="auto"/>
          <w:sz w:val="24"/>
          <w:szCs w:val="24"/>
          <w:highlight w:val="none"/>
          <w:lang w:val="zh-CN"/>
        </w:rPr>
        <w:t>（</w:t>
      </w:r>
      <w:r>
        <w:rPr>
          <w:rFonts w:hint="eastAsia" w:ascii="宋体" w:hAnsi="宋体"/>
          <w:b/>
          <w:bCs/>
          <w:color w:val="auto"/>
          <w:sz w:val="24"/>
          <w:szCs w:val="24"/>
          <w:highlight w:val="none"/>
          <w:lang w:val="zh-CN"/>
        </w:rPr>
        <w:t>单独密封，</w:t>
      </w:r>
      <w:r>
        <w:rPr>
          <w:rFonts w:ascii="宋体" w:hAnsi="宋体"/>
          <w:b/>
          <w:bCs/>
          <w:color w:val="auto"/>
          <w:sz w:val="24"/>
          <w:szCs w:val="24"/>
          <w:highlight w:val="none"/>
          <w:lang w:val="zh-CN"/>
        </w:rPr>
        <w:t>不能出现</w:t>
      </w:r>
      <w:r>
        <w:rPr>
          <w:rFonts w:hint="eastAsia" w:ascii="宋体" w:hAnsi="宋体"/>
          <w:b/>
          <w:bCs/>
          <w:color w:val="auto"/>
          <w:sz w:val="24"/>
          <w:szCs w:val="24"/>
          <w:highlight w:val="none"/>
          <w:lang w:val="zh-CN"/>
        </w:rPr>
        <w:t>报价响应</w:t>
      </w:r>
      <w:r>
        <w:rPr>
          <w:rFonts w:ascii="宋体" w:hAnsi="宋体"/>
          <w:b/>
          <w:bCs/>
          <w:color w:val="auto"/>
          <w:sz w:val="24"/>
          <w:szCs w:val="24"/>
          <w:highlight w:val="none"/>
          <w:lang w:val="zh-CN"/>
        </w:rPr>
        <w:t>文件</w:t>
      </w:r>
      <w:r>
        <w:rPr>
          <w:rFonts w:hint="eastAsia" w:ascii="宋体" w:hAnsi="宋体"/>
          <w:b/>
          <w:bCs/>
          <w:color w:val="auto"/>
          <w:sz w:val="24"/>
          <w:szCs w:val="24"/>
          <w:highlight w:val="none"/>
          <w:lang w:val="zh-CN"/>
        </w:rPr>
        <w:t>的内容</w:t>
      </w:r>
      <w:r>
        <w:rPr>
          <w:rFonts w:ascii="宋体" w:hAnsi="宋体"/>
          <w:b/>
          <w:bCs/>
          <w:color w:val="auto"/>
          <w:sz w:val="24"/>
          <w:szCs w:val="24"/>
          <w:highlight w:val="none"/>
          <w:lang w:val="zh-CN"/>
        </w:rPr>
        <w:t>）</w:t>
      </w:r>
    </w:p>
    <w:p w14:paraId="373243AB">
      <w:pPr>
        <w:adjustRightInd w:val="0"/>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lang w:val="zh-CN"/>
        </w:rPr>
        <w:t>1.</w:t>
      </w:r>
      <w:r>
        <w:rPr>
          <w:rFonts w:hint="eastAsia" w:ascii="宋体" w:hAnsi="宋体" w:eastAsia="宋体" w:cs="宋体"/>
          <w:bCs/>
          <w:color w:val="auto"/>
          <w:kern w:val="0"/>
          <w:sz w:val="24"/>
          <w:highlight w:val="none"/>
          <w:lang w:val="zh-CN"/>
        </w:rPr>
        <w:t>投标人符合《政府采购法》第二十二条规定条件的</w:t>
      </w:r>
      <w:r>
        <w:rPr>
          <w:rFonts w:hint="eastAsia" w:ascii="宋体" w:hAnsi="宋体" w:cs="宋体"/>
          <w:bCs/>
          <w:color w:val="auto"/>
          <w:kern w:val="0"/>
          <w:sz w:val="24"/>
          <w:highlight w:val="none"/>
          <w:lang w:val="en-US" w:eastAsia="zh-CN"/>
        </w:rPr>
        <w:t>声明</w:t>
      </w:r>
      <w:r>
        <w:rPr>
          <w:rFonts w:hint="eastAsia" w:ascii="宋体" w:hAnsi="宋体" w:eastAsia="宋体" w:cs="宋体"/>
          <w:bCs/>
          <w:color w:val="auto"/>
          <w:kern w:val="0"/>
          <w:sz w:val="24"/>
          <w:highlight w:val="none"/>
          <w:lang w:val="zh-CN"/>
        </w:rPr>
        <w:t>函</w:t>
      </w:r>
      <w:r>
        <w:rPr>
          <w:rFonts w:hint="eastAsia" w:ascii="宋体" w:hAnsi="宋体" w:cs="宋体"/>
          <w:bCs/>
          <w:color w:val="auto"/>
          <w:kern w:val="0"/>
          <w:sz w:val="24"/>
          <w:highlight w:val="none"/>
          <w:lang w:val="zh-CN"/>
        </w:rPr>
        <w:t>；</w:t>
      </w:r>
      <w:r>
        <w:rPr>
          <w:rFonts w:hint="eastAsia" w:ascii="宋体" w:hAnsi="宋体" w:eastAsia="宋体" w:cs="宋体"/>
          <w:bCs/>
          <w:color w:val="auto"/>
          <w:kern w:val="0"/>
          <w:sz w:val="24"/>
          <w:highlight w:val="none"/>
          <w:lang w:val="zh-CN"/>
        </w:rPr>
        <w:t>（格式见附件）</w:t>
      </w:r>
    </w:p>
    <w:p w14:paraId="76A5612F">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eastAsia="宋体" w:cs="宋体"/>
          <w:color w:val="auto"/>
          <w:kern w:val="2"/>
          <w:sz w:val="24"/>
          <w:szCs w:val="24"/>
          <w:highlight w:val="none"/>
          <w:lang w:val="en-US" w:eastAsia="zh-CN"/>
        </w:rPr>
        <w:t>供应商</w:t>
      </w:r>
      <w:r>
        <w:rPr>
          <w:rFonts w:hint="eastAsia" w:ascii="宋体" w:hAnsi="宋体" w:cs="宋体"/>
          <w:color w:val="auto"/>
          <w:kern w:val="2"/>
          <w:sz w:val="24"/>
          <w:szCs w:val="24"/>
          <w:highlight w:val="none"/>
        </w:rPr>
        <w:t>须</w:t>
      </w:r>
      <w:r>
        <w:rPr>
          <w:rFonts w:hint="eastAsia" w:ascii="宋体" w:hAnsi="宋体" w:eastAsia="宋体" w:cs="宋体"/>
          <w:color w:val="auto"/>
          <w:kern w:val="2"/>
          <w:sz w:val="24"/>
          <w:szCs w:val="24"/>
          <w:highlight w:val="none"/>
          <w:lang w:val="en-US" w:eastAsia="zh-CN"/>
        </w:rPr>
        <w:t>提供保险许可证和营业执照</w:t>
      </w:r>
      <w:r>
        <w:rPr>
          <w:rFonts w:hint="eastAsia" w:ascii="宋体" w:hAnsi="宋体" w:cs="宋体"/>
          <w:color w:val="auto"/>
          <w:kern w:val="2"/>
          <w:sz w:val="24"/>
          <w:szCs w:val="24"/>
          <w:highlight w:val="none"/>
          <w:lang w:val="en-US" w:eastAsia="zh-CN"/>
        </w:rPr>
        <w:t>；</w:t>
      </w:r>
    </w:p>
    <w:p w14:paraId="453B5D25">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s="宋体"/>
          <w:sz w:val="24"/>
          <w:szCs w:val="24"/>
          <w:highlight w:val="none"/>
          <w:lang w:val="en-US" w:eastAsia="zh-CN"/>
        </w:rPr>
        <w:t>供应商法定代表人或企业负责人参加采购活动的，必须提供法定代表人或企业负责人的身份证明及法定代表人本人或企业负责人的身份证复印件；非法定代表人或企业负责人参加采购活动的，必须提供法定代表人或企业负责人的身份证明、法定代表人或企业负责人签字或盖章的授权委托书、法定代表人或企业负责人本人身份证复印件及被授权人本人身份证复印件（格式参见附件）。法定代表人为同一个人的两个及两个以上法人，母公司、全资子公司及其控股公司，都不得在同一采购项目相同标段中同时参加磋商，一经发现，将视同围标处理。</w:t>
      </w:r>
      <w:r>
        <w:rPr>
          <w:rFonts w:ascii="宋体" w:hAnsi="宋体"/>
          <w:color w:val="auto"/>
          <w:sz w:val="24"/>
          <w:szCs w:val="24"/>
          <w:highlight w:val="none"/>
        </w:rPr>
        <w:t>（</w:t>
      </w:r>
      <w:r>
        <w:rPr>
          <w:rFonts w:hint="eastAsia" w:ascii="宋体" w:hAnsi="宋体"/>
          <w:color w:val="auto"/>
          <w:sz w:val="24"/>
          <w:szCs w:val="24"/>
          <w:highlight w:val="none"/>
        </w:rPr>
        <w:t>如有授权，</w:t>
      </w:r>
      <w:r>
        <w:rPr>
          <w:rFonts w:ascii="宋体" w:hAnsi="宋体"/>
          <w:color w:val="auto"/>
          <w:sz w:val="24"/>
          <w:szCs w:val="24"/>
          <w:highlight w:val="none"/>
        </w:rPr>
        <w:t>格式见附件）；</w:t>
      </w:r>
    </w:p>
    <w:p w14:paraId="0EF63DD2">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4.供应商须提供《</w:t>
      </w:r>
      <w:r>
        <w:rPr>
          <w:rFonts w:hint="eastAsia" w:ascii="宋体" w:hAnsi="宋体" w:eastAsia="宋体" w:cs="宋体"/>
          <w:bCs/>
          <w:color w:val="auto"/>
          <w:kern w:val="0"/>
          <w:sz w:val="24"/>
          <w:highlight w:val="none"/>
          <w:lang w:val="zh-CN"/>
        </w:rPr>
        <w:t>诚信承诺书</w:t>
      </w:r>
      <w:r>
        <w:rPr>
          <w:rFonts w:hint="eastAsia" w:ascii="宋体" w:hAnsi="宋体"/>
          <w:color w:val="auto"/>
          <w:sz w:val="24"/>
          <w:szCs w:val="24"/>
          <w:highlight w:val="none"/>
        </w:rPr>
        <w:t>》（格式</w:t>
      </w:r>
      <w:r>
        <w:rPr>
          <w:rFonts w:ascii="宋体" w:hAnsi="宋体"/>
          <w:color w:val="auto"/>
          <w:sz w:val="24"/>
          <w:szCs w:val="24"/>
          <w:highlight w:val="none"/>
        </w:rPr>
        <w:t>见附件</w:t>
      </w:r>
      <w:r>
        <w:rPr>
          <w:rFonts w:hint="eastAsia" w:ascii="宋体" w:hAnsi="宋体"/>
          <w:color w:val="auto"/>
          <w:sz w:val="24"/>
          <w:szCs w:val="24"/>
          <w:highlight w:val="none"/>
        </w:rPr>
        <w:t>）；</w:t>
      </w:r>
    </w:p>
    <w:p w14:paraId="19989C50">
      <w:pPr>
        <w:adjustRightInd w:val="0"/>
        <w:snapToGrid w:val="0"/>
        <w:spacing w:line="360" w:lineRule="auto"/>
        <w:ind w:firstLine="480" w:firstLineChars="200"/>
        <w:rPr>
          <w:rFonts w:ascii="宋体" w:hAnsi="宋体"/>
          <w:color w:val="auto"/>
          <w:kern w:val="2"/>
          <w:sz w:val="24"/>
          <w:szCs w:val="24"/>
          <w:highlight w:val="none"/>
        </w:rPr>
      </w:pPr>
      <w:r>
        <w:rPr>
          <w:rFonts w:hint="eastAsia" w:ascii="宋体" w:hAnsi="宋体"/>
          <w:color w:val="auto"/>
          <w:sz w:val="24"/>
          <w:szCs w:val="24"/>
          <w:highlight w:val="none"/>
        </w:rPr>
        <w:t>5.</w:t>
      </w:r>
      <w:r>
        <w:rPr>
          <w:rFonts w:hint="eastAsia" w:ascii="宋体" w:hAnsi="宋体"/>
          <w:color w:val="auto"/>
          <w:kern w:val="2"/>
          <w:sz w:val="24"/>
          <w:szCs w:val="24"/>
          <w:highlight w:val="none"/>
        </w:rPr>
        <w:t>其他需要提交的资格审查证明材料。</w:t>
      </w:r>
    </w:p>
    <w:p w14:paraId="572765ED">
      <w:pPr>
        <w:snapToGrid w:val="0"/>
        <w:spacing w:line="360" w:lineRule="auto"/>
        <w:ind w:firstLine="482" w:firstLineChars="200"/>
        <w:textAlignment w:val="baseline"/>
        <w:rPr>
          <w:rFonts w:ascii="宋体" w:hAnsi="宋体" w:cs="宋体"/>
          <w:kern w:val="2"/>
          <w:sz w:val="24"/>
          <w:szCs w:val="24"/>
        </w:rPr>
      </w:pPr>
      <w:r>
        <w:rPr>
          <w:rFonts w:hint="eastAsia" w:ascii="宋体" w:hAnsi="宋体" w:cs="宋体"/>
          <w:b/>
          <w:bCs/>
          <w:kern w:val="2"/>
          <w:sz w:val="24"/>
          <w:szCs w:val="24"/>
        </w:rPr>
        <w:t>注：以上材料均需加盖单位公章。</w:t>
      </w:r>
    </w:p>
    <w:p w14:paraId="15292F28">
      <w:pPr>
        <w:adjustRightInd w:val="0"/>
        <w:snapToGrid w:val="0"/>
        <w:spacing w:line="360" w:lineRule="auto"/>
        <w:ind w:firstLine="482" w:firstLineChars="200"/>
        <w:rPr>
          <w:rFonts w:ascii="宋体" w:hAnsi="宋体"/>
          <w:b/>
          <w:bCs/>
          <w:sz w:val="24"/>
          <w:szCs w:val="24"/>
          <w:lang w:val="zh-CN"/>
        </w:rPr>
      </w:pPr>
      <w:r>
        <w:rPr>
          <w:rFonts w:ascii="宋体" w:hAnsi="宋体"/>
          <w:b/>
          <w:bCs/>
          <w:sz w:val="24"/>
          <w:szCs w:val="24"/>
          <w:lang w:val="zh-CN"/>
        </w:rPr>
        <w:t>二、商务技术</w:t>
      </w:r>
      <w:r>
        <w:rPr>
          <w:rFonts w:hint="eastAsia" w:ascii="宋体" w:hAnsi="宋体"/>
          <w:b/>
          <w:bCs/>
          <w:sz w:val="24"/>
          <w:szCs w:val="24"/>
          <w:lang w:val="zh-CN"/>
        </w:rPr>
        <w:t>响应</w:t>
      </w:r>
      <w:r>
        <w:rPr>
          <w:rFonts w:ascii="宋体" w:hAnsi="宋体"/>
          <w:b/>
          <w:bCs/>
          <w:sz w:val="24"/>
          <w:szCs w:val="24"/>
          <w:lang w:val="zh-CN"/>
        </w:rPr>
        <w:t>文件（</w:t>
      </w:r>
      <w:r>
        <w:rPr>
          <w:rFonts w:hint="eastAsia" w:ascii="宋体" w:hAnsi="宋体"/>
          <w:b/>
          <w:bCs/>
          <w:sz w:val="24"/>
          <w:szCs w:val="24"/>
          <w:lang w:val="zh-CN"/>
        </w:rPr>
        <w:t>单独密封，</w:t>
      </w:r>
      <w:r>
        <w:rPr>
          <w:rFonts w:ascii="宋体" w:hAnsi="宋体"/>
          <w:b/>
          <w:bCs/>
          <w:sz w:val="24"/>
          <w:szCs w:val="24"/>
          <w:lang w:val="zh-CN"/>
        </w:rPr>
        <w:t>不能出现</w:t>
      </w:r>
      <w:r>
        <w:rPr>
          <w:rFonts w:hint="eastAsia" w:ascii="宋体" w:hAnsi="宋体"/>
          <w:b/>
          <w:bCs/>
          <w:sz w:val="24"/>
          <w:szCs w:val="24"/>
          <w:lang w:val="zh-CN"/>
        </w:rPr>
        <w:t>报价响应</w:t>
      </w:r>
      <w:r>
        <w:rPr>
          <w:rFonts w:ascii="宋体" w:hAnsi="宋体"/>
          <w:b/>
          <w:bCs/>
          <w:sz w:val="24"/>
          <w:szCs w:val="24"/>
          <w:lang w:val="zh-CN"/>
        </w:rPr>
        <w:t>文件</w:t>
      </w:r>
      <w:r>
        <w:rPr>
          <w:rFonts w:hint="eastAsia" w:ascii="宋体" w:hAnsi="宋体"/>
          <w:b/>
          <w:bCs/>
          <w:sz w:val="24"/>
          <w:szCs w:val="24"/>
          <w:lang w:val="zh-CN"/>
        </w:rPr>
        <w:t>的内容</w:t>
      </w:r>
      <w:r>
        <w:rPr>
          <w:rFonts w:ascii="宋体" w:hAnsi="宋体"/>
          <w:b/>
          <w:bCs/>
          <w:sz w:val="24"/>
          <w:szCs w:val="24"/>
          <w:lang w:val="zh-CN"/>
        </w:rPr>
        <w:t>）</w:t>
      </w:r>
    </w:p>
    <w:p w14:paraId="749AFA9B">
      <w:pPr>
        <w:adjustRightInd w:val="0"/>
        <w:snapToGrid w:val="0"/>
        <w:spacing w:line="360" w:lineRule="auto"/>
        <w:ind w:firstLine="480" w:firstLineChars="200"/>
        <w:rPr>
          <w:rFonts w:ascii="宋体" w:hAnsi="宋体"/>
          <w:bCs/>
          <w:sz w:val="24"/>
          <w:szCs w:val="24"/>
          <w:lang w:val="zh-CN"/>
        </w:rPr>
      </w:pPr>
      <w:r>
        <w:rPr>
          <w:rFonts w:ascii="宋体" w:hAnsi="宋体"/>
          <w:bCs/>
          <w:sz w:val="24"/>
          <w:szCs w:val="24"/>
          <w:lang w:val="zh-CN"/>
        </w:rPr>
        <w:t>1.商务部分正负偏离表（格式见附件）；</w:t>
      </w:r>
    </w:p>
    <w:p w14:paraId="42CEE962">
      <w:pPr>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lang w:val="zh-CN"/>
        </w:rPr>
        <w:t>2</w:t>
      </w:r>
      <w:r>
        <w:rPr>
          <w:rFonts w:ascii="宋体" w:hAnsi="宋体"/>
          <w:bCs/>
          <w:sz w:val="24"/>
          <w:szCs w:val="24"/>
          <w:lang w:val="zh-CN"/>
        </w:rPr>
        <w:t>.技术部分正负偏离表（格式见附件）；</w:t>
      </w:r>
    </w:p>
    <w:p w14:paraId="1574B470">
      <w:pPr>
        <w:adjustRightInd w:val="0"/>
        <w:snapToGrid w:val="0"/>
        <w:spacing w:line="360" w:lineRule="auto"/>
        <w:ind w:firstLine="480" w:firstLineChars="200"/>
        <w:rPr>
          <w:rFonts w:ascii="宋体" w:hAnsi="宋体"/>
          <w:bCs/>
          <w:sz w:val="24"/>
          <w:szCs w:val="24"/>
          <w:lang w:val="zh-CN"/>
        </w:rPr>
      </w:pPr>
      <w:r>
        <w:rPr>
          <w:rFonts w:hint="eastAsia" w:ascii="宋体" w:hAnsi="宋体"/>
          <w:sz w:val="24"/>
          <w:szCs w:val="24"/>
        </w:rPr>
        <w:t>3</w:t>
      </w:r>
      <w:r>
        <w:rPr>
          <w:rFonts w:hint="eastAsia" w:ascii="宋体" w:hAnsi="宋体"/>
          <w:sz w:val="24"/>
          <w:szCs w:val="24"/>
          <w:lang w:val="zh-CN"/>
        </w:rPr>
        <w:t>.</w:t>
      </w:r>
      <w:r>
        <w:rPr>
          <w:rFonts w:ascii="宋体" w:hAnsi="宋体"/>
          <w:bCs/>
          <w:sz w:val="24"/>
          <w:szCs w:val="24"/>
          <w:lang w:val="zh-CN"/>
        </w:rPr>
        <w:t>商务技术评分标准中须提供的相关得分佐证材料；</w:t>
      </w:r>
    </w:p>
    <w:p w14:paraId="12B91667">
      <w:pPr>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lang w:val="en-US" w:eastAsia="zh-CN"/>
        </w:rPr>
        <w:t>4</w:t>
      </w:r>
      <w:r>
        <w:rPr>
          <w:rFonts w:ascii="宋体" w:hAnsi="宋体"/>
          <w:bCs/>
          <w:sz w:val="24"/>
          <w:szCs w:val="24"/>
          <w:lang w:val="zh-CN"/>
        </w:rPr>
        <w:t>.供应商认为需要提交的其他商务技术材料。</w:t>
      </w:r>
    </w:p>
    <w:p w14:paraId="17A62456">
      <w:pPr>
        <w:adjustRightInd w:val="0"/>
        <w:snapToGrid w:val="0"/>
        <w:spacing w:line="360" w:lineRule="auto"/>
        <w:ind w:firstLine="482" w:firstLineChars="200"/>
        <w:rPr>
          <w:rFonts w:ascii="宋体" w:hAnsi="宋体"/>
          <w:b/>
          <w:bCs/>
          <w:sz w:val="24"/>
          <w:szCs w:val="24"/>
          <w:lang w:val="zh-CN"/>
        </w:rPr>
      </w:pPr>
      <w:r>
        <w:rPr>
          <w:rFonts w:ascii="宋体" w:hAnsi="宋体"/>
          <w:b/>
          <w:bCs/>
          <w:sz w:val="24"/>
          <w:szCs w:val="24"/>
          <w:lang w:val="zh-CN"/>
        </w:rPr>
        <w:t>三、</w:t>
      </w:r>
      <w:r>
        <w:rPr>
          <w:rFonts w:hint="eastAsia" w:ascii="宋体" w:hAnsi="宋体"/>
          <w:b/>
          <w:bCs/>
          <w:sz w:val="24"/>
          <w:szCs w:val="24"/>
          <w:lang w:val="zh-CN"/>
        </w:rPr>
        <w:t>报价响应</w:t>
      </w:r>
      <w:r>
        <w:rPr>
          <w:rFonts w:ascii="宋体" w:hAnsi="宋体"/>
          <w:b/>
          <w:bCs/>
          <w:sz w:val="24"/>
          <w:szCs w:val="24"/>
          <w:lang w:val="zh-CN"/>
        </w:rPr>
        <w:t>文件</w:t>
      </w:r>
    </w:p>
    <w:p w14:paraId="606DA91C">
      <w:pPr>
        <w:spacing w:line="360" w:lineRule="auto"/>
        <w:ind w:firstLine="480"/>
        <w:rPr>
          <w:rFonts w:hint="eastAsia" w:ascii="宋体" w:hAnsi="宋体"/>
          <w:sz w:val="24"/>
          <w:szCs w:val="24"/>
        </w:rPr>
      </w:pPr>
      <w:r>
        <w:rPr>
          <w:rFonts w:ascii="宋体" w:hAnsi="宋体"/>
          <w:sz w:val="24"/>
          <w:szCs w:val="24"/>
          <w:lang w:val="zh-CN"/>
        </w:rPr>
        <w:t>1.</w:t>
      </w:r>
      <w:r>
        <w:rPr>
          <w:rFonts w:ascii="宋体" w:hAnsi="宋体"/>
          <w:sz w:val="24"/>
          <w:szCs w:val="24"/>
        </w:rPr>
        <w:t>报价表</w:t>
      </w:r>
      <w:r>
        <w:rPr>
          <w:rFonts w:ascii="宋体" w:hAnsi="宋体"/>
          <w:sz w:val="24"/>
          <w:szCs w:val="24"/>
          <w:lang w:val="zh-CN"/>
        </w:rPr>
        <w:t>（格式见附件）</w:t>
      </w:r>
      <w:r>
        <w:rPr>
          <w:rFonts w:hint="eastAsia" w:ascii="宋体" w:hAnsi="宋体"/>
          <w:sz w:val="24"/>
          <w:szCs w:val="24"/>
        </w:rPr>
        <w:t>。</w:t>
      </w:r>
    </w:p>
    <w:p w14:paraId="3229144D">
      <w:pPr>
        <w:pStyle w:val="2"/>
        <w:rPr>
          <w:lang w:val="zh-CN"/>
        </w:rPr>
      </w:pPr>
    </w:p>
    <w:p w14:paraId="2866F84C">
      <w:pPr>
        <w:snapToGrid w:val="0"/>
        <w:spacing w:line="400" w:lineRule="exact"/>
        <w:contextualSpacing/>
        <w:rPr>
          <w:rFonts w:ascii="宋体" w:hAnsi="宋体"/>
          <w:sz w:val="32"/>
          <w:szCs w:val="32"/>
          <w:lang w:val="zh-CN"/>
        </w:rPr>
      </w:pPr>
      <w:r>
        <w:rPr>
          <w:rFonts w:ascii="宋体" w:hAnsi="宋体"/>
          <w:sz w:val="32"/>
          <w:szCs w:val="32"/>
          <w:lang w:val="zh-CN"/>
        </w:rPr>
        <w:br w:type="page"/>
      </w:r>
      <w:r>
        <w:rPr>
          <w:rFonts w:ascii="宋体" w:hAnsi="宋体"/>
          <w:sz w:val="32"/>
          <w:szCs w:val="32"/>
          <w:lang w:val="zh-CN"/>
        </w:rPr>
        <w:t>附件</w:t>
      </w:r>
    </w:p>
    <w:p w14:paraId="2D576EDF">
      <w:pPr>
        <w:adjustRightInd w:val="0"/>
        <w:snapToGrid w:val="0"/>
        <w:spacing w:line="420" w:lineRule="exact"/>
        <w:jc w:val="center"/>
        <w:outlineLvl w:val="1"/>
        <w:rPr>
          <w:rFonts w:ascii="Times New Roman" w:hAnsi="Times New Roman"/>
          <w:b/>
          <w:bCs/>
          <w:kern w:val="2"/>
          <w:sz w:val="28"/>
          <w:szCs w:val="28"/>
        </w:rPr>
      </w:pPr>
      <w:r>
        <w:rPr>
          <w:rFonts w:hint="eastAsia" w:ascii="Times New Roman" w:hAnsi="Times New Roman" w:cs="宋体"/>
          <w:b/>
          <w:bCs/>
          <w:kern w:val="2"/>
          <w:sz w:val="28"/>
          <w:szCs w:val="28"/>
        </w:rPr>
        <w:t>（封面）</w:t>
      </w:r>
    </w:p>
    <w:p w14:paraId="2B7CEC61">
      <w:pPr>
        <w:spacing w:beforeLines="100" w:line="360" w:lineRule="exact"/>
        <w:jc w:val="center"/>
        <w:rPr>
          <w:rFonts w:ascii="Times New Roman" w:hAnsi="Times New Roman"/>
          <w:w w:val="80"/>
          <w:kern w:val="44"/>
          <w:sz w:val="36"/>
          <w:szCs w:val="36"/>
        </w:rPr>
      </w:pPr>
    </w:p>
    <w:p w14:paraId="29B4DFEB">
      <w:pPr>
        <w:spacing w:beforeLines="100" w:line="360" w:lineRule="exact"/>
        <w:jc w:val="center"/>
        <w:rPr>
          <w:rFonts w:ascii="Times New Roman" w:hAnsi="Times New Roman"/>
          <w:w w:val="80"/>
          <w:kern w:val="44"/>
          <w:sz w:val="36"/>
          <w:szCs w:val="36"/>
        </w:rPr>
      </w:pPr>
    </w:p>
    <w:p w14:paraId="0A33EC70">
      <w:pPr>
        <w:spacing w:line="360" w:lineRule="auto"/>
        <w:jc w:val="center"/>
        <w:rPr>
          <w:rFonts w:ascii="Times New Roman" w:hAnsi="Times New Roman" w:cs="宋体"/>
          <w:b/>
          <w:bCs/>
          <w:kern w:val="2"/>
          <w:sz w:val="32"/>
          <w:szCs w:val="32"/>
        </w:rPr>
      </w:pPr>
      <w:r>
        <w:rPr>
          <w:rFonts w:hint="eastAsia" w:ascii="Times New Roman" w:hAnsi="Times New Roman" w:cs="宋体"/>
          <w:b/>
          <w:bCs/>
          <w:kern w:val="2"/>
          <w:sz w:val="32"/>
          <w:szCs w:val="32"/>
          <w:lang w:eastAsia="zh-CN"/>
        </w:rPr>
        <w:t>南通公安大病特困救助基金会2025民警家庭医疗保险项目（三次）</w:t>
      </w:r>
    </w:p>
    <w:p w14:paraId="4043D3DF">
      <w:pPr>
        <w:spacing w:line="360" w:lineRule="auto"/>
        <w:jc w:val="center"/>
        <w:rPr>
          <w:rFonts w:ascii="Times New Roman" w:hAnsi="Times New Roman" w:cs="宋体"/>
          <w:b/>
          <w:bCs/>
          <w:kern w:val="2"/>
          <w:sz w:val="32"/>
          <w:szCs w:val="32"/>
        </w:rPr>
      </w:pPr>
    </w:p>
    <w:p w14:paraId="2FDC7563">
      <w:pPr>
        <w:spacing w:line="360" w:lineRule="auto"/>
        <w:jc w:val="center"/>
        <w:rPr>
          <w:rFonts w:ascii="Times New Roman" w:hAnsi="Times New Roman" w:cs="宋体"/>
          <w:b/>
          <w:bCs/>
          <w:kern w:val="2"/>
          <w:sz w:val="32"/>
          <w:szCs w:val="32"/>
        </w:rPr>
      </w:pPr>
    </w:p>
    <w:p w14:paraId="5AB5C0FC">
      <w:pPr>
        <w:spacing w:line="360" w:lineRule="auto"/>
        <w:jc w:val="center"/>
        <w:rPr>
          <w:rFonts w:ascii="Times New Roman" w:hAnsi="Times New Roman" w:cs="宋体"/>
          <w:b/>
          <w:bCs/>
          <w:kern w:val="2"/>
          <w:sz w:val="32"/>
          <w:szCs w:val="32"/>
        </w:rPr>
      </w:pPr>
    </w:p>
    <w:p w14:paraId="4B6F78DB">
      <w:pPr>
        <w:spacing w:line="360" w:lineRule="auto"/>
        <w:jc w:val="center"/>
        <w:rPr>
          <w:rFonts w:ascii="Times New Roman" w:hAnsi="Times New Roman" w:cs="宋体"/>
          <w:b/>
          <w:bCs/>
          <w:kern w:val="2"/>
          <w:sz w:val="32"/>
          <w:szCs w:val="32"/>
        </w:rPr>
      </w:pPr>
    </w:p>
    <w:p w14:paraId="10FB2F8E">
      <w:pPr>
        <w:spacing w:line="360" w:lineRule="auto"/>
        <w:jc w:val="center"/>
        <w:rPr>
          <w:rFonts w:ascii="Times New Roman" w:hAnsi="Times New Roman" w:cs="宋体"/>
          <w:b/>
          <w:bCs/>
          <w:kern w:val="2"/>
          <w:sz w:val="32"/>
          <w:szCs w:val="32"/>
        </w:rPr>
      </w:pPr>
      <w:r>
        <w:rPr>
          <w:rFonts w:hint="eastAsia" w:ascii="Times New Roman" w:hAnsi="Times New Roman" w:cs="宋体"/>
          <w:b/>
          <w:bCs/>
          <w:kern w:val="2"/>
          <w:sz w:val="32"/>
          <w:szCs w:val="32"/>
        </w:rPr>
        <w:t>项目编号：</w:t>
      </w:r>
    </w:p>
    <w:p w14:paraId="5C846B26">
      <w:pPr>
        <w:spacing w:line="360" w:lineRule="auto"/>
        <w:jc w:val="center"/>
        <w:rPr>
          <w:rFonts w:ascii="Times New Roman" w:hAnsi="Times New Roman" w:cs="宋体"/>
          <w:b/>
          <w:bCs/>
          <w:kern w:val="2"/>
          <w:sz w:val="36"/>
          <w:szCs w:val="36"/>
        </w:rPr>
      </w:pPr>
    </w:p>
    <w:p w14:paraId="5F4052B5">
      <w:pPr>
        <w:spacing w:line="360" w:lineRule="auto"/>
        <w:jc w:val="center"/>
        <w:rPr>
          <w:rFonts w:ascii="Times New Roman" w:hAnsi="Times New Roman" w:cs="宋体"/>
          <w:b/>
          <w:bCs/>
          <w:kern w:val="2"/>
          <w:sz w:val="36"/>
          <w:szCs w:val="36"/>
        </w:rPr>
      </w:pPr>
    </w:p>
    <w:p w14:paraId="59FE96F3">
      <w:pPr>
        <w:spacing w:line="360" w:lineRule="auto"/>
        <w:jc w:val="center"/>
        <w:rPr>
          <w:rFonts w:ascii="Times New Roman" w:hAnsi="Times New Roman"/>
          <w:b/>
          <w:bCs/>
          <w:kern w:val="2"/>
          <w:sz w:val="36"/>
          <w:szCs w:val="36"/>
        </w:rPr>
      </w:pPr>
      <w:r>
        <w:rPr>
          <w:rFonts w:hint="eastAsia" w:ascii="Times New Roman" w:hAnsi="Times New Roman" w:cs="宋体"/>
          <w:b/>
          <w:bCs/>
          <w:kern w:val="2"/>
          <w:sz w:val="36"/>
          <w:szCs w:val="36"/>
        </w:rPr>
        <w:t>竞争性磋商响应文件</w:t>
      </w:r>
    </w:p>
    <w:p w14:paraId="30A47E9C">
      <w:pPr>
        <w:spacing w:line="520" w:lineRule="exact"/>
        <w:jc w:val="center"/>
        <w:rPr>
          <w:rFonts w:ascii="Times New Roman" w:hAnsi="Times New Roman"/>
          <w:kern w:val="2"/>
          <w:sz w:val="36"/>
          <w:szCs w:val="36"/>
        </w:rPr>
      </w:pPr>
    </w:p>
    <w:p w14:paraId="29288665">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对应竞争性磋商响应文件，相应填写：资格审查文件</w:t>
      </w:r>
    </w:p>
    <w:p w14:paraId="40261D37">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商务技术响应文件</w:t>
      </w:r>
    </w:p>
    <w:p w14:paraId="66B81AD0">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报价响应文件</w:t>
      </w:r>
    </w:p>
    <w:p w14:paraId="3E293326">
      <w:pPr>
        <w:spacing w:line="360" w:lineRule="exact"/>
        <w:jc w:val="center"/>
        <w:rPr>
          <w:rFonts w:ascii="Times New Roman" w:hAnsi="Times New Roman"/>
          <w:kern w:val="2"/>
          <w:szCs w:val="21"/>
        </w:rPr>
      </w:pPr>
    </w:p>
    <w:p w14:paraId="20F1B4CD">
      <w:pPr>
        <w:spacing w:line="360" w:lineRule="exact"/>
        <w:jc w:val="center"/>
        <w:rPr>
          <w:rFonts w:ascii="Times New Roman" w:hAnsi="Times New Roman"/>
          <w:kern w:val="2"/>
          <w:sz w:val="28"/>
          <w:szCs w:val="28"/>
        </w:rPr>
      </w:pPr>
    </w:p>
    <w:p w14:paraId="6945942E">
      <w:pPr>
        <w:spacing w:line="360" w:lineRule="exact"/>
        <w:jc w:val="center"/>
        <w:rPr>
          <w:rFonts w:ascii="Times New Roman" w:hAnsi="Times New Roman"/>
          <w:kern w:val="2"/>
          <w:szCs w:val="21"/>
        </w:rPr>
      </w:pPr>
    </w:p>
    <w:p w14:paraId="11261273">
      <w:pPr>
        <w:spacing w:line="360" w:lineRule="exact"/>
        <w:jc w:val="center"/>
        <w:rPr>
          <w:rFonts w:ascii="Times New Roman" w:hAnsi="Times New Roman"/>
          <w:kern w:val="2"/>
          <w:szCs w:val="21"/>
        </w:rPr>
      </w:pPr>
    </w:p>
    <w:p w14:paraId="3D258A27">
      <w:pPr>
        <w:spacing w:line="360" w:lineRule="exact"/>
        <w:jc w:val="center"/>
        <w:rPr>
          <w:rFonts w:ascii="Times New Roman" w:hAnsi="Times New Roman"/>
          <w:kern w:val="2"/>
          <w:szCs w:val="21"/>
        </w:rPr>
      </w:pPr>
    </w:p>
    <w:p w14:paraId="634F59E8">
      <w:pPr>
        <w:spacing w:line="360" w:lineRule="exact"/>
        <w:jc w:val="center"/>
        <w:rPr>
          <w:rFonts w:ascii="Times New Roman" w:hAnsi="Times New Roman"/>
          <w:kern w:val="2"/>
          <w:szCs w:val="21"/>
        </w:rPr>
      </w:pPr>
    </w:p>
    <w:p w14:paraId="63821471">
      <w:pPr>
        <w:rPr>
          <w:rFonts w:ascii="Times New Roman" w:hAnsi="Times New Roman"/>
          <w:szCs w:val="21"/>
        </w:rPr>
      </w:pPr>
    </w:p>
    <w:p w14:paraId="1DFD86E1">
      <w:pPr>
        <w:spacing w:line="360" w:lineRule="exact"/>
        <w:jc w:val="center"/>
        <w:rPr>
          <w:rFonts w:ascii="Times New Roman" w:hAnsi="Times New Roman"/>
          <w:kern w:val="2"/>
          <w:szCs w:val="21"/>
        </w:rPr>
      </w:pPr>
    </w:p>
    <w:p w14:paraId="6A28A9CB">
      <w:pPr>
        <w:adjustRightInd w:val="0"/>
        <w:snapToGrid w:val="0"/>
        <w:spacing w:line="480" w:lineRule="auto"/>
        <w:jc w:val="center"/>
        <w:rPr>
          <w:rFonts w:ascii="Times New Roman" w:hAnsi="Times New Roman"/>
          <w:kern w:val="2"/>
          <w:sz w:val="30"/>
          <w:szCs w:val="30"/>
        </w:rPr>
      </w:pPr>
      <w:r>
        <w:rPr>
          <w:rFonts w:hint="eastAsia" w:ascii="Times New Roman" w:hAnsi="Times New Roman" w:cs="宋体"/>
          <w:kern w:val="2"/>
          <w:sz w:val="30"/>
          <w:szCs w:val="30"/>
        </w:rPr>
        <w:t>供应商：供应商全称</w:t>
      </w:r>
    </w:p>
    <w:p w14:paraId="767F2D28">
      <w:pPr>
        <w:snapToGrid w:val="0"/>
        <w:spacing w:line="480" w:lineRule="auto"/>
        <w:jc w:val="center"/>
        <w:rPr>
          <w:rFonts w:ascii="Times New Roman" w:hAnsi="Times New Roman" w:cs="宋体"/>
          <w:kern w:val="2"/>
          <w:sz w:val="36"/>
          <w:szCs w:val="36"/>
        </w:rPr>
      </w:pPr>
      <w:r>
        <w:rPr>
          <w:rFonts w:hint="eastAsia" w:ascii="Times New Roman" w:hAnsi="Times New Roman" w:cs="宋体"/>
          <w:kern w:val="2"/>
          <w:sz w:val="30"/>
          <w:szCs w:val="30"/>
        </w:rPr>
        <w:t>二〇二</w:t>
      </w:r>
      <w:r>
        <w:rPr>
          <w:rFonts w:hint="eastAsia" w:ascii="Times New Roman" w:hAnsi="Times New Roman" w:cs="宋体"/>
          <w:kern w:val="2"/>
          <w:sz w:val="30"/>
          <w:szCs w:val="30"/>
          <w:lang w:val="en-US" w:eastAsia="zh-CN"/>
        </w:rPr>
        <w:t>五</w:t>
      </w:r>
      <w:r>
        <w:rPr>
          <w:rFonts w:hint="eastAsia" w:ascii="Times New Roman" w:hAnsi="Times New Roman" w:cs="宋体"/>
          <w:kern w:val="2"/>
          <w:sz w:val="30"/>
          <w:szCs w:val="30"/>
        </w:rPr>
        <w:t>年月日</w:t>
      </w:r>
    </w:p>
    <w:p w14:paraId="54E4E254">
      <w:pPr>
        <w:jc w:val="center"/>
        <w:rPr>
          <w:rFonts w:ascii="宋体" w:hAnsi="宋体"/>
          <w:b/>
          <w:color w:val="000000"/>
          <w:kern w:val="2"/>
          <w:sz w:val="30"/>
          <w:szCs w:val="30"/>
        </w:rPr>
      </w:pPr>
      <w:r>
        <w:rPr>
          <w:rFonts w:ascii="宋体" w:hAnsi="宋体"/>
          <w:b/>
          <w:bCs/>
          <w:kern w:val="2"/>
          <w:sz w:val="24"/>
          <w:szCs w:val="24"/>
          <w:u w:val="single"/>
        </w:rPr>
        <w:br w:type="page"/>
      </w:r>
      <w:r>
        <w:rPr>
          <w:rFonts w:hint="eastAsia" w:ascii="宋体" w:hAnsi="宋体"/>
          <w:b/>
          <w:color w:val="000000"/>
          <w:kern w:val="2"/>
          <w:sz w:val="30"/>
          <w:szCs w:val="30"/>
        </w:rPr>
        <w:t>符合《中华人民共和国政府采购法》第二十二条规定的声明函</w:t>
      </w:r>
    </w:p>
    <w:p w14:paraId="663EDDAB">
      <w:pPr>
        <w:spacing w:line="460" w:lineRule="exact"/>
        <w:rPr>
          <w:rFonts w:ascii="宋体" w:hAnsi="宋体"/>
          <w:b/>
          <w:bCs/>
          <w:color w:val="000000"/>
          <w:kern w:val="2"/>
          <w:sz w:val="44"/>
          <w:szCs w:val="44"/>
        </w:rPr>
      </w:pPr>
    </w:p>
    <w:p w14:paraId="44027CE6">
      <w:pPr>
        <w:spacing w:line="520" w:lineRule="exact"/>
        <w:ind w:firstLine="480" w:firstLineChars="200"/>
        <w:rPr>
          <w:rFonts w:ascii="宋体" w:hAnsi="宋体"/>
          <w:b/>
          <w:bCs/>
          <w:color w:val="000000"/>
          <w:kern w:val="2"/>
          <w:sz w:val="24"/>
          <w:szCs w:val="24"/>
        </w:rPr>
      </w:pPr>
      <w:r>
        <w:rPr>
          <w:rFonts w:hint="eastAsia" w:ascii="宋体" w:hAnsi="宋体"/>
          <w:bCs/>
          <w:color w:val="000000"/>
          <w:kern w:val="2"/>
          <w:sz w:val="24"/>
          <w:szCs w:val="24"/>
        </w:rPr>
        <w:t>我单位参加</w:t>
      </w:r>
      <w:r>
        <w:rPr>
          <w:rFonts w:hint="eastAsia" w:ascii="宋体" w:hAnsi="宋体"/>
          <w:bCs/>
          <w:color w:val="000000"/>
          <w:kern w:val="2"/>
          <w:sz w:val="24"/>
          <w:szCs w:val="21"/>
          <w:u w:val="single"/>
        </w:rPr>
        <w:t>_       （项目名称）【项目编号：】</w:t>
      </w:r>
      <w:r>
        <w:rPr>
          <w:rFonts w:hint="eastAsia" w:ascii="宋体" w:hAnsi="宋体"/>
          <w:bCs/>
          <w:color w:val="000000"/>
          <w:kern w:val="2"/>
          <w:sz w:val="24"/>
          <w:szCs w:val="21"/>
        </w:rPr>
        <w:t>的磋商活动。现做出如下声明：</w:t>
      </w:r>
    </w:p>
    <w:p w14:paraId="610D304B">
      <w:pPr>
        <w:spacing w:line="520" w:lineRule="exact"/>
        <w:ind w:firstLine="482"/>
        <w:rPr>
          <w:rFonts w:ascii="宋体" w:hAnsi="宋体"/>
          <w:color w:val="000000"/>
          <w:kern w:val="2"/>
          <w:sz w:val="24"/>
          <w:szCs w:val="24"/>
        </w:rPr>
      </w:pPr>
      <w:r>
        <w:rPr>
          <w:rFonts w:hint="eastAsia" w:ascii="宋体" w:hAnsi="宋体"/>
          <w:bCs/>
          <w:color w:val="000000"/>
          <w:kern w:val="2"/>
          <w:sz w:val="24"/>
          <w:szCs w:val="21"/>
        </w:rPr>
        <w:t>1.我单位具有独立承担民事责任的能力；</w:t>
      </w:r>
    </w:p>
    <w:p w14:paraId="252240C9">
      <w:pPr>
        <w:spacing w:line="520" w:lineRule="exact"/>
        <w:ind w:firstLine="482"/>
        <w:rPr>
          <w:rFonts w:ascii="宋体" w:hAnsi="宋体"/>
          <w:color w:val="000000"/>
          <w:kern w:val="2"/>
          <w:sz w:val="24"/>
          <w:szCs w:val="24"/>
        </w:rPr>
      </w:pPr>
      <w:r>
        <w:rPr>
          <w:rFonts w:hint="eastAsia" w:ascii="宋体" w:hAnsi="宋体"/>
          <w:color w:val="000000"/>
          <w:kern w:val="2"/>
          <w:sz w:val="24"/>
          <w:szCs w:val="24"/>
        </w:rPr>
        <w:t>2.我单位具有良好的商业信誉和健全的财务会计制度；</w:t>
      </w:r>
    </w:p>
    <w:p w14:paraId="6F306234">
      <w:pPr>
        <w:spacing w:line="520" w:lineRule="exact"/>
        <w:ind w:firstLine="482"/>
        <w:rPr>
          <w:rFonts w:ascii="宋体" w:hAnsi="宋体"/>
          <w:color w:val="000000"/>
          <w:kern w:val="2"/>
          <w:sz w:val="24"/>
          <w:szCs w:val="24"/>
        </w:rPr>
      </w:pPr>
      <w:r>
        <w:rPr>
          <w:rFonts w:hint="eastAsia" w:ascii="宋体" w:hAnsi="宋体"/>
          <w:color w:val="000000"/>
          <w:kern w:val="2"/>
          <w:sz w:val="24"/>
          <w:szCs w:val="24"/>
        </w:rPr>
        <w:t>3.我单位具有履行合同所必需的设备和专业技术能力；</w:t>
      </w:r>
    </w:p>
    <w:p w14:paraId="175306BA">
      <w:pPr>
        <w:spacing w:line="520" w:lineRule="exact"/>
        <w:ind w:firstLine="482"/>
        <w:rPr>
          <w:rFonts w:ascii="宋体" w:hAnsi="宋体"/>
          <w:color w:val="000000"/>
          <w:kern w:val="2"/>
          <w:sz w:val="24"/>
          <w:szCs w:val="24"/>
        </w:rPr>
      </w:pPr>
      <w:r>
        <w:rPr>
          <w:rFonts w:hint="eastAsia" w:ascii="宋体" w:hAnsi="宋体"/>
          <w:color w:val="000000"/>
          <w:kern w:val="2"/>
          <w:sz w:val="24"/>
          <w:szCs w:val="24"/>
        </w:rPr>
        <w:t>4.我单位有依法缴纳税收和社会保障资金的良好记录；</w:t>
      </w:r>
    </w:p>
    <w:p w14:paraId="37BC4177">
      <w:pPr>
        <w:spacing w:line="520" w:lineRule="exact"/>
        <w:ind w:firstLine="482"/>
        <w:rPr>
          <w:rFonts w:ascii="宋体" w:hAnsi="宋体"/>
          <w:color w:val="000000"/>
          <w:kern w:val="2"/>
          <w:sz w:val="24"/>
          <w:szCs w:val="24"/>
        </w:rPr>
      </w:pPr>
      <w:r>
        <w:rPr>
          <w:rFonts w:hint="eastAsia" w:ascii="宋体" w:hAnsi="宋体"/>
          <w:color w:val="000000"/>
          <w:kern w:val="2"/>
          <w:sz w:val="24"/>
          <w:szCs w:val="24"/>
        </w:rPr>
        <w:t>5.我单位参加本次采购活动前三年内，在经营活动中没有重大违法记录；</w:t>
      </w:r>
    </w:p>
    <w:p w14:paraId="149AFB2E">
      <w:pPr>
        <w:spacing w:line="520" w:lineRule="exact"/>
        <w:ind w:firstLine="482"/>
        <w:rPr>
          <w:rFonts w:ascii="宋体" w:hAnsi="宋体"/>
          <w:color w:val="000000"/>
          <w:kern w:val="2"/>
          <w:sz w:val="24"/>
          <w:szCs w:val="24"/>
        </w:rPr>
      </w:pPr>
      <w:r>
        <w:rPr>
          <w:rFonts w:hint="eastAsia" w:ascii="宋体" w:hAnsi="宋体"/>
          <w:color w:val="000000"/>
          <w:kern w:val="2"/>
          <w:sz w:val="24"/>
          <w:szCs w:val="24"/>
        </w:rPr>
        <w:t>（1.供应商在参加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1C98A2B">
      <w:pPr>
        <w:spacing w:line="520" w:lineRule="exact"/>
        <w:ind w:firstLine="482"/>
        <w:rPr>
          <w:rFonts w:ascii="宋体" w:hAnsi="宋体"/>
          <w:color w:val="000000"/>
          <w:kern w:val="2"/>
          <w:sz w:val="24"/>
          <w:szCs w:val="24"/>
        </w:rPr>
      </w:pPr>
      <w:r>
        <w:rPr>
          <w:rFonts w:hint="eastAsia" w:ascii="宋体" w:hAnsi="宋体"/>
          <w:color w:val="000000"/>
          <w:kern w:val="2"/>
          <w:sz w:val="24"/>
          <w:szCs w:val="24"/>
        </w:rPr>
        <w:t>6.我单位满足法律、行政法规规定的其他条件。</w:t>
      </w:r>
    </w:p>
    <w:p w14:paraId="4ACF4091">
      <w:pPr>
        <w:spacing w:line="500" w:lineRule="exact"/>
        <w:ind w:firstLine="482"/>
        <w:rPr>
          <w:rFonts w:ascii="宋体" w:hAnsi="宋体"/>
          <w:color w:val="000000"/>
          <w:kern w:val="2"/>
          <w:sz w:val="24"/>
          <w:szCs w:val="24"/>
        </w:rPr>
      </w:pPr>
    </w:p>
    <w:p w14:paraId="16436682">
      <w:pPr>
        <w:spacing w:line="500" w:lineRule="exact"/>
        <w:rPr>
          <w:rFonts w:ascii="宋体" w:hAnsi="宋体"/>
          <w:color w:val="000000"/>
          <w:kern w:val="2"/>
          <w:sz w:val="24"/>
          <w:szCs w:val="24"/>
        </w:rPr>
      </w:pPr>
    </w:p>
    <w:p w14:paraId="527BC874">
      <w:pPr>
        <w:spacing w:line="500" w:lineRule="exact"/>
        <w:rPr>
          <w:rFonts w:ascii="宋体" w:hAnsi="宋体"/>
          <w:bCs/>
          <w:color w:val="000000"/>
          <w:kern w:val="2"/>
          <w:sz w:val="24"/>
          <w:szCs w:val="21"/>
        </w:rPr>
      </w:pPr>
    </w:p>
    <w:p w14:paraId="71A29D48">
      <w:pPr>
        <w:spacing w:line="500" w:lineRule="exact"/>
        <w:rPr>
          <w:rFonts w:ascii="宋体" w:hAnsi="宋体"/>
          <w:bCs/>
          <w:color w:val="000000"/>
          <w:kern w:val="2"/>
          <w:sz w:val="24"/>
          <w:szCs w:val="21"/>
        </w:rPr>
      </w:pPr>
    </w:p>
    <w:p w14:paraId="3BE74161">
      <w:pPr>
        <w:spacing w:line="500" w:lineRule="exact"/>
        <w:rPr>
          <w:rFonts w:ascii="宋体" w:hAnsi="宋体"/>
          <w:bCs/>
          <w:color w:val="000000"/>
          <w:kern w:val="2"/>
          <w:sz w:val="24"/>
          <w:szCs w:val="21"/>
        </w:rPr>
      </w:pPr>
    </w:p>
    <w:p w14:paraId="2A0C7096">
      <w:pPr>
        <w:spacing w:line="460" w:lineRule="exact"/>
        <w:jc w:val="center"/>
        <w:rPr>
          <w:rFonts w:ascii="宋体" w:hAnsi="宋体"/>
          <w:bCs/>
          <w:color w:val="000000"/>
          <w:kern w:val="2"/>
          <w:sz w:val="24"/>
          <w:szCs w:val="21"/>
        </w:rPr>
      </w:pPr>
      <w:r>
        <w:rPr>
          <w:rFonts w:hint="eastAsia" w:ascii="宋体" w:hAnsi="宋体"/>
          <w:bCs/>
          <w:color w:val="000000"/>
          <w:kern w:val="2"/>
          <w:sz w:val="24"/>
          <w:szCs w:val="21"/>
        </w:rPr>
        <w:t xml:space="preserve">                              声明人名称：</w:t>
      </w:r>
      <w:r>
        <w:rPr>
          <w:rFonts w:hint="eastAsia" w:ascii="宋体" w:hAnsi="宋体"/>
          <w:bCs/>
          <w:color w:val="000000"/>
          <w:kern w:val="2"/>
          <w:sz w:val="24"/>
          <w:szCs w:val="21"/>
          <w:u w:val="single"/>
        </w:rPr>
        <w:t>__________________</w:t>
      </w:r>
      <w:r>
        <w:rPr>
          <w:rFonts w:hint="eastAsia" w:ascii="宋体" w:hAnsi="宋体"/>
          <w:bCs/>
          <w:color w:val="000000"/>
          <w:kern w:val="2"/>
          <w:sz w:val="24"/>
          <w:szCs w:val="21"/>
        </w:rPr>
        <w:t>（公章）</w:t>
      </w:r>
    </w:p>
    <w:p w14:paraId="17C2D47E">
      <w:pPr>
        <w:spacing w:line="460" w:lineRule="exact"/>
        <w:jc w:val="right"/>
        <w:rPr>
          <w:rFonts w:ascii="宋体" w:hAnsi="宋体"/>
          <w:bCs/>
          <w:color w:val="000000"/>
          <w:kern w:val="2"/>
          <w:sz w:val="24"/>
          <w:szCs w:val="21"/>
        </w:rPr>
      </w:pPr>
    </w:p>
    <w:p w14:paraId="164659E1">
      <w:pPr>
        <w:spacing w:line="460" w:lineRule="exact"/>
        <w:jc w:val="right"/>
        <w:rPr>
          <w:rFonts w:ascii="宋体" w:hAnsi="宋体"/>
          <w:bCs/>
          <w:color w:val="000000"/>
          <w:kern w:val="2"/>
          <w:sz w:val="24"/>
          <w:szCs w:val="21"/>
        </w:rPr>
      </w:pPr>
      <w:r>
        <w:rPr>
          <w:rFonts w:hint="eastAsia" w:ascii="宋体" w:hAnsi="宋体"/>
          <w:bCs/>
          <w:color w:val="000000"/>
          <w:kern w:val="2"/>
          <w:sz w:val="24"/>
          <w:szCs w:val="21"/>
        </w:rPr>
        <w:t xml:space="preserve">                                 日期：</w:t>
      </w:r>
      <w:r>
        <w:rPr>
          <w:rFonts w:hint="eastAsia" w:ascii="宋体" w:hAnsi="宋体"/>
          <w:bCs/>
          <w:color w:val="000000"/>
          <w:kern w:val="2"/>
          <w:sz w:val="24"/>
          <w:szCs w:val="21"/>
          <w:u w:val="single"/>
        </w:rPr>
        <w:t>______</w:t>
      </w:r>
      <w:r>
        <w:rPr>
          <w:rFonts w:hint="eastAsia" w:ascii="宋体" w:hAnsi="宋体"/>
          <w:bCs/>
          <w:color w:val="000000"/>
          <w:kern w:val="2"/>
          <w:sz w:val="24"/>
          <w:szCs w:val="21"/>
        </w:rPr>
        <w:t>年月日</w:t>
      </w:r>
    </w:p>
    <w:p w14:paraId="32A60A30">
      <w:pPr>
        <w:snapToGrid w:val="0"/>
        <w:spacing w:line="400" w:lineRule="exact"/>
        <w:ind w:firstLine="540" w:firstLineChars="192"/>
        <w:contextualSpacing/>
        <w:rPr>
          <w:rFonts w:ascii="宋体" w:hAnsi="宋体" w:cs="宋体"/>
          <w:b/>
          <w:sz w:val="28"/>
          <w:szCs w:val="28"/>
        </w:rPr>
      </w:pPr>
    </w:p>
    <w:p w14:paraId="5774D445">
      <w:pPr>
        <w:snapToGrid w:val="0"/>
        <w:spacing w:line="400" w:lineRule="exact"/>
        <w:ind w:firstLine="540" w:firstLineChars="192"/>
        <w:contextualSpacing/>
        <w:rPr>
          <w:rFonts w:ascii="宋体" w:hAnsi="宋体" w:cs="宋体"/>
          <w:b/>
          <w:sz w:val="28"/>
          <w:szCs w:val="28"/>
          <w:lang w:val="zh-CN"/>
        </w:rPr>
      </w:pPr>
    </w:p>
    <w:p w14:paraId="5E433161">
      <w:pPr>
        <w:snapToGrid w:val="0"/>
        <w:spacing w:line="400" w:lineRule="exact"/>
        <w:contextualSpacing/>
        <w:rPr>
          <w:rFonts w:ascii="宋体" w:hAnsi="宋体" w:cs="宋体"/>
          <w:b/>
          <w:sz w:val="28"/>
          <w:szCs w:val="28"/>
          <w:lang w:val="zh-CN"/>
        </w:rPr>
      </w:pPr>
    </w:p>
    <w:p w14:paraId="42C6B051">
      <w:pPr>
        <w:snapToGrid w:val="0"/>
        <w:spacing w:line="400" w:lineRule="exact"/>
        <w:contextualSpacing/>
        <w:rPr>
          <w:rFonts w:ascii="宋体" w:hAnsi="宋体"/>
          <w:b/>
          <w:bCs/>
          <w:kern w:val="2"/>
          <w:sz w:val="32"/>
          <w:szCs w:val="32"/>
        </w:rPr>
      </w:pPr>
      <w:r>
        <w:rPr>
          <w:rFonts w:ascii="宋体" w:hAnsi="宋体"/>
          <w:sz w:val="32"/>
          <w:szCs w:val="32"/>
          <w:lang w:val="zh-CN"/>
        </w:rPr>
        <w:br w:type="page"/>
      </w:r>
    </w:p>
    <w:p w14:paraId="124892F1">
      <w:pPr>
        <w:snapToGrid w:val="0"/>
        <w:spacing w:line="360" w:lineRule="auto"/>
        <w:jc w:val="center"/>
        <w:outlineLvl w:val="4"/>
        <w:rPr>
          <w:rFonts w:ascii="宋体" w:hAnsi="宋体"/>
          <w:b/>
          <w:color w:val="000000"/>
          <w:kern w:val="2"/>
          <w:sz w:val="30"/>
          <w:szCs w:val="30"/>
          <w:highlight w:val="none"/>
        </w:rPr>
      </w:pPr>
      <w:r>
        <w:rPr>
          <w:rFonts w:hint="eastAsia" w:ascii="宋体" w:hAnsi="宋体"/>
          <w:b/>
          <w:color w:val="000000"/>
          <w:kern w:val="2"/>
          <w:sz w:val="30"/>
          <w:szCs w:val="30"/>
          <w:highlight w:val="none"/>
        </w:rPr>
        <w:t>法定代表人</w:t>
      </w:r>
      <w:r>
        <w:rPr>
          <w:rFonts w:hint="eastAsia" w:ascii="宋体" w:hAnsi="宋体"/>
          <w:b/>
          <w:color w:val="000000"/>
          <w:kern w:val="2"/>
          <w:sz w:val="30"/>
          <w:szCs w:val="30"/>
          <w:highlight w:val="none"/>
          <w:lang w:val="en-US" w:eastAsia="zh-CN"/>
        </w:rPr>
        <w:t>或企业负责人</w:t>
      </w:r>
      <w:r>
        <w:rPr>
          <w:rFonts w:hint="eastAsia" w:ascii="宋体" w:hAnsi="宋体"/>
          <w:b/>
          <w:color w:val="000000"/>
          <w:kern w:val="2"/>
          <w:sz w:val="30"/>
          <w:szCs w:val="30"/>
          <w:highlight w:val="none"/>
        </w:rPr>
        <w:t>身份证明</w:t>
      </w:r>
    </w:p>
    <w:p w14:paraId="6032FDCF">
      <w:pPr>
        <w:spacing w:line="480" w:lineRule="exact"/>
        <w:rPr>
          <w:rFonts w:ascii="宋体" w:hAnsi="宋体"/>
          <w:kern w:val="2"/>
          <w:sz w:val="24"/>
          <w:szCs w:val="24"/>
        </w:rPr>
      </w:pPr>
    </w:p>
    <w:p w14:paraId="629C1A87">
      <w:pPr>
        <w:spacing w:line="480" w:lineRule="exact"/>
        <w:ind w:firstLine="480" w:firstLineChars="200"/>
        <w:rPr>
          <w:rFonts w:ascii="宋体" w:hAnsi="宋体"/>
          <w:kern w:val="2"/>
          <w:sz w:val="24"/>
          <w:szCs w:val="24"/>
        </w:rPr>
      </w:pPr>
      <w:r>
        <w:rPr>
          <w:rFonts w:hint="eastAsia" w:ascii="宋体" w:hAnsi="宋体"/>
          <w:kern w:val="2"/>
          <w:sz w:val="24"/>
          <w:szCs w:val="24"/>
        </w:rPr>
        <w:t>先生/女士，现任我单位职务，为法定代表人</w:t>
      </w:r>
      <w:r>
        <w:rPr>
          <w:rFonts w:hint="eastAsia" w:ascii="宋体" w:hAnsi="宋体"/>
          <w:kern w:val="2"/>
          <w:sz w:val="24"/>
          <w:szCs w:val="24"/>
          <w:lang w:val="en-US" w:eastAsia="zh-CN"/>
        </w:rPr>
        <w:t>/企业负责人</w:t>
      </w:r>
      <w:r>
        <w:rPr>
          <w:rFonts w:hint="eastAsia" w:ascii="宋体" w:hAnsi="宋体"/>
          <w:kern w:val="2"/>
          <w:sz w:val="24"/>
          <w:szCs w:val="24"/>
        </w:rPr>
        <w:t>，特此证明。</w:t>
      </w:r>
    </w:p>
    <w:p w14:paraId="130F3DDA">
      <w:pPr>
        <w:spacing w:line="480" w:lineRule="exact"/>
        <w:ind w:firstLine="480"/>
        <w:rPr>
          <w:rFonts w:ascii="宋体" w:hAnsi="宋体"/>
          <w:kern w:val="2"/>
          <w:sz w:val="24"/>
          <w:szCs w:val="24"/>
          <w:u w:val="single"/>
        </w:rPr>
      </w:pPr>
      <w:r>
        <w:rPr>
          <w:rFonts w:hint="eastAsia" w:ascii="宋体" w:hAnsi="宋体"/>
          <w:kern w:val="2"/>
          <w:sz w:val="24"/>
          <w:szCs w:val="24"/>
        </w:rPr>
        <w:t>身份证号码：</w:t>
      </w:r>
    </w:p>
    <w:p w14:paraId="5B82987B">
      <w:pPr>
        <w:spacing w:line="480" w:lineRule="exact"/>
        <w:ind w:firstLine="480"/>
        <w:rPr>
          <w:rFonts w:ascii="宋体" w:hAnsi="宋体"/>
          <w:kern w:val="2"/>
          <w:sz w:val="24"/>
          <w:szCs w:val="24"/>
        </w:rPr>
      </w:pPr>
    </w:p>
    <w:p w14:paraId="2FDE6A73">
      <w:pPr>
        <w:snapToGrid w:val="0"/>
        <w:spacing w:line="420" w:lineRule="exact"/>
        <w:ind w:right="960" w:firstLine="404" w:firstLineChars="202"/>
        <w:jc w:val="center"/>
        <w:textAlignment w:val="baseline"/>
        <w:rPr>
          <w:rFonts w:ascii="Times New Roman" w:hAnsi="Times New Roman"/>
          <w:kern w:val="2"/>
          <w:sz w:val="20"/>
          <w:szCs w:val="21"/>
        </w:rPr>
      </w:pPr>
    </w:p>
    <w:p w14:paraId="4952BC9B">
      <w:pPr>
        <w:snapToGrid w:val="0"/>
        <w:spacing w:line="420" w:lineRule="exact"/>
        <w:ind w:firstLine="404" w:firstLineChars="202"/>
        <w:jc w:val="left"/>
        <w:textAlignment w:val="baseline"/>
        <w:rPr>
          <w:rFonts w:ascii="Times New Roman" w:hAnsi="Times New Roman"/>
          <w:kern w:val="2"/>
          <w:sz w:val="20"/>
          <w:szCs w:val="21"/>
        </w:rPr>
      </w:pPr>
    </w:p>
    <w:tbl>
      <w:tblPr>
        <w:tblStyle w:val="56"/>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14:paraId="5B61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7CEFE5ED">
            <w:pPr>
              <w:snapToGrid w:val="0"/>
              <w:spacing w:line="420" w:lineRule="exact"/>
              <w:ind w:firstLine="404" w:firstLineChars="202"/>
              <w:jc w:val="left"/>
              <w:textAlignment w:val="baseline"/>
              <w:rPr>
                <w:rFonts w:ascii="Times New Roman" w:hAnsi="Times New Roman"/>
                <w:kern w:val="2"/>
                <w:sz w:val="20"/>
              </w:rPr>
            </w:pPr>
          </w:p>
          <w:p w14:paraId="0B920EC4">
            <w:pPr>
              <w:snapToGrid w:val="0"/>
              <w:spacing w:line="420" w:lineRule="exact"/>
              <w:ind w:firstLine="404" w:firstLineChars="202"/>
              <w:jc w:val="left"/>
              <w:textAlignment w:val="baseline"/>
              <w:rPr>
                <w:rFonts w:ascii="Times New Roman" w:hAnsi="Times New Roman"/>
                <w:kern w:val="2"/>
                <w:sz w:val="20"/>
              </w:rPr>
            </w:pPr>
          </w:p>
          <w:p w14:paraId="6CA7A80B">
            <w:pPr>
              <w:snapToGrid w:val="0"/>
              <w:spacing w:line="420" w:lineRule="exact"/>
              <w:jc w:val="center"/>
              <w:textAlignment w:val="baseline"/>
              <w:rPr>
                <w:rFonts w:ascii="Times New Roman" w:hAnsi="Times New Roman"/>
                <w:b/>
                <w:bCs/>
                <w:kern w:val="2"/>
                <w:sz w:val="20"/>
              </w:rPr>
            </w:pPr>
            <w:r>
              <w:rPr>
                <w:rFonts w:hint="eastAsia" w:ascii="Times New Roman" w:hAnsi="Times New Roman" w:cs="宋体"/>
                <w:b/>
                <w:bCs/>
                <w:kern w:val="2"/>
              </w:rPr>
              <w:t>法定代表人</w:t>
            </w:r>
            <w:r>
              <w:rPr>
                <w:rFonts w:hint="eastAsia" w:ascii="Times New Roman" w:hAnsi="Times New Roman" w:cs="宋体"/>
                <w:b/>
                <w:bCs/>
                <w:kern w:val="2"/>
                <w:lang w:val="en-US" w:eastAsia="zh-CN"/>
              </w:rPr>
              <w:t>或企业负责人</w:t>
            </w:r>
            <w:r>
              <w:rPr>
                <w:rFonts w:hint="eastAsia" w:ascii="Times New Roman" w:hAnsi="Times New Roman" w:cs="宋体"/>
                <w:b/>
                <w:bCs/>
                <w:kern w:val="2"/>
              </w:rPr>
              <w:t>身份证</w:t>
            </w:r>
            <w:r>
              <w:rPr>
                <w:rFonts w:hint="eastAsia" w:ascii="Times New Roman" w:hAnsi="Times New Roman" w:cs="宋体"/>
                <w:b/>
                <w:kern w:val="2"/>
              </w:rPr>
              <w:t>（正、反面）</w:t>
            </w:r>
            <w:r>
              <w:rPr>
                <w:rFonts w:hint="eastAsia" w:ascii="Times New Roman" w:hAnsi="Times New Roman" w:cs="宋体"/>
                <w:b/>
                <w:bCs/>
                <w:kern w:val="2"/>
              </w:rPr>
              <w:t>复印件或扫描件</w:t>
            </w:r>
          </w:p>
          <w:p w14:paraId="7ECA37B0">
            <w:pPr>
              <w:snapToGrid w:val="0"/>
              <w:spacing w:line="420" w:lineRule="exact"/>
              <w:jc w:val="center"/>
              <w:textAlignment w:val="baseline"/>
              <w:rPr>
                <w:rFonts w:ascii="Times New Roman" w:hAnsi="Times New Roman"/>
                <w:b/>
                <w:bCs/>
                <w:kern w:val="2"/>
                <w:sz w:val="20"/>
              </w:rPr>
            </w:pPr>
          </w:p>
          <w:p w14:paraId="3FBC99BA">
            <w:pPr>
              <w:snapToGrid w:val="0"/>
              <w:spacing w:line="420" w:lineRule="exact"/>
              <w:jc w:val="center"/>
              <w:textAlignment w:val="baseline"/>
              <w:rPr>
                <w:rFonts w:ascii="Times New Roman" w:hAnsi="Times New Roman"/>
                <w:b/>
                <w:bCs/>
                <w:kern w:val="2"/>
                <w:sz w:val="20"/>
              </w:rPr>
            </w:pPr>
          </w:p>
          <w:p w14:paraId="1D6992D0">
            <w:pPr>
              <w:snapToGrid w:val="0"/>
              <w:spacing w:line="420" w:lineRule="exact"/>
              <w:jc w:val="center"/>
              <w:textAlignment w:val="baseline"/>
              <w:rPr>
                <w:rFonts w:ascii="Times New Roman" w:hAnsi="Times New Roman"/>
                <w:b/>
                <w:bCs/>
                <w:kern w:val="2"/>
                <w:sz w:val="20"/>
              </w:rPr>
            </w:pPr>
          </w:p>
          <w:p w14:paraId="2E66813B">
            <w:pPr>
              <w:snapToGrid w:val="0"/>
              <w:spacing w:line="420" w:lineRule="exact"/>
              <w:jc w:val="center"/>
              <w:textAlignment w:val="baseline"/>
              <w:rPr>
                <w:rFonts w:ascii="Times New Roman" w:hAnsi="Times New Roman"/>
                <w:kern w:val="2"/>
                <w:sz w:val="20"/>
              </w:rPr>
            </w:pPr>
          </w:p>
        </w:tc>
      </w:tr>
    </w:tbl>
    <w:p w14:paraId="2ADE19C3">
      <w:pPr>
        <w:snapToGrid w:val="0"/>
        <w:spacing w:line="420" w:lineRule="exact"/>
        <w:jc w:val="center"/>
        <w:textAlignment w:val="baseline"/>
        <w:rPr>
          <w:rFonts w:ascii="Times New Roman" w:hAnsi="Times New Roman"/>
          <w:kern w:val="2"/>
          <w:sz w:val="20"/>
          <w:szCs w:val="21"/>
        </w:rPr>
      </w:pPr>
    </w:p>
    <w:p w14:paraId="144F3A35">
      <w:pPr>
        <w:spacing w:line="600" w:lineRule="exact"/>
        <w:rPr>
          <w:rFonts w:ascii="宋体" w:hAnsi="宋体"/>
          <w:b/>
          <w:kern w:val="2"/>
          <w:sz w:val="24"/>
          <w:szCs w:val="24"/>
        </w:rPr>
      </w:pPr>
    </w:p>
    <w:p w14:paraId="714366BB">
      <w:pPr>
        <w:spacing w:line="480" w:lineRule="exact"/>
        <w:ind w:firstLine="480" w:firstLineChars="200"/>
        <w:rPr>
          <w:rFonts w:ascii="宋体" w:hAnsi="宋体"/>
          <w:kern w:val="2"/>
          <w:sz w:val="24"/>
          <w:szCs w:val="24"/>
        </w:rPr>
      </w:pPr>
    </w:p>
    <w:p w14:paraId="43978669">
      <w:pPr>
        <w:rPr>
          <w:rFonts w:ascii="宋体" w:hAnsi="宋体"/>
          <w:kern w:val="2"/>
          <w:szCs w:val="24"/>
        </w:rPr>
      </w:pPr>
    </w:p>
    <w:p w14:paraId="62CFC78D">
      <w:pPr>
        <w:snapToGrid w:val="0"/>
        <w:spacing w:line="400" w:lineRule="exact"/>
        <w:ind w:firstLine="540" w:firstLineChars="192"/>
        <w:contextualSpacing/>
        <w:rPr>
          <w:rFonts w:ascii="宋体" w:hAnsi="宋体" w:cs="宋体"/>
          <w:b/>
          <w:sz w:val="28"/>
          <w:szCs w:val="28"/>
        </w:rPr>
      </w:pPr>
    </w:p>
    <w:p w14:paraId="1841E4AE">
      <w:pPr>
        <w:snapToGrid w:val="0"/>
        <w:spacing w:line="520" w:lineRule="exact"/>
        <w:jc w:val="right"/>
        <w:textAlignment w:val="baseline"/>
        <w:rPr>
          <w:rFonts w:ascii="宋体" w:hAnsi="宋体" w:cs="宋体"/>
          <w:color w:val="000000"/>
          <w:kern w:val="2"/>
          <w:sz w:val="24"/>
          <w:szCs w:val="24"/>
        </w:rPr>
      </w:pPr>
      <w:r>
        <w:rPr>
          <w:rFonts w:hint="eastAsia" w:ascii="宋体" w:hAnsi="宋体" w:cs="宋体"/>
          <w:color w:val="000000"/>
          <w:kern w:val="2"/>
          <w:sz w:val="24"/>
          <w:szCs w:val="24"/>
        </w:rPr>
        <w:t>竞争性磋商响应单位：（加盖公章）</w:t>
      </w:r>
    </w:p>
    <w:p w14:paraId="738E55CC">
      <w:pPr>
        <w:snapToGrid w:val="0"/>
        <w:spacing w:line="420" w:lineRule="exact"/>
        <w:ind w:right="960" w:firstLine="484" w:firstLineChars="202"/>
        <w:jc w:val="center"/>
        <w:textAlignment w:val="baseline"/>
        <w:rPr>
          <w:rFonts w:ascii="Times New Roman" w:hAnsi="Times New Roman"/>
          <w:kern w:val="2"/>
          <w:sz w:val="20"/>
          <w:szCs w:val="21"/>
        </w:rPr>
      </w:pPr>
      <w:r>
        <w:rPr>
          <w:rFonts w:hint="eastAsia" w:ascii="宋体" w:hAnsi="宋体" w:cs="宋体"/>
          <w:color w:val="000000"/>
          <w:kern w:val="2"/>
          <w:sz w:val="24"/>
          <w:szCs w:val="24"/>
        </w:rPr>
        <w:t xml:space="preserve">                                   日期：  年  月  日</w:t>
      </w:r>
    </w:p>
    <w:p w14:paraId="7F0226DB">
      <w:pPr>
        <w:snapToGrid w:val="0"/>
        <w:spacing w:line="420" w:lineRule="exact"/>
        <w:ind w:firstLine="404" w:firstLineChars="202"/>
        <w:jc w:val="left"/>
        <w:textAlignment w:val="baseline"/>
        <w:rPr>
          <w:rFonts w:ascii="Times New Roman" w:hAnsi="Times New Roman"/>
          <w:kern w:val="2"/>
          <w:sz w:val="20"/>
          <w:szCs w:val="21"/>
        </w:rPr>
      </w:pPr>
    </w:p>
    <w:p w14:paraId="22A908F5">
      <w:pPr>
        <w:snapToGrid w:val="0"/>
        <w:spacing w:line="400" w:lineRule="exact"/>
        <w:ind w:firstLine="540" w:firstLineChars="192"/>
        <w:contextualSpacing/>
        <w:rPr>
          <w:rFonts w:ascii="宋体" w:hAnsi="宋体" w:cs="宋体"/>
          <w:b/>
          <w:sz w:val="28"/>
          <w:szCs w:val="28"/>
          <w:lang w:val="zh-CN"/>
        </w:rPr>
      </w:pPr>
    </w:p>
    <w:p w14:paraId="34602CD9">
      <w:pPr>
        <w:snapToGrid w:val="0"/>
        <w:spacing w:line="400" w:lineRule="exact"/>
        <w:ind w:firstLine="540" w:firstLineChars="192"/>
        <w:contextualSpacing/>
        <w:rPr>
          <w:rFonts w:ascii="宋体" w:hAnsi="宋体" w:cs="宋体"/>
          <w:b/>
          <w:sz w:val="28"/>
          <w:szCs w:val="28"/>
          <w:lang w:val="zh-CN"/>
        </w:rPr>
      </w:pPr>
    </w:p>
    <w:p w14:paraId="0EE3C59D">
      <w:pPr>
        <w:snapToGrid w:val="0"/>
        <w:spacing w:line="400" w:lineRule="exact"/>
        <w:ind w:firstLine="540" w:firstLineChars="192"/>
        <w:contextualSpacing/>
        <w:rPr>
          <w:rFonts w:ascii="宋体" w:hAnsi="宋体" w:cs="宋体"/>
          <w:b/>
          <w:sz w:val="28"/>
          <w:szCs w:val="28"/>
          <w:lang w:val="zh-CN"/>
        </w:rPr>
      </w:pPr>
    </w:p>
    <w:p w14:paraId="4F847797">
      <w:pPr>
        <w:snapToGrid w:val="0"/>
        <w:spacing w:line="400" w:lineRule="exact"/>
        <w:ind w:firstLine="540" w:firstLineChars="192"/>
        <w:contextualSpacing/>
        <w:rPr>
          <w:rFonts w:ascii="宋体" w:hAnsi="宋体" w:cs="宋体"/>
          <w:b/>
          <w:sz w:val="28"/>
          <w:szCs w:val="28"/>
          <w:lang w:val="zh-CN"/>
        </w:rPr>
      </w:pPr>
      <w:r>
        <w:rPr>
          <w:rFonts w:ascii="宋体" w:hAnsi="宋体" w:cs="宋体"/>
          <w:b/>
          <w:sz w:val="28"/>
          <w:szCs w:val="28"/>
          <w:lang w:val="zh-CN"/>
        </w:rPr>
        <w:br w:type="page"/>
      </w:r>
    </w:p>
    <w:p w14:paraId="6E7F36C2">
      <w:pPr>
        <w:snapToGrid w:val="0"/>
        <w:spacing w:line="360" w:lineRule="auto"/>
        <w:jc w:val="center"/>
        <w:outlineLvl w:val="4"/>
        <w:rPr>
          <w:rFonts w:ascii="宋体" w:hAnsi="宋体"/>
          <w:b/>
          <w:color w:val="000000"/>
          <w:kern w:val="2"/>
          <w:sz w:val="30"/>
          <w:szCs w:val="30"/>
          <w:highlight w:val="none"/>
        </w:rPr>
      </w:pPr>
      <w:r>
        <w:rPr>
          <w:rFonts w:hint="eastAsia" w:ascii="宋体" w:hAnsi="宋体"/>
          <w:b/>
          <w:color w:val="000000"/>
          <w:kern w:val="2"/>
          <w:sz w:val="30"/>
          <w:szCs w:val="30"/>
          <w:highlight w:val="none"/>
        </w:rPr>
        <w:t>法定代表人</w:t>
      </w:r>
      <w:r>
        <w:rPr>
          <w:rFonts w:hint="eastAsia" w:ascii="宋体" w:hAnsi="宋体"/>
          <w:b/>
          <w:color w:val="000000"/>
          <w:kern w:val="2"/>
          <w:sz w:val="30"/>
          <w:szCs w:val="30"/>
          <w:highlight w:val="none"/>
          <w:lang w:val="en-US" w:eastAsia="zh-CN"/>
        </w:rPr>
        <w:t>或企业负责人</w:t>
      </w:r>
      <w:r>
        <w:rPr>
          <w:rFonts w:hint="eastAsia" w:ascii="宋体" w:hAnsi="宋体"/>
          <w:b/>
          <w:color w:val="000000"/>
          <w:kern w:val="2"/>
          <w:sz w:val="30"/>
          <w:szCs w:val="30"/>
          <w:highlight w:val="none"/>
        </w:rPr>
        <w:t>授权委托书</w:t>
      </w:r>
    </w:p>
    <w:p w14:paraId="0B4F2570">
      <w:pPr>
        <w:rPr>
          <w:rFonts w:ascii="宋体" w:hAnsi="宋体"/>
          <w:kern w:val="2"/>
          <w:sz w:val="32"/>
          <w:szCs w:val="32"/>
          <w:highlight w:val="none"/>
        </w:rPr>
      </w:pPr>
    </w:p>
    <w:p w14:paraId="02F8FB2A">
      <w:pPr>
        <w:snapToGrid w:val="0"/>
        <w:spacing w:line="360" w:lineRule="auto"/>
        <w:rPr>
          <w:rFonts w:ascii="宋体" w:hAnsi="Times New Roman"/>
          <w:kern w:val="2"/>
          <w:sz w:val="24"/>
          <w:szCs w:val="24"/>
          <w:highlight w:val="none"/>
          <w:u w:val="single"/>
        </w:rPr>
      </w:pPr>
      <w:r>
        <w:rPr>
          <w:rFonts w:hint="eastAsia" w:ascii="宋体" w:hAnsi="宋体" w:cs="宋体"/>
          <w:kern w:val="2"/>
          <w:sz w:val="24"/>
          <w:szCs w:val="24"/>
          <w:highlight w:val="none"/>
          <w:u w:val="single"/>
          <w:lang w:eastAsia="zh-CN"/>
        </w:rPr>
        <w:t>南通公安大病特困救助基金会</w:t>
      </w:r>
      <w:r>
        <w:rPr>
          <w:rFonts w:hint="eastAsia" w:ascii="宋体" w:hAnsi="宋体" w:cs="宋体"/>
          <w:kern w:val="2"/>
          <w:sz w:val="24"/>
          <w:szCs w:val="24"/>
          <w:highlight w:val="none"/>
          <w:u w:val="single"/>
        </w:rPr>
        <w:t>：</w:t>
      </w:r>
    </w:p>
    <w:p w14:paraId="4DA28949">
      <w:pPr>
        <w:snapToGrid w:val="0"/>
        <w:spacing w:line="360" w:lineRule="auto"/>
        <w:ind w:firstLine="484" w:firstLineChars="202"/>
        <w:textAlignment w:val="baseline"/>
        <w:rPr>
          <w:rFonts w:ascii="Times New Roman" w:hAnsi="Times New Roman"/>
          <w:kern w:val="2"/>
          <w:sz w:val="24"/>
          <w:szCs w:val="24"/>
        </w:rPr>
      </w:pPr>
      <w:r>
        <w:rPr>
          <w:rFonts w:hint="eastAsia" w:ascii="Times New Roman" w:hAnsi="Times New Roman" w:cs="宋体"/>
          <w:kern w:val="2"/>
          <w:sz w:val="24"/>
          <w:szCs w:val="24"/>
          <w:highlight w:val="none"/>
        </w:rPr>
        <w:t>本授权委托书声明：我</w:t>
      </w:r>
      <w:r>
        <w:rPr>
          <w:rFonts w:hint="eastAsia" w:ascii="Times New Roman" w:hAnsi="Times New Roman" w:cs="宋体"/>
          <w:kern w:val="2"/>
          <w:sz w:val="24"/>
          <w:szCs w:val="24"/>
          <w:highlight w:val="none"/>
          <w:u w:val="single" w:color="000000"/>
        </w:rPr>
        <w:t>　</w:t>
      </w:r>
      <w:r>
        <w:rPr>
          <w:rFonts w:hint="eastAsia" w:ascii="Times New Roman" w:hAnsi="Times New Roman" w:cs="宋体"/>
          <w:kern w:val="2"/>
          <w:sz w:val="24"/>
          <w:szCs w:val="24"/>
          <w:highlight w:val="none"/>
        </w:rPr>
        <w:t>（姓名）系</w:t>
      </w:r>
      <w:r>
        <w:rPr>
          <w:rFonts w:hint="eastAsia" w:ascii="Times New Roman" w:hAnsi="Times New Roman" w:cs="宋体"/>
          <w:kern w:val="2"/>
          <w:sz w:val="24"/>
          <w:szCs w:val="24"/>
          <w:highlight w:val="none"/>
          <w:u w:val="single" w:color="000000"/>
        </w:rPr>
        <w:t>　</w:t>
      </w:r>
      <w:r>
        <w:rPr>
          <w:rFonts w:hint="eastAsia" w:ascii="Times New Roman" w:hAnsi="Times New Roman" w:cs="宋体"/>
          <w:kern w:val="2"/>
          <w:sz w:val="24"/>
          <w:szCs w:val="24"/>
          <w:highlight w:val="none"/>
        </w:rPr>
        <w:t>（供应商名称）的法定代表人</w:t>
      </w:r>
      <w:r>
        <w:rPr>
          <w:rFonts w:hint="eastAsia" w:ascii="Times New Roman" w:hAnsi="Times New Roman" w:cs="宋体"/>
          <w:kern w:val="2"/>
          <w:sz w:val="24"/>
          <w:szCs w:val="24"/>
          <w:highlight w:val="none"/>
          <w:lang w:val="en-US" w:eastAsia="zh-CN"/>
        </w:rPr>
        <w:t>/企业负责人</w:t>
      </w:r>
      <w:r>
        <w:rPr>
          <w:rFonts w:hint="eastAsia" w:ascii="Times New Roman" w:hAnsi="Times New Roman" w:cs="宋体"/>
          <w:kern w:val="2"/>
          <w:sz w:val="24"/>
          <w:szCs w:val="24"/>
          <w:highlight w:val="none"/>
        </w:rPr>
        <w:t>，现授权委托</w:t>
      </w:r>
      <w:r>
        <w:rPr>
          <w:rFonts w:hint="eastAsia" w:ascii="Times New Roman" w:hAnsi="Times New Roman" w:cs="宋体"/>
          <w:kern w:val="2"/>
          <w:sz w:val="24"/>
          <w:szCs w:val="24"/>
          <w:highlight w:val="none"/>
          <w:u w:val="single" w:color="000000"/>
        </w:rPr>
        <w:t>　　</w:t>
      </w:r>
      <w:r>
        <w:rPr>
          <w:rFonts w:hint="eastAsia" w:ascii="Times New Roman" w:hAnsi="Times New Roman" w:cs="宋体"/>
          <w:kern w:val="2"/>
          <w:sz w:val="24"/>
          <w:szCs w:val="24"/>
          <w:highlight w:val="none"/>
        </w:rPr>
        <w:t>（姓名）为我公司委托代理人，以本公司的名义参加</w:t>
      </w:r>
      <w:r>
        <w:rPr>
          <w:rFonts w:hint="eastAsia" w:ascii="宋体" w:hAnsi="宋体" w:cs="宋体"/>
          <w:bCs/>
          <w:kern w:val="2"/>
          <w:sz w:val="24"/>
          <w:szCs w:val="21"/>
          <w:highlight w:val="none"/>
          <w:u w:val="single"/>
        </w:rPr>
        <w:t xml:space="preserve">         （项目名称）     【项目编号：】</w:t>
      </w:r>
      <w:r>
        <w:rPr>
          <w:rFonts w:hint="eastAsia" w:ascii="Times New Roman" w:hAnsi="Times New Roman" w:cs="宋体"/>
          <w:kern w:val="2"/>
          <w:sz w:val="24"/>
          <w:szCs w:val="24"/>
          <w:highlight w:val="none"/>
        </w:rPr>
        <w:t>的竞争性磋商响应活动。被授权人在开标、评审磋商活动、合同磋商过程中所签署的一切文件和处理与之有关的一切事务，我均予以承认。</w:t>
      </w:r>
    </w:p>
    <w:p w14:paraId="61246995">
      <w:pPr>
        <w:snapToGrid w:val="0"/>
        <w:spacing w:line="360" w:lineRule="auto"/>
        <w:ind w:firstLine="484" w:firstLineChars="202"/>
        <w:textAlignment w:val="baseline"/>
        <w:rPr>
          <w:rFonts w:ascii="Times New Roman" w:hAnsi="Times New Roman" w:cs="宋体"/>
          <w:kern w:val="2"/>
          <w:sz w:val="24"/>
          <w:szCs w:val="24"/>
        </w:rPr>
      </w:pPr>
      <w:r>
        <w:rPr>
          <w:rFonts w:hint="eastAsia" w:ascii="Times New Roman" w:hAnsi="Times New Roman" w:cs="宋体"/>
          <w:kern w:val="2"/>
          <w:sz w:val="24"/>
          <w:szCs w:val="24"/>
        </w:rPr>
        <w:t>被授权人无转委权。特此委托。</w:t>
      </w:r>
    </w:p>
    <w:p w14:paraId="24735716">
      <w:pPr>
        <w:snapToGrid w:val="0"/>
        <w:spacing w:line="360" w:lineRule="auto"/>
        <w:textAlignment w:val="baseline"/>
        <w:rPr>
          <w:rFonts w:ascii="Times New Roman" w:hAnsi="Times New Roman"/>
          <w:szCs w:val="24"/>
        </w:rPr>
      </w:pPr>
    </w:p>
    <w:p w14:paraId="68E89EA4">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法定代表人</w:t>
      </w:r>
      <w:r>
        <w:rPr>
          <w:rFonts w:hint="eastAsia" w:ascii="Times New Roman" w:hAnsi="Times New Roman" w:cs="宋体"/>
          <w:kern w:val="2"/>
          <w:sz w:val="24"/>
          <w:szCs w:val="24"/>
          <w:lang w:val="en-US" w:eastAsia="zh-CN"/>
        </w:rPr>
        <w:t>/企业负责人</w:t>
      </w:r>
      <w:r>
        <w:rPr>
          <w:rFonts w:hint="eastAsia" w:ascii="Times New Roman" w:hAnsi="Times New Roman" w:cs="宋体"/>
          <w:kern w:val="2"/>
          <w:sz w:val="24"/>
          <w:szCs w:val="24"/>
        </w:rPr>
        <w:t>签字：</w:t>
      </w:r>
    </w:p>
    <w:p w14:paraId="62A08A13">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被授权人身份证号：</w:t>
      </w:r>
    </w:p>
    <w:p w14:paraId="43EFB87A">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被授权人签字：</w:t>
      </w:r>
    </w:p>
    <w:p w14:paraId="5A6E4FB6">
      <w:pPr>
        <w:snapToGrid w:val="0"/>
        <w:spacing w:line="520" w:lineRule="exact"/>
        <w:jc w:val="right"/>
        <w:textAlignment w:val="baseline"/>
        <w:rPr>
          <w:rFonts w:ascii="宋体" w:hAnsi="宋体" w:cs="宋体"/>
          <w:color w:val="000000"/>
          <w:kern w:val="2"/>
          <w:sz w:val="24"/>
          <w:szCs w:val="24"/>
        </w:rPr>
      </w:pPr>
    </w:p>
    <w:p w14:paraId="336C4FD5">
      <w:pPr>
        <w:snapToGrid w:val="0"/>
        <w:spacing w:line="520" w:lineRule="exact"/>
        <w:jc w:val="right"/>
        <w:textAlignment w:val="baseline"/>
        <w:rPr>
          <w:rFonts w:ascii="宋体" w:hAnsi="宋体" w:cs="宋体"/>
          <w:color w:val="000000"/>
          <w:kern w:val="2"/>
          <w:sz w:val="24"/>
          <w:szCs w:val="24"/>
        </w:rPr>
      </w:pPr>
      <w:r>
        <w:rPr>
          <w:rFonts w:hint="eastAsia" w:ascii="宋体" w:hAnsi="宋体" w:cs="宋体"/>
          <w:color w:val="000000"/>
          <w:kern w:val="2"/>
          <w:sz w:val="24"/>
          <w:szCs w:val="24"/>
        </w:rPr>
        <w:t>竞争性磋商响应单位：（加盖公章）</w:t>
      </w:r>
    </w:p>
    <w:p w14:paraId="082483B0">
      <w:pPr>
        <w:snapToGrid w:val="0"/>
        <w:spacing w:line="420" w:lineRule="exact"/>
        <w:ind w:firstLine="484" w:firstLineChars="202"/>
        <w:jc w:val="center"/>
        <w:textAlignment w:val="baseline"/>
        <w:rPr>
          <w:rFonts w:ascii="Times New Roman" w:hAnsi="Times New Roman"/>
          <w:kern w:val="2"/>
          <w:sz w:val="20"/>
          <w:szCs w:val="21"/>
        </w:rPr>
      </w:pPr>
      <w:r>
        <w:rPr>
          <w:rFonts w:hint="eastAsia" w:ascii="宋体" w:hAnsi="宋体" w:cs="宋体"/>
          <w:color w:val="000000"/>
          <w:kern w:val="2"/>
          <w:sz w:val="24"/>
          <w:szCs w:val="24"/>
        </w:rPr>
        <w:t xml:space="preserve">                           日期：  年  月  日</w:t>
      </w:r>
    </w:p>
    <w:p w14:paraId="79227F52">
      <w:pPr>
        <w:snapToGrid w:val="0"/>
        <w:spacing w:line="420" w:lineRule="exact"/>
        <w:ind w:firstLine="404" w:firstLineChars="202"/>
        <w:jc w:val="left"/>
        <w:textAlignment w:val="baseline"/>
        <w:rPr>
          <w:rFonts w:ascii="Times New Roman" w:hAnsi="Times New Roman"/>
          <w:kern w:val="2"/>
          <w:sz w:val="20"/>
          <w:szCs w:val="21"/>
        </w:rPr>
      </w:pPr>
    </w:p>
    <w:tbl>
      <w:tblPr>
        <w:tblStyle w:val="56"/>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6"/>
      </w:tblGrid>
      <w:tr w14:paraId="1008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32E16D84">
            <w:pPr>
              <w:snapToGrid w:val="0"/>
              <w:spacing w:line="420" w:lineRule="exact"/>
              <w:ind w:firstLine="404" w:firstLineChars="202"/>
              <w:jc w:val="left"/>
              <w:textAlignment w:val="baseline"/>
              <w:rPr>
                <w:rFonts w:ascii="Times New Roman" w:hAnsi="Times New Roman"/>
                <w:kern w:val="2"/>
                <w:sz w:val="20"/>
              </w:rPr>
            </w:pPr>
          </w:p>
          <w:p w14:paraId="3D032354">
            <w:pPr>
              <w:snapToGrid w:val="0"/>
              <w:spacing w:line="420" w:lineRule="exact"/>
              <w:jc w:val="center"/>
              <w:textAlignment w:val="baseline"/>
              <w:rPr>
                <w:rFonts w:ascii="Times New Roman" w:hAnsi="Times New Roman"/>
                <w:b/>
                <w:bCs/>
                <w:kern w:val="2"/>
                <w:sz w:val="20"/>
              </w:rPr>
            </w:pPr>
            <w:r>
              <w:rPr>
                <w:rFonts w:hint="eastAsia" w:ascii="Times New Roman" w:hAnsi="Times New Roman" w:cs="宋体"/>
                <w:b/>
                <w:bCs/>
                <w:kern w:val="2"/>
              </w:rPr>
              <w:t>被授权人身份证</w:t>
            </w:r>
            <w:r>
              <w:rPr>
                <w:rFonts w:hint="eastAsia" w:ascii="Times New Roman" w:hAnsi="Times New Roman" w:cs="宋体"/>
                <w:b/>
                <w:kern w:val="2"/>
              </w:rPr>
              <w:t>（正、反面）</w:t>
            </w:r>
            <w:r>
              <w:rPr>
                <w:rFonts w:hint="eastAsia" w:ascii="Times New Roman" w:hAnsi="Times New Roman" w:cs="宋体"/>
                <w:b/>
                <w:bCs/>
                <w:kern w:val="2"/>
              </w:rPr>
              <w:t>复印件或扫描件</w:t>
            </w:r>
          </w:p>
          <w:p w14:paraId="733CC12F">
            <w:pPr>
              <w:snapToGrid w:val="0"/>
              <w:spacing w:line="420" w:lineRule="exact"/>
              <w:jc w:val="center"/>
              <w:textAlignment w:val="baseline"/>
              <w:rPr>
                <w:rFonts w:ascii="Times New Roman" w:hAnsi="Times New Roman"/>
                <w:b/>
                <w:bCs/>
                <w:kern w:val="2"/>
                <w:sz w:val="20"/>
              </w:rPr>
            </w:pPr>
          </w:p>
          <w:p w14:paraId="4D38ED53">
            <w:pPr>
              <w:snapToGrid w:val="0"/>
              <w:spacing w:line="420" w:lineRule="exact"/>
              <w:jc w:val="center"/>
              <w:textAlignment w:val="baseline"/>
              <w:rPr>
                <w:rFonts w:ascii="Times New Roman" w:hAnsi="Times New Roman"/>
                <w:b/>
                <w:bCs/>
                <w:kern w:val="2"/>
                <w:sz w:val="20"/>
              </w:rPr>
            </w:pPr>
          </w:p>
          <w:p w14:paraId="31ECDD0D">
            <w:pPr>
              <w:snapToGrid w:val="0"/>
              <w:spacing w:line="420" w:lineRule="exact"/>
              <w:jc w:val="center"/>
              <w:textAlignment w:val="baseline"/>
              <w:rPr>
                <w:rFonts w:ascii="Times New Roman" w:hAnsi="Times New Roman"/>
                <w:kern w:val="2"/>
                <w:sz w:val="20"/>
              </w:rPr>
            </w:pPr>
          </w:p>
          <w:p w14:paraId="0955A138">
            <w:pPr>
              <w:snapToGrid w:val="0"/>
              <w:spacing w:line="420" w:lineRule="exact"/>
              <w:jc w:val="center"/>
              <w:textAlignment w:val="baseline"/>
              <w:rPr>
                <w:rFonts w:ascii="Times New Roman" w:hAnsi="Times New Roman"/>
                <w:kern w:val="2"/>
                <w:sz w:val="20"/>
              </w:rPr>
            </w:pPr>
          </w:p>
        </w:tc>
      </w:tr>
    </w:tbl>
    <w:p w14:paraId="2D5C7CCC">
      <w:pPr>
        <w:snapToGrid w:val="0"/>
        <w:spacing w:line="420" w:lineRule="exact"/>
        <w:jc w:val="center"/>
        <w:textAlignment w:val="baseline"/>
        <w:rPr>
          <w:rFonts w:ascii="Times New Roman" w:hAnsi="Times New Roman"/>
          <w:kern w:val="2"/>
          <w:sz w:val="20"/>
          <w:szCs w:val="21"/>
        </w:rPr>
      </w:pPr>
    </w:p>
    <w:p w14:paraId="5F5B7BA8">
      <w:pPr>
        <w:snapToGrid w:val="0"/>
        <w:spacing w:line="420" w:lineRule="exact"/>
        <w:jc w:val="center"/>
        <w:textAlignment w:val="baseline"/>
        <w:rPr>
          <w:rFonts w:ascii="Times New Roman" w:hAnsi="Times New Roman"/>
          <w:kern w:val="2"/>
          <w:sz w:val="20"/>
          <w:szCs w:val="21"/>
        </w:rPr>
      </w:pPr>
    </w:p>
    <w:p w14:paraId="188C68A4">
      <w:pPr>
        <w:snapToGrid w:val="0"/>
        <w:spacing w:line="400" w:lineRule="exact"/>
        <w:ind w:firstLine="540" w:firstLineChars="192"/>
        <w:contextualSpacing/>
        <w:rPr>
          <w:rFonts w:ascii="宋体" w:hAnsi="宋体" w:cs="宋体"/>
          <w:b/>
          <w:sz w:val="28"/>
          <w:szCs w:val="28"/>
        </w:rPr>
      </w:pPr>
    </w:p>
    <w:p w14:paraId="32CB75E1">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2"/>
          <w:highlight w:val="none"/>
        </w:rPr>
      </w:pPr>
      <w:r>
        <w:rPr>
          <w:rFonts w:ascii="宋体" w:hAnsi="宋体"/>
          <w:sz w:val="32"/>
          <w:szCs w:val="32"/>
        </w:rPr>
        <w:br w:type="page"/>
      </w:r>
      <w:r>
        <w:rPr>
          <w:rFonts w:hint="eastAsia" w:ascii="宋体" w:hAnsi="宋体" w:cs="宋体"/>
          <w:b/>
          <w:sz w:val="32"/>
          <w:szCs w:val="32"/>
          <w:highlight w:val="none"/>
          <w:lang w:eastAsia="zh-CN" w:bidi="ar"/>
        </w:rPr>
        <w:t>投</w:t>
      </w:r>
      <w:r>
        <w:rPr>
          <w:rFonts w:hint="eastAsia" w:ascii="宋体" w:hAnsi="宋体" w:eastAsia="宋体" w:cs="宋体"/>
          <w:b/>
          <w:sz w:val="32"/>
          <w:szCs w:val="32"/>
          <w:highlight w:val="none"/>
          <w:lang w:eastAsia="zh-CN" w:bidi="ar"/>
        </w:rPr>
        <w:t>标人</w:t>
      </w:r>
      <w:r>
        <w:rPr>
          <w:rFonts w:hint="eastAsia" w:ascii="宋体" w:hAnsi="宋体" w:eastAsia="宋体" w:cs="宋体"/>
          <w:b/>
          <w:sz w:val="32"/>
          <w:szCs w:val="32"/>
          <w:highlight w:val="none"/>
          <w:lang w:val="en-US" w:eastAsia="zh-CN" w:bidi="ar"/>
        </w:rPr>
        <w:t>诚信</w:t>
      </w:r>
      <w:r>
        <w:rPr>
          <w:rFonts w:hint="eastAsia" w:ascii="宋体" w:hAnsi="宋体" w:eastAsia="宋体" w:cs="宋体"/>
          <w:b/>
          <w:sz w:val="32"/>
          <w:szCs w:val="32"/>
          <w:highlight w:val="none"/>
          <w:lang w:eastAsia="zh-CN" w:bidi="ar"/>
        </w:rPr>
        <w:t>承诺书</w:t>
      </w:r>
    </w:p>
    <w:p w14:paraId="120F6302">
      <w:pPr>
        <w:overflowPunct w:val="0"/>
        <w:adjustRightInd w:val="0"/>
        <w:spacing w:line="360" w:lineRule="auto"/>
        <w:ind w:firstLine="420"/>
        <w:jc w:val="center"/>
        <w:textAlignment w:val="baseline"/>
        <w:rPr>
          <w:rFonts w:hint="eastAsia" w:ascii="宋体" w:hAnsi="宋体" w:eastAsia="宋体" w:cs="宋体"/>
          <w:color w:val="auto"/>
          <w:sz w:val="24"/>
          <w:szCs w:val="21"/>
          <w:highlight w:val="none"/>
        </w:rPr>
      </w:pPr>
    </w:p>
    <w:p w14:paraId="40AB60AE">
      <w:pPr>
        <w:overflowPunct w:val="0"/>
        <w:adjustRightInd w:val="0"/>
        <w:spacing w:line="360" w:lineRule="auto"/>
        <w:jc w:val="left"/>
        <w:textAlignment w:val="baseline"/>
        <w:rPr>
          <w:rFonts w:hint="eastAsia" w:ascii="宋体" w:hAnsi="宋体" w:eastAsia="宋体" w:cs="宋体"/>
          <w:color w:val="auto"/>
          <w:sz w:val="24"/>
          <w:szCs w:val="21"/>
          <w:highlight w:val="none"/>
          <w:u w:val="single"/>
        </w:rPr>
      </w:pPr>
      <w:r>
        <w:rPr>
          <w:rFonts w:hint="eastAsia" w:ascii="宋体" w:hAnsi="宋体" w:cs="宋体"/>
          <w:kern w:val="2"/>
          <w:sz w:val="24"/>
          <w:szCs w:val="24"/>
          <w:u w:val="single"/>
          <w:lang w:eastAsia="zh-CN"/>
        </w:rPr>
        <w:t>南通公安大病特困救助基金会</w:t>
      </w:r>
      <w:r>
        <w:rPr>
          <w:rFonts w:hint="eastAsia" w:ascii="宋体" w:hAnsi="宋体" w:eastAsia="宋体" w:cs="宋体"/>
          <w:color w:val="auto"/>
          <w:sz w:val="24"/>
          <w:szCs w:val="21"/>
          <w:highlight w:val="none"/>
          <w:u w:val="single"/>
        </w:rPr>
        <w:t>：</w:t>
      </w:r>
    </w:p>
    <w:p w14:paraId="335801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我单位在参加贵单位组织的</w:t>
      </w:r>
      <w:r>
        <w:rPr>
          <w:rFonts w:hint="eastAsia" w:ascii="宋体" w:hAnsi="宋体" w:eastAsia="宋体" w:cs="宋体"/>
          <w:color w:val="auto"/>
          <w:sz w:val="24"/>
          <w:szCs w:val="24"/>
          <w:highlight w:val="none"/>
          <w:u w:val="single"/>
        </w:rPr>
        <w:t xml:space="preserve">             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活动中，郑重承诺如下：</w:t>
      </w:r>
    </w:p>
    <w:p w14:paraId="3FC1DB88">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1、我方申报的所有资料都是真实、准确、完整的；</w:t>
      </w:r>
    </w:p>
    <w:p w14:paraId="7290968B">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2、我方无资质挂靠或参与串标、围标、及抬标情形；</w:t>
      </w:r>
    </w:p>
    <w:p w14:paraId="58D648D6">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3、我方没有被各级行政主管部门做出停止市场行为的处罚；</w:t>
      </w:r>
    </w:p>
    <w:p w14:paraId="3B2EA898">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，将严格按照规定及时与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w:t>
      </w:r>
    </w:p>
    <w:p w14:paraId="2E7BC757">
      <w:pPr>
        <w:keepNext w:val="0"/>
        <w:keepLines w:val="0"/>
        <w:pageBreakBefore w:val="0"/>
        <w:widowControl w:val="0"/>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，将严格按照</w:t>
      </w:r>
      <w:r>
        <w:rPr>
          <w:rFonts w:hint="eastAsia" w:ascii="宋体" w:hAnsi="宋体" w:eastAsia="宋体" w:cs="宋体"/>
          <w:color w:val="auto"/>
          <w:sz w:val="24"/>
          <w:szCs w:val="24"/>
          <w:highlight w:val="none"/>
          <w:lang w:val="en-US" w:eastAsia="zh-CN"/>
        </w:rPr>
        <w:t>招标文件要求及投标</w:t>
      </w:r>
      <w:r>
        <w:rPr>
          <w:rFonts w:hint="eastAsia" w:ascii="宋体" w:hAnsi="宋体" w:eastAsia="宋体" w:cs="宋体"/>
          <w:color w:val="auto"/>
          <w:sz w:val="24"/>
          <w:szCs w:val="24"/>
          <w:highlight w:val="none"/>
        </w:rPr>
        <w:t>文件所承诺的报价、质量、</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期等内容组织实施；</w:t>
      </w:r>
    </w:p>
    <w:p w14:paraId="7A5F2319">
      <w:pPr>
        <w:overflowPunct w:val="0"/>
        <w:adjustRightInd w:val="0"/>
        <w:spacing w:line="360" w:lineRule="auto"/>
        <w:ind w:firstLine="420"/>
        <w:jc w:val="left"/>
        <w:textAlignment w:val="baseline"/>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若我方违反上述承诺，隐瞒、提供虚假资料或不按</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文件要求组织实施，被贵方发现或被他人举报查实，无条件接受</w:t>
      </w:r>
      <w:r>
        <w:rPr>
          <w:rFonts w:hint="eastAsia" w:ascii="宋体" w:hAnsi="宋体" w:eastAsia="宋体" w:cs="宋体"/>
          <w:color w:val="auto"/>
          <w:sz w:val="24"/>
          <w:szCs w:val="24"/>
          <w:highlight w:val="none"/>
          <w:lang w:val="en-US" w:eastAsia="zh-CN"/>
        </w:rPr>
        <w:t>贵方</w:t>
      </w:r>
      <w:r>
        <w:rPr>
          <w:rFonts w:hint="eastAsia" w:ascii="宋体" w:hAnsi="宋体" w:eastAsia="宋体" w:cs="宋体"/>
          <w:color w:val="auto"/>
          <w:sz w:val="24"/>
          <w:szCs w:val="24"/>
          <w:highlight w:val="none"/>
        </w:rPr>
        <w:t>做出的取消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并不予退还</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w:t>
      </w:r>
      <w:r>
        <w:rPr>
          <w:rFonts w:hint="eastAsia" w:ascii="宋体" w:hAnsi="宋体" w:eastAsia="宋体" w:cs="宋体"/>
          <w:color w:val="auto"/>
          <w:sz w:val="24"/>
          <w:szCs w:val="24"/>
          <w:highlight w:val="none"/>
          <w:lang w:val="en-US" w:eastAsia="zh-CN"/>
        </w:rPr>
        <w:t>或履约保证金</w:t>
      </w:r>
      <w:r>
        <w:rPr>
          <w:rFonts w:hint="eastAsia" w:ascii="宋体" w:hAnsi="宋体" w:eastAsia="宋体" w:cs="宋体"/>
          <w:color w:val="auto"/>
          <w:sz w:val="24"/>
          <w:szCs w:val="24"/>
          <w:highlight w:val="none"/>
        </w:rPr>
        <w:t>、不良行为记录、限制一定期限内参加采购活动等处罚。对造成的损失，任何法律和经济责任完全由我方负责。</w:t>
      </w:r>
    </w:p>
    <w:p w14:paraId="38D5089F">
      <w:pPr>
        <w:overflowPunct w:val="0"/>
        <w:adjustRightInd w:val="0"/>
        <w:spacing w:line="360" w:lineRule="auto"/>
        <w:ind w:firstLine="420"/>
        <w:jc w:val="left"/>
        <w:textAlignment w:val="baseline"/>
        <w:rPr>
          <w:rFonts w:hint="eastAsia" w:ascii="宋体" w:hAnsi="宋体" w:eastAsia="宋体" w:cs="宋体"/>
          <w:color w:val="auto"/>
          <w:sz w:val="24"/>
          <w:szCs w:val="21"/>
          <w:highlight w:val="none"/>
        </w:rPr>
      </w:pPr>
    </w:p>
    <w:p w14:paraId="0980C21E">
      <w:pPr>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 xml:space="preserve">             </w:t>
      </w:r>
      <w:r>
        <w:rPr>
          <w:rFonts w:hint="eastAsia" w:ascii="宋体" w:hAnsi="宋体" w:cs="宋体"/>
          <w:color w:val="000000"/>
          <w:kern w:val="2"/>
          <w:sz w:val="24"/>
          <w:szCs w:val="24"/>
        </w:rPr>
        <w:t>竞争性磋商响应单位：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（加盖公章）</w:t>
      </w:r>
    </w:p>
    <w:p w14:paraId="4B4BBA67">
      <w:pPr>
        <w:spacing w:line="48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w:t>
      </w:r>
      <w:r>
        <w:rPr>
          <w:rFonts w:hint="eastAsia" w:ascii="Times New Roman" w:hAnsi="Times New Roman" w:cs="宋体"/>
          <w:kern w:val="2"/>
          <w:sz w:val="24"/>
          <w:szCs w:val="24"/>
          <w:highlight w:val="none"/>
          <w:lang w:val="en-US" w:eastAsia="zh-CN"/>
        </w:rPr>
        <w:t>企业负责人或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2C6BF7F">
      <w:pPr>
        <w:snapToGrid w:val="0"/>
        <w:spacing w:line="520" w:lineRule="exact"/>
        <w:jc w:val="center"/>
        <w:rPr>
          <w:rFonts w:ascii="宋体" w:hAnsi="宋体" w:cs="宋体"/>
          <w:color w:val="000000"/>
          <w:sz w:val="24"/>
          <w:szCs w:val="24"/>
          <w:highlight w:val="none"/>
        </w:rPr>
      </w:pPr>
      <w:r>
        <w:rPr>
          <w:rFonts w:hint="eastAsia" w:ascii="宋体" w:hAnsi="宋体" w:eastAsia="宋体" w:cs="宋体"/>
          <w:color w:val="auto"/>
          <w:sz w:val="24"/>
          <w:szCs w:val="24"/>
          <w:highlight w:val="none"/>
        </w:rPr>
        <w:t>年      月     日</w:t>
      </w:r>
    </w:p>
    <w:p w14:paraId="6B63082F">
      <w:pPr>
        <w:snapToGrid w:val="0"/>
        <w:spacing w:line="520" w:lineRule="exact"/>
        <w:jc w:val="center"/>
        <w:rPr>
          <w:rFonts w:ascii="宋体" w:hAnsi="Times New Roman"/>
          <w:kern w:val="2"/>
          <w:sz w:val="24"/>
          <w:szCs w:val="24"/>
        </w:rPr>
      </w:pPr>
    </w:p>
    <w:p w14:paraId="0718536C">
      <w:pPr>
        <w:snapToGrid w:val="0"/>
        <w:spacing w:line="520" w:lineRule="exact"/>
        <w:jc w:val="center"/>
        <w:outlineLvl w:val="3"/>
        <w:rPr>
          <w:rFonts w:ascii="宋体" w:hAnsi="Times New Roman"/>
          <w:b/>
          <w:bCs/>
          <w:kern w:val="2"/>
          <w:sz w:val="28"/>
          <w:szCs w:val="28"/>
        </w:rPr>
      </w:pPr>
    </w:p>
    <w:p w14:paraId="77EA0C44">
      <w:pPr>
        <w:tabs>
          <w:tab w:val="left" w:pos="5665"/>
          <w:tab w:val="right" w:pos="8360"/>
        </w:tabs>
        <w:snapToGrid w:val="0"/>
        <w:spacing w:line="360" w:lineRule="auto"/>
        <w:ind w:right="42"/>
        <w:jc w:val="center"/>
        <w:textAlignment w:val="baseline"/>
        <w:rPr>
          <w:rFonts w:ascii="宋体" w:hAnsi="宋体" w:cs="宋体"/>
          <w:kern w:val="2"/>
          <w:sz w:val="28"/>
          <w:szCs w:val="28"/>
        </w:rPr>
      </w:pPr>
      <w:r>
        <w:rPr>
          <w:rFonts w:ascii="宋体" w:hAnsi="宋体" w:cs="宋体"/>
          <w:b/>
          <w:bCs/>
          <w:kern w:val="2"/>
          <w:sz w:val="28"/>
          <w:szCs w:val="28"/>
        </w:rPr>
        <w:br w:type="page"/>
      </w:r>
    </w:p>
    <w:p w14:paraId="6309EBD0">
      <w:pPr>
        <w:snapToGrid w:val="0"/>
        <w:spacing w:line="300" w:lineRule="auto"/>
        <w:contextualSpacing/>
        <w:jc w:val="center"/>
        <w:rPr>
          <w:rFonts w:ascii="宋体" w:hAnsi="宋体"/>
          <w:b/>
          <w:kern w:val="2"/>
          <w:sz w:val="32"/>
          <w:szCs w:val="32"/>
        </w:rPr>
      </w:pPr>
      <w:r>
        <w:rPr>
          <w:rFonts w:hint="eastAsia" w:ascii="宋体" w:hAnsi="宋体"/>
          <w:b/>
          <w:kern w:val="2"/>
          <w:sz w:val="32"/>
          <w:szCs w:val="32"/>
        </w:rPr>
        <w:t>商务部分正负偏离表</w:t>
      </w:r>
    </w:p>
    <w:p w14:paraId="1FDD025D">
      <w:pPr>
        <w:ind w:firstLine="560" w:firstLineChars="200"/>
        <w:jc w:val="center"/>
        <w:rPr>
          <w:rFonts w:ascii="宋体" w:hAnsi="宋体"/>
          <w:kern w:val="2"/>
          <w:sz w:val="28"/>
          <w:szCs w:val="28"/>
        </w:rPr>
      </w:pPr>
      <w:r>
        <w:rPr>
          <w:rFonts w:hint="eastAsia" w:ascii="宋体" w:hAnsi="宋体"/>
          <w:kern w:val="2"/>
          <w:sz w:val="28"/>
          <w:szCs w:val="28"/>
        </w:rPr>
        <w:t>（由供应商据实填写，表格不够自行添加）</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2498"/>
        <w:gridCol w:w="2182"/>
        <w:gridCol w:w="2815"/>
        <w:gridCol w:w="1550"/>
      </w:tblGrid>
      <w:tr w14:paraId="5E157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917" w:type="dxa"/>
            <w:tcBorders>
              <w:top w:val="single" w:color="auto" w:sz="12" w:space="0"/>
              <w:left w:val="single" w:color="auto" w:sz="12" w:space="0"/>
              <w:bottom w:val="single" w:color="auto" w:sz="6" w:space="0"/>
              <w:right w:val="single" w:color="auto" w:sz="6" w:space="0"/>
            </w:tcBorders>
            <w:vAlign w:val="center"/>
          </w:tcPr>
          <w:p w14:paraId="5D2B9C04">
            <w:pPr>
              <w:spacing w:line="340" w:lineRule="exact"/>
              <w:jc w:val="center"/>
              <w:rPr>
                <w:rFonts w:ascii="宋体" w:hAnsi="宋体"/>
                <w:kern w:val="2"/>
                <w:sz w:val="24"/>
                <w:szCs w:val="24"/>
              </w:rPr>
            </w:pPr>
            <w:r>
              <w:rPr>
                <w:rFonts w:hint="eastAsia" w:ascii="宋体" w:hAnsi="宋体"/>
                <w:kern w:val="2"/>
                <w:sz w:val="24"/>
                <w:szCs w:val="24"/>
              </w:rPr>
              <w:t>序号</w:t>
            </w:r>
          </w:p>
        </w:tc>
        <w:tc>
          <w:tcPr>
            <w:tcW w:w="2498" w:type="dxa"/>
            <w:tcBorders>
              <w:top w:val="single" w:color="auto" w:sz="12" w:space="0"/>
              <w:left w:val="single" w:color="auto" w:sz="6" w:space="0"/>
              <w:bottom w:val="single" w:color="auto" w:sz="6" w:space="0"/>
              <w:right w:val="single" w:color="auto" w:sz="6" w:space="0"/>
            </w:tcBorders>
            <w:vAlign w:val="center"/>
          </w:tcPr>
          <w:p w14:paraId="20B029B1">
            <w:pPr>
              <w:spacing w:line="340" w:lineRule="exact"/>
              <w:jc w:val="center"/>
              <w:rPr>
                <w:rFonts w:ascii="宋体" w:hAnsi="宋体"/>
                <w:kern w:val="2"/>
                <w:sz w:val="24"/>
                <w:szCs w:val="24"/>
              </w:rPr>
            </w:pPr>
            <w:r>
              <w:rPr>
                <w:rFonts w:hint="eastAsia" w:ascii="宋体" w:hAnsi="宋体"/>
                <w:kern w:val="2"/>
                <w:sz w:val="24"/>
                <w:szCs w:val="24"/>
              </w:rPr>
              <w:t>货物或服务名称</w:t>
            </w:r>
          </w:p>
        </w:tc>
        <w:tc>
          <w:tcPr>
            <w:tcW w:w="2182" w:type="dxa"/>
            <w:tcBorders>
              <w:top w:val="single" w:color="auto" w:sz="12" w:space="0"/>
              <w:left w:val="single" w:color="auto" w:sz="6" w:space="0"/>
              <w:bottom w:val="single" w:color="auto" w:sz="6" w:space="0"/>
              <w:right w:val="single" w:color="auto" w:sz="6" w:space="0"/>
            </w:tcBorders>
            <w:vAlign w:val="center"/>
          </w:tcPr>
          <w:p w14:paraId="70061789">
            <w:pPr>
              <w:spacing w:line="340" w:lineRule="exact"/>
              <w:jc w:val="center"/>
              <w:rPr>
                <w:rFonts w:ascii="宋体" w:hAnsi="宋体"/>
                <w:kern w:val="2"/>
                <w:sz w:val="24"/>
                <w:szCs w:val="24"/>
              </w:rPr>
            </w:pPr>
            <w:r>
              <w:rPr>
                <w:rFonts w:hint="eastAsia" w:ascii="宋体" w:hAnsi="宋体"/>
                <w:kern w:val="2"/>
                <w:sz w:val="24"/>
                <w:szCs w:val="24"/>
              </w:rPr>
              <w:t>磋商文件要求的商务条款</w:t>
            </w:r>
          </w:p>
        </w:tc>
        <w:tc>
          <w:tcPr>
            <w:tcW w:w="2815" w:type="dxa"/>
            <w:tcBorders>
              <w:top w:val="single" w:color="auto" w:sz="12" w:space="0"/>
              <w:left w:val="single" w:color="auto" w:sz="6" w:space="0"/>
              <w:bottom w:val="single" w:color="auto" w:sz="6" w:space="0"/>
              <w:right w:val="single" w:color="auto" w:sz="6" w:space="0"/>
            </w:tcBorders>
            <w:vAlign w:val="center"/>
          </w:tcPr>
          <w:p w14:paraId="6FAC09F1">
            <w:pPr>
              <w:spacing w:line="340" w:lineRule="exact"/>
              <w:jc w:val="center"/>
              <w:rPr>
                <w:rFonts w:ascii="宋体" w:hAnsi="宋体"/>
                <w:kern w:val="2"/>
                <w:sz w:val="24"/>
                <w:szCs w:val="24"/>
              </w:rPr>
            </w:pPr>
            <w:r>
              <w:rPr>
                <w:rFonts w:hint="eastAsia" w:ascii="宋体" w:hAnsi="宋体"/>
                <w:kern w:val="2"/>
                <w:sz w:val="24"/>
                <w:szCs w:val="24"/>
              </w:rPr>
              <w:t>响应文件响应情况</w:t>
            </w:r>
          </w:p>
        </w:tc>
        <w:tc>
          <w:tcPr>
            <w:tcW w:w="1550" w:type="dxa"/>
            <w:tcBorders>
              <w:top w:val="single" w:color="auto" w:sz="12" w:space="0"/>
              <w:left w:val="single" w:color="auto" w:sz="6" w:space="0"/>
              <w:bottom w:val="single" w:color="auto" w:sz="6" w:space="0"/>
              <w:right w:val="single" w:color="auto" w:sz="12" w:space="0"/>
            </w:tcBorders>
          </w:tcPr>
          <w:p w14:paraId="37DDB121">
            <w:pPr>
              <w:spacing w:line="340" w:lineRule="exact"/>
              <w:jc w:val="center"/>
              <w:rPr>
                <w:rFonts w:ascii="宋体" w:hAnsi="宋体"/>
                <w:kern w:val="2"/>
                <w:sz w:val="24"/>
                <w:szCs w:val="24"/>
              </w:rPr>
            </w:pPr>
          </w:p>
          <w:p w14:paraId="0A6EB5F8">
            <w:pPr>
              <w:spacing w:line="340" w:lineRule="exact"/>
              <w:jc w:val="center"/>
              <w:rPr>
                <w:rFonts w:ascii="宋体" w:hAnsi="宋体"/>
                <w:kern w:val="2"/>
                <w:sz w:val="24"/>
                <w:szCs w:val="24"/>
              </w:rPr>
            </w:pPr>
            <w:r>
              <w:rPr>
                <w:rFonts w:hint="eastAsia" w:ascii="宋体" w:hAnsi="宋体"/>
                <w:kern w:val="2"/>
                <w:sz w:val="24"/>
                <w:szCs w:val="24"/>
              </w:rPr>
              <w:t>偏离说明</w:t>
            </w:r>
          </w:p>
        </w:tc>
      </w:tr>
      <w:tr w14:paraId="6D3E1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917" w:type="dxa"/>
            <w:tcBorders>
              <w:top w:val="single" w:color="auto" w:sz="6" w:space="0"/>
              <w:left w:val="single" w:color="auto" w:sz="12" w:space="0"/>
              <w:bottom w:val="single" w:color="auto" w:sz="6" w:space="0"/>
              <w:right w:val="single" w:color="auto" w:sz="6" w:space="0"/>
            </w:tcBorders>
          </w:tcPr>
          <w:p w14:paraId="3FB4B23A">
            <w:pPr>
              <w:spacing w:line="340" w:lineRule="exact"/>
              <w:jc w:val="center"/>
              <w:rPr>
                <w:rFonts w:ascii="宋体" w:hAnsi="宋体"/>
                <w:kern w:val="2"/>
                <w:sz w:val="24"/>
                <w:szCs w:val="24"/>
              </w:rPr>
            </w:pPr>
            <w:r>
              <w:rPr>
                <w:rFonts w:hint="eastAsia" w:ascii="宋体" w:hAnsi="宋体"/>
                <w:kern w:val="2"/>
                <w:sz w:val="24"/>
                <w:szCs w:val="24"/>
              </w:rPr>
              <w:t>1</w:t>
            </w:r>
          </w:p>
        </w:tc>
        <w:tc>
          <w:tcPr>
            <w:tcW w:w="2498" w:type="dxa"/>
            <w:tcBorders>
              <w:top w:val="single" w:color="auto" w:sz="6" w:space="0"/>
              <w:left w:val="single" w:color="auto" w:sz="6" w:space="0"/>
              <w:bottom w:val="single" w:color="auto" w:sz="6" w:space="0"/>
              <w:right w:val="single" w:color="auto" w:sz="6" w:space="0"/>
            </w:tcBorders>
            <w:vAlign w:val="center"/>
          </w:tcPr>
          <w:p w14:paraId="357D1DED">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75978F75">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94A596F">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0A230F34">
            <w:pPr>
              <w:spacing w:line="340" w:lineRule="exact"/>
              <w:jc w:val="left"/>
              <w:rPr>
                <w:rFonts w:ascii="宋体" w:hAnsi="宋体"/>
                <w:kern w:val="2"/>
                <w:sz w:val="24"/>
                <w:szCs w:val="24"/>
              </w:rPr>
            </w:pPr>
          </w:p>
        </w:tc>
      </w:tr>
      <w:tr w14:paraId="34E0D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17" w:type="dxa"/>
            <w:tcBorders>
              <w:top w:val="single" w:color="auto" w:sz="6" w:space="0"/>
              <w:left w:val="single" w:color="auto" w:sz="12" w:space="0"/>
              <w:bottom w:val="single" w:color="auto" w:sz="6" w:space="0"/>
              <w:right w:val="single" w:color="auto" w:sz="6" w:space="0"/>
            </w:tcBorders>
          </w:tcPr>
          <w:p w14:paraId="0DF3095C">
            <w:pPr>
              <w:spacing w:line="340" w:lineRule="exact"/>
              <w:jc w:val="center"/>
              <w:rPr>
                <w:rFonts w:ascii="宋体" w:hAnsi="宋体"/>
                <w:kern w:val="2"/>
                <w:sz w:val="24"/>
                <w:szCs w:val="24"/>
              </w:rPr>
            </w:pPr>
            <w:r>
              <w:rPr>
                <w:rFonts w:hint="eastAsia" w:ascii="宋体" w:hAnsi="宋体"/>
                <w:kern w:val="2"/>
                <w:sz w:val="24"/>
                <w:szCs w:val="24"/>
              </w:rPr>
              <w:t>2</w:t>
            </w:r>
          </w:p>
        </w:tc>
        <w:tc>
          <w:tcPr>
            <w:tcW w:w="2498" w:type="dxa"/>
            <w:tcBorders>
              <w:top w:val="single" w:color="auto" w:sz="6" w:space="0"/>
              <w:left w:val="single" w:color="auto" w:sz="6" w:space="0"/>
              <w:bottom w:val="single" w:color="auto" w:sz="6" w:space="0"/>
              <w:right w:val="single" w:color="auto" w:sz="6" w:space="0"/>
            </w:tcBorders>
            <w:vAlign w:val="center"/>
          </w:tcPr>
          <w:p w14:paraId="70477148">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2A4C3A8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7FFB01CD">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7275DB5C">
            <w:pPr>
              <w:spacing w:line="340" w:lineRule="exact"/>
              <w:jc w:val="left"/>
              <w:rPr>
                <w:rFonts w:ascii="宋体" w:hAnsi="宋体"/>
                <w:kern w:val="2"/>
                <w:sz w:val="24"/>
                <w:szCs w:val="24"/>
              </w:rPr>
            </w:pPr>
          </w:p>
        </w:tc>
      </w:tr>
      <w:tr w14:paraId="68997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17" w:type="dxa"/>
            <w:tcBorders>
              <w:top w:val="single" w:color="auto" w:sz="6" w:space="0"/>
              <w:left w:val="single" w:color="auto" w:sz="12" w:space="0"/>
              <w:bottom w:val="single" w:color="auto" w:sz="6" w:space="0"/>
              <w:right w:val="single" w:color="auto" w:sz="6" w:space="0"/>
            </w:tcBorders>
          </w:tcPr>
          <w:p w14:paraId="748B53BF">
            <w:pPr>
              <w:spacing w:line="340" w:lineRule="exact"/>
              <w:jc w:val="center"/>
              <w:rPr>
                <w:rFonts w:ascii="宋体" w:hAnsi="宋体"/>
                <w:kern w:val="2"/>
                <w:sz w:val="24"/>
                <w:szCs w:val="24"/>
              </w:rPr>
            </w:pPr>
            <w:r>
              <w:rPr>
                <w:rFonts w:hint="eastAsia" w:ascii="宋体" w:hAnsi="宋体"/>
                <w:kern w:val="2"/>
                <w:sz w:val="24"/>
                <w:szCs w:val="24"/>
              </w:rPr>
              <w:t>3</w:t>
            </w:r>
          </w:p>
        </w:tc>
        <w:tc>
          <w:tcPr>
            <w:tcW w:w="2498" w:type="dxa"/>
            <w:tcBorders>
              <w:top w:val="single" w:color="auto" w:sz="6" w:space="0"/>
              <w:left w:val="single" w:color="auto" w:sz="6" w:space="0"/>
              <w:bottom w:val="single" w:color="auto" w:sz="6" w:space="0"/>
              <w:right w:val="single" w:color="auto" w:sz="6" w:space="0"/>
            </w:tcBorders>
            <w:vAlign w:val="center"/>
          </w:tcPr>
          <w:p w14:paraId="40205CA5">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22FBB302">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5D29E404">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31C191BF">
            <w:pPr>
              <w:spacing w:line="340" w:lineRule="exact"/>
              <w:jc w:val="left"/>
              <w:rPr>
                <w:rFonts w:ascii="宋体" w:hAnsi="宋体"/>
                <w:kern w:val="2"/>
                <w:sz w:val="24"/>
                <w:szCs w:val="24"/>
              </w:rPr>
            </w:pPr>
          </w:p>
        </w:tc>
      </w:tr>
      <w:tr w14:paraId="20A6F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17" w:type="dxa"/>
            <w:tcBorders>
              <w:top w:val="single" w:color="auto" w:sz="6" w:space="0"/>
              <w:left w:val="single" w:color="auto" w:sz="12" w:space="0"/>
              <w:bottom w:val="single" w:color="auto" w:sz="6" w:space="0"/>
              <w:right w:val="single" w:color="auto" w:sz="6" w:space="0"/>
            </w:tcBorders>
          </w:tcPr>
          <w:p w14:paraId="2ACB533D">
            <w:pPr>
              <w:spacing w:line="340" w:lineRule="exact"/>
              <w:jc w:val="center"/>
              <w:rPr>
                <w:rFonts w:ascii="宋体" w:hAnsi="宋体"/>
                <w:kern w:val="2"/>
                <w:sz w:val="24"/>
                <w:szCs w:val="24"/>
              </w:rPr>
            </w:pPr>
            <w:r>
              <w:rPr>
                <w:rFonts w:hint="eastAsia" w:ascii="宋体" w:hAnsi="宋体"/>
                <w:kern w:val="2"/>
                <w:sz w:val="24"/>
                <w:szCs w:val="24"/>
              </w:rPr>
              <w:t>4</w:t>
            </w:r>
          </w:p>
        </w:tc>
        <w:tc>
          <w:tcPr>
            <w:tcW w:w="2498" w:type="dxa"/>
            <w:tcBorders>
              <w:top w:val="single" w:color="auto" w:sz="6" w:space="0"/>
              <w:left w:val="single" w:color="auto" w:sz="6" w:space="0"/>
              <w:bottom w:val="single" w:color="auto" w:sz="6" w:space="0"/>
              <w:right w:val="single" w:color="auto" w:sz="6" w:space="0"/>
            </w:tcBorders>
            <w:vAlign w:val="center"/>
          </w:tcPr>
          <w:p w14:paraId="6965F8F3">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7DBD1EC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74FAC6E">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349F9D10">
            <w:pPr>
              <w:spacing w:line="340" w:lineRule="exact"/>
              <w:jc w:val="left"/>
              <w:rPr>
                <w:rFonts w:ascii="宋体" w:hAnsi="宋体"/>
                <w:kern w:val="2"/>
                <w:sz w:val="24"/>
                <w:szCs w:val="24"/>
              </w:rPr>
            </w:pPr>
          </w:p>
        </w:tc>
      </w:tr>
    </w:tbl>
    <w:p w14:paraId="4D8AA973">
      <w:pPr>
        <w:snapToGrid w:val="0"/>
        <w:spacing w:line="300" w:lineRule="auto"/>
        <w:contextualSpacing/>
        <w:rPr>
          <w:rFonts w:ascii="宋体" w:hAnsi="宋体"/>
          <w:b/>
          <w:kern w:val="2"/>
          <w:sz w:val="24"/>
          <w:szCs w:val="24"/>
        </w:rPr>
      </w:pPr>
      <w:r>
        <w:rPr>
          <w:rFonts w:hint="eastAsia" w:ascii="宋体" w:hAnsi="宋体"/>
          <w:b/>
          <w:kern w:val="2"/>
          <w:sz w:val="24"/>
          <w:szCs w:val="24"/>
        </w:rPr>
        <w:t>注：</w:t>
      </w:r>
    </w:p>
    <w:p w14:paraId="34B77BAD">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1.供应商提交的响应文件中与磋商文件第三部分“项目需求”中的商务部分的要求，如有偏离，应逐条填列在偏离表中。</w:t>
      </w:r>
    </w:p>
    <w:p w14:paraId="40068907">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2.“偏离说明”一栏选择“正偏离”、“无偏离”、“负偏离”进行填写。正偏离、无偏离的确认和负偏离的是否响应采购文件，由评委认定。</w:t>
      </w:r>
    </w:p>
    <w:p w14:paraId="21DA4742">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3.供应商如果虚假响应，将被暂停参加采购单位组织的任何采购活动。</w:t>
      </w:r>
    </w:p>
    <w:p w14:paraId="5202A667">
      <w:pPr>
        <w:snapToGrid w:val="0"/>
        <w:spacing w:line="300" w:lineRule="auto"/>
        <w:ind w:firstLine="480" w:firstLineChars="200"/>
        <w:contextualSpacing/>
        <w:rPr>
          <w:rFonts w:ascii="宋体" w:hAnsi="宋体"/>
          <w:bCs/>
          <w:kern w:val="2"/>
          <w:sz w:val="24"/>
          <w:szCs w:val="24"/>
        </w:rPr>
      </w:pPr>
      <w:r>
        <w:rPr>
          <w:rFonts w:hint="eastAsia" w:ascii="宋体" w:hAnsi="宋体"/>
          <w:bCs/>
          <w:kern w:val="2"/>
          <w:sz w:val="24"/>
          <w:szCs w:val="24"/>
        </w:rPr>
        <w:t>4.供应商若提供其他增值服务，可以在表中自行据实填写。</w:t>
      </w:r>
    </w:p>
    <w:p w14:paraId="0B0E7D9E">
      <w:pPr>
        <w:snapToGrid w:val="0"/>
        <w:spacing w:line="400" w:lineRule="exact"/>
        <w:ind w:firstLine="540" w:firstLineChars="192"/>
        <w:contextualSpacing/>
        <w:rPr>
          <w:rFonts w:ascii="宋体" w:hAnsi="宋体" w:cs="宋体"/>
          <w:b/>
          <w:sz w:val="28"/>
          <w:szCs w:val="28"/>
        </w:rPr>
      </w:pPr>
    </w:p>
    <w:p w14:paraId="3FF63EAF">
      <w:pPr>
        <w:snapToGrid w:val="0"/>
        <w:spacing w:line="400" w:lineRule="exact"/>
        <w:ind w:firstLine="540" w:firstLineChars="192"/>
        <w:contextualSpacing/>
        <w:rPr>
          <w:rFonts w:ascii="宋体" w:hAnsi="宋体" w:cs="宋体"/>
          <w:b/>
          <w:sz w:val="28"/>
          <w:szCs w:val="28"/>
        </w:rPr>
      </w:pPr>
    </w:p>
    <w:p w14:paraId="2D191CFB">
      <w:pPr>
        <w:snapToGrid w:val="0"/>
        <w:spacing w:line="400" w:lineRule="exact"/>
        <w:ind w:firstLine="540" w:firstLineChars="192"/>
        <w:contextualSpacing/>
        <w:rPr>
          <w:rFonts w:ascii="宋体" w:hAnsi="宋体" w:cs="宋体"/>
          <w:b/>
          <w:sz w:val="28"/>
          <w:szCs w:val="28"/>
        </w:rPr>
      </w:pPr>
    </w:p>
    <w:p w14:paraId="73732EBB">
      <w:pPr>
        <w:snapToGrid w:val="0"/>
        <w:spacing w:line="400" w:lineRule="exact"/>
        <w:ind w:firstLine="540" w:firstLineChars="192"/>
        <w:contextualSpacing/>
        <w:rPr>
          <w:rFonts w:ascii="宋体" w:hAnsi="宋体" w:cs="宋体"/>
          <w:b/>
          <w:sz w:val="28"/>
          <w:szCs w:val="28"/>
        </w:rPr>
      </w:pPr>
    </w:p>
    <w:p w14:paraId="7A24C8A3">
      <w:pPr>
        <w:snapToGrid w:val="0"/>
        <w:spacing w:line="400" w:lineRule="exact"/>
        <w:ind w:firstLine="540" w:firstLineChars="192"/>
        <w:contextualSpacing/>
        <w:rPr>
          <w:rFonts w:ascii="宋体" w:hAnsi="宋体" w:cs="宋体"/>
          <w:b/>
          <w:sz w:val="28"/>
          <w:szCs w:val="28"/>
          <w:highlight w:val="none"/>
        </w:rPr>
      </w:pPr>
    </w:p>
    <w:p w14:paraId="0FC3A203">
      <w:pPr>
        <w:snapToGrid w:val="0"/>
        <w:spacing w:line="520" w:lineRule="exact"/>
        <w:jc w:val="right"/>
        <w:rPr>
          <w:rFonts w:ascii="宋体" w:hAnsi="Times New Roman"/>
          <w:kern w:val="2"/>
          <w:sz w:val="24"/>
          <w:szCs w:val="24"/>
          <w:highlight w:val="none"/>
        </w:rPr>
      </w:pPr>
      <w:r>
        <w:rPr>
          <w:rFonts w:hint="eastAsia" w:ascii="宋体" w:hAnsi="宋体" w:cs="宋体"/>
          <w:kern w:val="2"/>
          <w:sz w:val="24"/>
          <w:szCs w:val="24"/>
          <w:highlight w:val="none"/>
        </w:rPr>
        <w:t>竞争性磋商响应单位：（加盖公章）</w:t>
      </w:r>
    </w:p>
    <w:p w14:paraId="293C99BB">
      <w:pPr>
        <w:snapToGrid w:val="0"/>
        <w:spacing w:line="520" w:lineRule="exact"/>
        <w:ind w:firstLine="2400" w:firstLineChars="1000"/>
        <w:jc w:val="right"/>
        <w:rPr>
          <w:rFonts w:ascii="宋体" w:hAnsi="Times New Roman"/>
          <w:kern w:val="2"/>
          <w:sz w:val="24"/>
          <w:szCs w:val="24"/>
          <w:highlight w:val="none"/>
        </w:rPr>
      </w:pPr>
      <w:r>
        <w:rPr>
          <w:rFonts w:hint="eastAsia" w:ascii="宋体" w:hAnsi="宋体" w:cs="宋体"/>
          <w:kern w:val="2"/>
          <w:sz w:val="24"/>
          <w:szCs w:val="24"/>
          <w:highlight w:val="none"/>
        </w:rPr>
        <w:t>法定代表人</w:t>
      </w:r>
      <w:r>
        <w:rPr>
          <w:rFonts w:hint="eastAsia" w:ascii="宋体" w:hAnsi="宋体" w:cs="宋体"/>
          <w:kern w:val="2"/>
          <w:sz w:val="24"/>
          <w:szCs w:val="24"/>
          <w:highlight w:val="none"/>
          <w:lang w:val="en-US" w:eastAsia="zh-CN"/>
        </w:rPr>
        <w:t>或</w:t>
      </w:r>
      <w:r>
        <w:rPr>
          <w:rFonts w:hint="eastAsia" w:ascii="Times New Roman" w:hAnsi="Times New Roman" w:cs="宋体"/>
          <w:kern w:val="2"/>
          <w:sz w:val="24"/>
          <w:szCs w:val="24"/>
          <w:highlight w:val="none"/>
          <w:lang w:val="en-US" w:eastAsia="zh-CN"/>
        </w:rPr>
        <w:t>企业负责人</w:t>
      </w:r>
      <w:r>
        <w:rPr>
          <w:rFonts w:hint="eastAsia" w:ascii="宋体" w:hAnsi="宋体" w:cs="宋体"/>
          <w:kern w:val="2"/>
          <w:sz w:val="24"/>
          <w:szCs w:val="24"/>
          <w:highlight w:val="none"/>
        </w:rPr>
        <w:t>：（签字或盖章）</w:t>
      </w:r>
    </w:p>
    <w:p w14:paraId="439E3E0A">
      <w:pPr>
        <w:snapToGrid w:val="0"/>
        <w:spacing w:line="520" w:lineRule="exact"/>
        <w:jc w:val="right"/>
        <w:rPr>
          <w:rFonts w:ascii="宋体" w:hAnsi="Times New Roman"/>
          <w:kern w:val="2"/>
          <w:sz w:val="24"/>
          <w:szCs w:val="24"/>
          <w:highlight w:val="none"/>
        </w:rPr>
      </w:pPr>
      <w:r>
        <w:rPr>
          <w:rFonts w:hint="eastAsia" w:ascii="宋体" w:hAnsi="宋体" w:cs="宋体"/>
          <w:color w:val="000000"/>
          <w:kern w:val="2"/>
          <w:sz w:val="24"/>
          <w:szCs w:val="24"/>
          <w:highlight w:val="none"/>
        </w:rPr>
        <w:t xml:space="preserve">    日期：  年  月  日</w:t>
      </w:r>
    </w:p>
    <w:p w14:paraId="5C3EFC82">
      <w:pPr>
        <w:snapToGrid w:val="0"/>
        <w:spacing w:line="400" w:lineRule="exact"/>
        <w:ind w:firstLine="540" w:firstLineChars="192"/>
        <w:contextualSpacing/>
        <w:rPr>
          <w:rFonts w:ascii="宋体" w:hAnsi="宋体" w:cs="宋体"/>
          <w:b/>
          <w:sz w:val="28"/>
          <w:szCs w:val="28"/>
        </w:rPr>
      </w:pPr>
    </w:p>
    <w:p w14:paraId="56642CAD">
      <w:pPr>
        <w:snapToGrid w:val="0"/>
        <w:spacing w:line="400" w:lineRule="exact"/>
        <w:ind w:firstLine="540" w:firstLineChars="192"/>
        <w:contextualSpacing/>
        <w:rPr>
          <w:rFonts w:ascii="宋体" w:hAnsi="宋体" w:cs="宋体"/>
          <w:b/>
          <w:sz w:val="28"/>
          <w:szCs w:val="28"/>
        </w:rPr>
      </w:pPr>
    </w:p>
    <w:p w14:paraId="759ADE62">
      <w:pPr>
        <w:snapToGrid w:val="0"/>
        <w:spacing w:line="400" w:lineRule="exact"/>
        <w:ind w:firstLine="540" w:firstLineChars="192"/>
        <w:contextualSpacing/>
        <w:rPr>
          <w:rFonts w:ascii="宋体" w:hAnsi="宋体" w:cs="宋体"/>
          <w:b/>
          <w:sz w:val="28"/>
          <w:szCs w:val="28"/>
        </w:rPr>
      </w:pPr>
    </w:p>
    <w:p w14:paraId="39E17255">
      <w:pPr>
        <w:snapToGrid w:val="0"/>
        <w:spacing w:line="400" w:lineRule="exact"/>
        <w:ind w:firstLine="540" w:firstLineChars="192"/>
        <w:contextualSpacing/>
        <w:rPr>
          <w:rFonts w:ascii="宋体" w:hAnsi="宋体" w:cs="宋体"/>
          <w:b/>
          <w:sz w:val="28"/>
          <w:szCs w:val="28"/>
        </w:rPr>
      </w:pPr>
    </w:p>
    <w:p w14:paraId="4DACB7DA">
      <w:pPr>
        <w:snapToGrid w:val="0"/>
        <w:spacing w:line="400" w:lineRule="exact"/>
        <w:ind w:firstLine="540" w:firstLineChars="192"/>
        <w:contextualSpacing/>
        <w:rPr>
          <w:rFonts w:ascii="宋体" w:hAnsi="宋体" w:cs="宋体"/>
          <w:b/>
          <w:sz w:val="28"/>
          <w:szCs w:val="28"/>
        </w:rPr>
      </w:pPr>
    </w:p>
    <w:p w14:paraId="3F8958FF">
      <w:pPr>
        <w:snapToGrid w:val="0"/>
        <w:spacing w:line="400" w:lineRule="exact"/>
        <w:ind w:firstLine="540" w:firstLineChars="192"/>
        <w:contextualSpacing/>
        <w:rPr>
          <w:rFonts w:ascii="宋体" w:hAnsi="宋体" w:cs="宋体"/>
          <w:b/>
          <w:sz w:val="28"/>
          <w:szCs w:val="28"/>
        </w:rPr>
      </w:pPr>
    </w:p>
    <w:p w14:paraId="4BB86476">
      <w:pPr>
        <w:snapToGrid w:val="0"/>
        <w:spacing w:line="400" w:lineRule="exact"/>
        <w:ind w:firstLine="540" w:firstLineChars="192"/>
        <w:contextualSpacing/>
        <w:rPr>
          <w:rFonts w:ascii="宋体" w:hAnsi="宋体" w:cs="宋体"/>
          <w:b/>
          <w:sz w:val="28"/>
          <w:szCs w:val="28"/>
        </w:rPr>
      </w:pPr>
    </w:p>
    <w:p w14:paraId="1131E4EE">
      <w:pPr>
        <w:snapToGrid w:val="0"/>
        <w:spacing w:line="400" w:lineRule="exact"/>
        <w:ind w:firstLine="540" w:firstLineChars="192"/>
        <w:contextualSpacing/>
        <w:rPr>
          <w:rFonts w:ascii="宋体" w:hAnsi="宋体" w:cs="宋体"/>
          <w:b/>
          <w:sz w:val="28"/>
          <w:szCs w:val="28"/>
        </w:rPr>
      </w:pPr>
    </w:p>
    <w:p w14:paraId="679A7F7B">
      <w:pPr>
        <w:snapToGrid w:val="0"/>
        <w:spacing w:line="400" w:lineRule="exact"/>
        <w:ind w:firstLine="540" w:firstLineChars="192"/>
        <w:contextualSpacing/>
        <w:rPr>
          <w:rFonts w:ascii="宋体" w:hAnsi="宋体" w:cs="宋体"/>
          <w:b/>
          <w:sz w:val="28"/>
          <w:szCs w:val="28"/>
        </w:rPr>
      </w:pPr>
    </w:p>
    <w:p w14:paraId="3C4DC8BA">
      <w:pPr>
        <w:snapToGrid w:val="0"/>
        <w:spacing w:line="300" w:lineRule="auto"/>
        <w:contextualSpacing/>
        <w:jc w:val="center"/>
        <w:rPr>
          <w:rFonts w:ascii="宋体" w:hAnsi="宋体"/>
          <w:b/>
          <w:kern w:val="2"/>
          <w:sz w:val="32"/>
          <w:szCs w:val="32"/>
        </w:rPr>
      </w:pPr>
      <w:r>
        <w:rPr>
          <w:rFonts w:hint="eastAsia" w:ascii="宋体" w:hAnsi="宋体"/>
          <w:b/>
          <w:kern w:val="2"/>
          <w:sz w:val="32"/>
          <w:szCs w:val="32"/>
        </w:rPr>
        <w:t>技术部分正负偏离表</w:t>
      </w:r>
    </w:p>
    <w:p w14:paraId="699B0272">
      <w:pPr>
        <w:ind w:firstLine="560" w:firstLineChars="200"/>
        <w:jc w:val="center"/>
        <w:rPr>
          <w:rFonts w:ascii="宋体" w:hAnsi="宋体"/>
          <w:kern w:val="2"/>
          <w:sz w:val="28"/>
          <w:szCs w:val="28"/>
        </w:rPr>
      </w:pPr>
      <w:r>
        <w:rPr>
          <w:rFonts w:hint="eastAsia" w:ascii="宋体" w:hAnsi="宋体"/>
          <w:kern w:val="2"/>
          <w:sz w:val="28"/>
          <w:szCs w:val="28"/>
        </w:rPr>
        <w:t>（由供应商据实填写，表格不够自行添加）</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2498"/>
        <w:gridCol w:w="2182"/>
        <w:gridCol w:w="2815"/>
        <w:gridCol w:w="1550"/>
      </w:tblGrid>
      <w:tr w14:paraId="273F8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917" w:type="dxa"/>
            <w:tcBorders>
              <w:top w:val="single" w:color="auto" w:sz="12" w:space="0"/>
              <w:left w:val="single" w:color="auto" w:sz="12" w:space="0"/>
              <w:bottom w:val="single" w:color="auto" w:sz="6" w:space="0"/>
              <w:right w:val="single" w:color="auto" w:sz="6" w:space="0"/>
            </w:tcBorders>
            <w:vAlign w:val="center"/>
          </w:tcPr>
          <w:p w14:paraId="381DFA38">
            <w:pPr>
              <w:spacing w:line="340" w:lineRule="exact"/>
              <w:jc w:val="center"/>
              <w:rPr>
                <w:rFonts w:ascii="宋体" w:hAnsi="宋体"/>
                <w:kern w:val="2"/>
                <w:sz w:val="24"/>
                <w:szCs w:val="24"/>
              </w:rPr>
            </w:pPr>
            <w:r>
              <w:rPr>
                <w:rFonts w:hint="eastAsia" w:ascii="宋体" w:hAnsi="宋体"/>
                <w:kern w:val="2"/>
                <w:sz w:val="24"/>
                <w:szCs w:val="24"/>
              </w:rPr>
              <w:t>序号</w:t>
            </w:r>
          </w:p>
        </w:tc>
        <w:tc>
          <w:tcPr>
            <w:tcW w:w="2498" w:type="dxa"/>
            <w:tcBorders>
              <w:top w:val="single" w:color="auto" w:sz="12" w:space="0"/>
              <w:left w:val="single" w:color="auto" w:sz="6" w:space="0"/>
              <w:bottom w:val="single" w:color="auto" w:sz="6" w:space="0"/>
              <w:right w:val="single" w:color="auto" w:sz="6" w:space="0"/>
            </w:tcBorders>
            <w:vAlign w:val="center"/>
          </w:tcPr>
          <w:p w14:paraId="35835D73">
            <w:pPr>
              <w:spacing w:line="340" w:lineRule="exact"/>
              <w:jc w:val="center"/>
              <w:rPr>
                <w:rFonts w:ascii="宋体" w:hAnsi="宋体"/>
                <w:kern w:val="2"/>
                <w:sz w:val="24"/>
                <w:szCs w:val="24"/>
              </w:rPr>
            </w:pPr>
            <w:r>
              <w:rPr>
                <w:rFonts w:hint="eastAsia" w:ascii="宋体" w:hAnsi="宋体"/>
                <w:kern w:val="2"/>
                <w:sz w:val="24"/>
                <w:szCs w:val="24"/>
              </w:rPr>
              <w:t>货物或服务名称</w:t>
            </w:r>
          </w:p>
        </w:tc>
        <w:tc>
          <w:tcPr>
            <w:tcW w:w="2182" w:type="dxa"/>
            <w:tcBorders>
              <w:top w:val="single" w:color="auto" w:sz="12" w:space="0"/>
              <w:left w:val="single" w:color="auto" w:sz="6" w:space="0"/>
              <w:bottom w:val="single" w:color="auto" w:sz="6" w:space="0"/>
              <w:right w:val="single" w:color="auto" w:sz="6" w:space="0"/>
            </w:tcBorders>
            <w:vAlign w:val="center"/>
          </w:tcPr>
          <w:p w14:paraId="58CC3590">
            <w:pPr>
              <w:spacing w:line="340" w:lineRule="exact"/>
              <w:jc w:val="center"/>
              <w:rPr>
                <w:rFonts w:ascii="宋体" w:hAnsi="宋体"/>
                <w:kern w:val="2"/>
                <w:sz w:val="24"/>
                <w:szCs w:val="24"/>
              </w:rPr>
            </w:pPr>
            <w:r>
              <w:rPr>
                <w:rFonts w:hint="eastAsia" w:ascii="宋体" w:hAnsi="宋体"/>
                <w:kern w:val="2"/>
                <w:sz w:val="24"/>
                <w:szCs w:val="24"/>
              </w:rPr>
              <w:t>磋商文件要求的技术要求</w:t>
            </w:r>
          </w:p>
        </w:tc>
        <w:tc>
          <w:tcPr>
            <w:tcW w:w="2815" w:type="dxa"/>
            <w:tcBorders>
              <w:top w:val="single" w:color="auto" w:sz="12" w:space="0"/>
              <w:left w:val="single" w:color="auto" w:sz="6" w:space="0"/>
              <w:bottom w:val="single" w:color="auto" w:sz="6" w:space="0"/>
              <w:right w:val="single" w:color="auto" w:sz="6" w:space="0"/>
            </w:tcBorders>
            <w:vAlign w:val="center"/>
          </w:tcPr>
          <w:p w14:paraId="27A4430A">
            <w:pPr>
              <w:spacing w:line="340" w:lineRule="exact"/>
              <w:jc w:val="center"/>
              <w:rPr>
                <w:rFonts w:ascii="宋体" w:hAnsi="宋体"/>
                <w:kern w:val="2"/>
                <w:sz w:val="24"/>
                <w:szCs w:val="24"/>
              </w:rPr>
            </w:pPr>
            <w:r>
              <w:rPr>
                <w:rFonts w:hint="eastAsia" w:ascii="宋体" w:hAnsi="宋体"/>
                <w:kern w:val="2"/>
                <w:sz w:val="24"/>
                <w:szCs w:val="24"/>
              </w:rPr>
              <w:t>响应文件响应情况</w:t>
            </w:r>
          </w:p>
        </w:tc>
        <w:tc>
          <w:tcPr>
            <w:tcW w:w="1550" w:type="dxa"/>
            <w:tcBorders>
              <w:top w:val="single" w:color="auto" w:sz="12" w:space="0"/>
              <w:left w:val="single" w:color="auto" w:sz="6" w:space="0"/>
              <w:bottom w:val="single" w:color="auto" w:sz="6" w:space="0"/>
              <w:right w:val="single" w:color="auto" w:sz="12" w:space="0"/>
            </w:tcBorders>
          </w:tcPr>
          <w:p w14:paraId="7433D606">
            <w:pPr>
              <w:spacing w:line="340" w:lineRule="exact"/>
              <w:jc w:val="center"/>
              <w:rPr>
                <w:rFonts w:ascii="宋体" w:hAnsi="宋体"/>
                <w:kern w:val="2"/>
                <w:sz w:val="24"/>
                <w:szCs w:val="24"/>
              </w:rPr>
            </w:pPr>
          </w:p>
          <w:p w14:paraId="7027D6AC">
            <w:pPr>
              <w:spacing w:line="340" w:lineRule="exact"/>
              <w:jc w:val="center"/>
              <w:rPr>
                <w:rFonts w:ascii="宋体" w:hAnsi="宋体"/>
                <w:kern w:val="2"/>
                <w:sz w:val="24"/>
                <w:szCs w:val="24"/>
              </w:rPr>
            </w:pPr>
            <w:r>
              <w:rPr>
                <w:rFonts w:hint="eastAsia" w:ascii="宋体" w:hAnsi="宋体"/>
                <w:kern w:val="2"/>
                <w:sz w:val="24"/>
                <w:szCs w:val="24"/>
              </w:rPr>
              <w:t>偏离说明</w:t>
            </w:r>
          </w:p>
        </w:tc>
      </w:tr>
      <w:tr w14:paraId="302F1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917" w:type="dxa"/>
            <w:tcBorders>
              <w:top w:val="single" w:color="auto" w:sz="6" w:space="0"/>
              <w:left w:val="single" w:color="auto" w:sz="12" w:space="0"/>
              <w:bottom w:val="single" w:color="auto" w:sz="6" w:space="0"/>
              <w:right w:val="single" w:color="auto" w:sz="6" w:space="0"/>
            </w:tcBorders>
          </w:tcPr>
          <w:p w14:paraId="1BB78FB3">
            <w:pPr>
              <w:spacing w:line="340" w:lineRule="exact"/>
              <w:jc w:val="center"/>
              <w:rPr>
                <w:rFonts w:ascii="宋体" w:hAnsi="宋体"/>
                <w:kern w:val="2"/>
                <w:sz w:val="24"/>
                <w:szCs w:val="24"/>
              </w:rPr>
            </w:pPr>
            <w:r>
              <w:rPr>
                <w:rFonts w:hint="eastAsia" w:ascii="宋体" w:hAnsi="宋体"/>
                <w:kern w:val="2"/>
                <w:sz w:val="24"/>
                <w:szCs w:val="24"/>
              </w:rPr>
              <w:t>1</w:t>
            </w:r>
          </w:p>
        </w:tc>
        <w:tc>
          <w:tcPr>
            <w:tcW w:w="2498" w:type="dxa"/>
            <w:tcBorders>
              <w:top w:val="single" w:color="auto" w:sz="6" w:space="0"/>
              <w:left w:val="single" w:color="auto" w:sz="6" w:space="0"/>
              <w:bottom w:val="single" w:color="auto" w:sz="6" w:space="0"/>
              <w:right w:val="single" w:color="auto" w:sz="6" w:space="0"/>
            </w:tcBorders>
            <w:vAlign w:val="center"/>
          </w:tcPr>
          <w:p w14:paraId="3C75D636">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5F7FFEFA">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7E623BB8">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4CA8E965">
            <w:pPr>
              <w:spacing w:line="340" w:lineRule="exact"/>
              <w:jc w:val="left"/>
              <w:rPr>
                <w:rFonts w:ascii="宋体" w:hAnsi="宋体"/>
                <w:kern w:val="2"/>
                <w:sz w:val="24"/>
                <w:szCs w:val="24"/>
              </w:rPr>
            </w:pPr>
          </w:p>
        </w:tc>
      </w:tr>
      <w:tr w14:paraId="76486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17" w:type="dxa"/>
            <w:tcBorders>
              <w:top w:val="single" w:color="auto" w:sz="6" w:space="0"/>
              <w:left w:val="single" w:color="auto" w:sz="12" w:space="0"/>
              <w:bottom w:val="single" w:color="auto" w:sz="6" w:space="0"/>
              <w:right w:val="single" w:color="auto" w:sz="6" w:space="0"/>
            </w:tcBorders>
          </w:tcPr>
          <w:p w14:paraId="4DBDA649">
            <w:pPr>
              <w:spacing w:line="340" w:lineRule="exact"/>
              <w:jc w:val="center"/>
              <w:rPr>
                <w:rFonts w:ascii="宋体" w:hAnsi="宋体"/>
                <w:kern w:val="2"/>
                <w:sz w:val="24"/>
                <w:szCs w:val="24"/>
              </w:rPr>
            </w:pPr>
            <w:r>
              <w:rPr>
                <w:rFonts w:hint="eastAsia" w:ascii="宋体" w:hAnsi="宋体"/>
                <w:kern w:val="2"/>
                <w:sz w:val="24"/>
                <w:szCs w:val="24"/>
              </w:rPr>
              <w:t>2</w:t>
            </w:r>
          </w:p>
        </w:tc>
        <w:tc>
          <w:tcPr>
            <w:tcW w:w="2498" w:type="dxa"/>
            <w:tcBorders>
              <w:top w:val="single" w:color="auto" w:sz="6" w:space="0"/>
              <w:left w:val="single" w:color="auto" w:sz="6" w:space="0"/>
              <w:bottom w:val="single" w:color="auto" w:sz="6" w:space="0"/>
              <w:right w:val="single" w:color="auto" w:sz="6" w:space="0"/>
            </w:tcBorders>
            <w:vAlign w:val="center"/>
          </w:tcPr>
          <w:p w14:paraId="7BDD46F3">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27DF299">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6454B929">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3EF9B7C2">
            <w:pPr>
              <w:spacing w:line="340" w:lineRule="exact"/>
              <w:jc w:val="left"/>
              <w:rPr>
                <w:rFonts w:ascii="宋体" w:hAnsi="宋体"/>
                <w:kern w:val="2"/>
                <w:sz w:val="24"/>
                <w:szCs w:val="24"/>
              </w:rPr>
            </w:pPr>
          </w:p>
        </w:tc>
      </w:tr>
      <w:tr w14:paraId="431C9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17" w:type="dxa"/>
            <w:tcBorders>
              <w:top w:val="single" w:color="auto" w:sz="6" w:space="0"/>
              <w:left w:val="single" w:color="auto" w:sz="12" w:space="0"/>
              <w:bottom w:val="single" w:color="auto" w:sz="6" w:space="0"/>
              <w:right w:val="single" w:color="auto" w:sz="6" w:space="0"/>
            </w:tcBorders>
          </w:tcPr>
          <w:p w14:paraId="6F3FD984">
            <w:pPr>
              <w:spacing w:line="340" w:lineRule="exact"/>
              <w:jc w:val="center"/>
              <w:rPr>
                <w:rFonts w:ascii="宋体" w:hAnsi="宋体"/>
                <w:kern w:val="2"/>
                <w:sz w:val="24"/>
                <w:szCs w:val="24"/>
              </w:rPr>
            </w:pPr>
            <w:r>
              <w:rPr>
                <w:rFonts w:hint="eastAsia" w:ascii="宋体" w:hAnsi="宋体"/>
                <w:kern w:val="2"/>
                <w:sz w:val="24"/>
                <w:szCs w:val="24"/>
              </w:rPr>
              <w:t>3</w:t>
            </w:r>
          </w:p>
        </w:tc>
        <w:tc>
          <w:tcPr>
            <w:tcW w:w="2498" w:type="dxa"/>
            <w:tcBorders>
              <w:top w:val="single" w:color="auto" w:sz="6" w:space="0"/>
              <w:left w:val="single" w:color="auto" w:sz="6" w:space="0"/>
              <w:bottom w:val="single" w:color="auto" w:sz="6" w:space="0"/>
              <w:right w:val="single" w:color="auto" w:sz="6" w:space="0"/>
            </w:tcBorders>
            <w:vAlign w:val="center"/>
          </w:tcPr>
          <w:p w14:paraId="090AFAAF">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27B52D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16DB163">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6A3407ED">
            <w:pPr>
              <w:spacing w:line="340" w:lineRule="exact"/>
              <w:jc w:val="left"/>
              <w:rPr>
                <w:rFonts w:ascii="宋体" w:hAnsi="宋体"/>
                <w:kern w:val="2"/>
                <w:sz w:val="24"/>
                <w:szCs w:val="24"/>
              </w:rPr>
            </w:pPr>
          </w:p>
        </w:tc>
      </w:tr>
      <w:tr w14:paraId="16B8F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17" w:type="dxa"/>
            <w:tcBorders>
              <w:top w:val="single" w:color="auto" w:sz="6" w:space="0"/>
              <w:left w:val="single" w:color="auto" w:sz="12" w:space="0"/>
              <w:bottom w:val="single" w:color="auto" w:sz="6" w:space="0"/>
              <w:right w:val="single" w:color="auto" w:sz="6" w:space="0"/>
            </w:tcBorders>
          </w:tcPr>
          <w:p w14:paraId="29AF5864">
            <w:pPr>
              <w:spacing w:line="340" w:lineRule="exact"/>
              <w:jc w:val="center"/>
              <w:rPr>
                <w:rFonts w:ascii="宋体" w:hAnsi="宋体"/>
                <w:kern w:val="2"/>
                <w:sz w:val="24"/>
                <w:szCs w:val="24"/>
              </w:rPr>
            </w:pPr>
            <w:r>
              <w:rPr>
                <w:rFonts w:hint="eastAsia" w:ascii="宋体" w:hAnsi="宋体"/>
                <w:kern w:val="2"/>
                <w:sz w:val="24"/>
                <w:szCs w:val="24"/>
              </w:rPr>
              <w:t>4</w:t>
            </w:r>
          </w:p>
        </w:tc>
        <w:tc>
          <w:tcPr>
            <w:tcW w:w="2498" w:type="dxa"/>
            <w:tcBorders>
              <w:top w:val="single" w:color="auto" w:sz="6" w:space="0"/>
              <w:left w:val="single" w:color="auto" w:sz="6" w:space="0"/>
              <w:bottom w:val="single" w:color="auto" w:sz="6" w:space="0"/>
              <w:right w:val="single" w:color="auto" w:sz="6" w:space="0"/>
            </w:tcBorders>
            <w:vAlign w:val="center"/>
          </w:tcPr>
          <w:p w14:paraId="1FA8FCA6">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4A5BC4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858D21E">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1C91F666">
            <w:pPr>
              <w:spacing w:line="340" w:lineRule="exact"/>
              <w:jc w:val="left"/>
              <w:rPr>
                <w:rFonts w:ascii="宋体" w:hAnsi="宋体"/>
                <w:kern w:val="2"/>
                <w:sz w:val="24"/>
                <w:szCs w:val="24"/>
              </w:rPr>
            </w:pPr>
          </w:p>
        </w:tc>
      </w:tr>
    </w:tbl>
    <w:p w14:paraId="236B3F0B">
      <w:pPr>
        <w:snapToGrid w:val="0"/>
        <w:spacing w:line="300" w:lineRule="auto"/>
        <w:contextualSpacing/>
        <w:rPr>
          <w:rFonts w:ascii="宋体" w:hAnsi="宋体"/>
          <w:b/>
          <w:kern w:val="2"/>
          <w:sz w:val="24"/>
          <w:szCs w:val="24"/>
        </w:rPr>
      </w:pPr>
      <w:r>
        <w:rPr>
          <w:rFonts w:hint="eastAsia" w:ascii="宋体" w:hAnsi="宋体"/>
          <w:b/>
          <w:kern w:val="2"/>
          <w:sz w:val="24"/>
          <w:szCs w:val="24"/>
        </w:rPr>
        <w:t>注：</w:t>
      </w:r>
    </w:p>
    <w:p w14:paraId="1142B9C0">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1.供应商提交的响应文件中与磋商文件第三部分“项目需求”中的技术部分的要求，如有偏离，应逐条填列在偏离表中。</w:t>
      </w:r>
    </w:p>
    <w:p w14:paraId="338C4A4D">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2.“偏离说明”一栏选择“正偏离”、“无偏离”、“负偏离”进行填写。正偏离、无偏离的确认和负偏离的是否响应采购文件，由评委认定。</w:t>
      </w:r>
    </w:p>
    <w:p w14:paraId="0D627F48">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3.供应商如果虚假响应，将被暂停参加采购单位组织的任何采购活动。</w:t>
      </w:r>
    </w:p>
    <w:p w14:paraId="33BB95FC">
      <w:pPr>
        <w:snapToGrid w:val="0"/>
        <w:spacing w:line="300" w:lineRule="auto"/>
        <w:ind w:firstLine="480" w:firstLineChars="200"/>
        <w:contextualSpacing/>
        <w:rPr>
          <w:rFonts w:ascii="宋体" w:hAnsi="宋体"/>
          <w:bCs/>
          <w:kern w:val="2"/>
          <w:sz w:val="24"/>
          <w:szCs w:val="24"/>
        </w:rPr>
      </w:pPr>
      <w:r>
        <w:rPr>
          <w:rFonts w:hint="eastAsia" w:ascii="宋体" w:hAnsi="宋体"/>
          <w:bCs/>
          <w:kern w:val="2"/>
          <w:sz w:val="24"/>
          <w:szCs w:val="24"/>
        </w:rPr>
        <w:t>4.供应商若提供其他增值服务，可以在表中自行据实填写。</w:t>
      </w:r>
    </w:p>
    <w:p w14:paraId="32D170F9">
      <w:pPr>
        <w:snapToGrid w:val="0"/>
        <w:spacing w:line="400" w:lineRule="exact"/>
        <w:ind w:firstLine="540" w:firstLineChars="192"/>
        <w:contextualSpacing/>
        <w:rPr>
          <w:rFonts w:ascii="宋体" w:hAnsi="宋体" w:cs="宋体"/>
          <w:b/>
          <w:sz w:val="28"/>
          <w:szCs w:val="28"/>
        </w:rPr>
      </w:pPr>
    </w:p>
    <w:p w14:paraId="161E6984">
      <w:pPr>
        <w:snapToGrid w:val="0"/>
        <w:spacing w:line="400" w:lineRule="exact"/>
        <w:ind w:firstLine="540" w:firstLineChars="192"/>
        <w:contextualSpacing/>
        <w:rPr>
          <w:rFonts w:ascii="宋体" w:hAnsi="宋体" w:cs="宋体"/>
          <w:b/>
          <w:sz w:val="28"/>
          <w:szCs w:val="28"/>
        </w:rPr>
      </w:pPr>
    </w:p>
    <w:p w14:paraId="2D562C17">
      <w:pPr>
        <w:snapToGrid w:val="0"/>
        <w:spacing w:line="400" w:lineRule="exact"/>
        <w:ind w:firstLine="540" w:firstLineChars="192"/>
        <w:contextualSpacing/>
        <w:rPr>
          <w:rFonts w:ascii="宋体" w:hAnsi="宋体" w:cs="宋体"/>
          <w:b/>
          <w:sz w:val="28"/>
          <w:szCs w:val="28"/>
        </w:rPr>
      </w:pPr>
    </w:p>
    <w:p w14:paraId="5B77EAEF">
      <w:pPr>
        <w:snapToGrid w:val="0"/>
        <w:spacing w:line="400" w:lineRule="exact"/>
        <w:ind w:firstLine="540" w:firstLineChars="192"/>
        <w:contextualSpacing/>
        <w:rPr>
          <w:rFonts w:ascii="宋体" w:hAnsi="宋体" w:cs="宋体"/>
          <w:b/>
          <w:sz w:val="28"/>
          <w:szCs w:val="28"/>
        </w:rPr>
      </w:pPr>
    </w:p>
    <w:p w14:paraId="3F022FB1">
      <w:pPr>
        <w:snapToGrid w:val="0"/>
        <w:spacing w:line="400" w:lineRule="exact"/>
        <w:ind w:firstLine="540" w:firstLineChars="192"/>
        <w:contextualSpacing/>
        <w:rPr>
          <w:rFonts w:ascii="宋体" w:hAnsi="宋体" w:cs="宋体"/>
          <w:b/>
          <w:sz w:val="28"/>
          <w:szCs w:val="28"/>
        </w:rPr>
      </w:pPr>
    </w:p>
    <w:p w14:paraId="2B3D86DD">
      <w:pPr>
        <w:snapToGrid w:val="0"/>
        <w:spacing w:line="400" w:lineRule="exact"/>
        <w:ind w:firstLine="540" w:firstLineChars="192"/>
        <w:contextualSpacing/>
        <w:rPr>
          <w:rFonts w:ascii="宋体" w:hAnsi="宋体" w:cs="宋体"/>
          <w:b/>
          <w:sz w:val="28"/>
          <w:szCs w:val="28"/>
          <w:highlight w:val="none"/>
        </w:rPr>
      </w:pPr>
    </w:p>
    <w:p w14:paraId="77A2BE61">
      <w:pPr>
        <w:snapToGrid w:val="0"/>
        <w:spacing w:line="520" w:lineRule="exact"/>
        <w:jc w:val="right"/>
        <w:rPr>
          <w:rFonts w:ascii="宋体" w:hAnsi="Times New Roman"/>
          <w:kern w:val="2"/>
          <w:sz w:val="24"/>
          <w:szCs w:val="24"/>
          <w:highlight w:val="none"/>
        </w:rPr>
      </w:pPr>
      <w:r>
        <w:rPr>
          <w:rFonts w:hint="eastAsia" w:ascii="宋体" w:hAnsi="宋体" w:cs="宋体"/>
          <w:kern w:val="2"/>
          <w:sz w:val="24"/>
          <w:szCs w:val="24"/>
          <w:highlight w:val="none"/>
        </w:rPr>
        <w:t>竞争性磋商响应单位：（加盖公章）</w:t>
      </w:r>
    </w:p>
    <w:p w14:paraId="23F41B0A">
      <w:pPr>
        <w:snapToGrid w:val="0"/>
        <w:spacing w:line="520" w:lineRule="exact"/>
        <w:ind w:firstLine="2400" w:firstLineChars="1000"/>
        <w:jc w:val="right"/>
        <w:rPr>
          <w:rFonts w:ascii="宋体" w:hAnsi="Times New Roman"/>
          <w:kern w:val="2"/>
          <w:sz w:val="24"/>
          <w:szCs w:val="24"/>
          <w:highlight w:val="none"/>
        </w:rPr>
      </w:pPr>
      <w:r>
        <w:rPr>
          <w:rFonts w:hint="eastAsia" w:ascii="宋体" w:hAnsi="宋体" w:cs="宋体"/>
          <w:kern w:val="2"/>
          <w:sz w:val="24"/>
          <w:szCs w:val="24"/>
          <w:highlight w:val="none"/>
        </w:rPr>
        <w:t>法定代表人</w:t>
      </w:r>
      <w:r>
        <w:rPr>
          <w:rFonts w:hint="eastAsia" w:ascii="宋体" w:hAnsi="宋体" w:cs="宋体"/>
          <w:kern w:val="2"/>
          <w:sz w:val="24"/>
          <w:szCs w:val="24"/>
          <w:highlight w:val="none"/>
          <w:lang w:val="en-US" w:eastAsia="zh-CN"/>
        </w:rPr>
        <w:t>或</w:t>
      </w:r>
      <w:r>
        <w:rPr>
          <w:rFonts w:hint="eastAsia" w:ascii="Times New Roman" w:hAnsi="Times New Roman" w:cs="宋体"/>
          <w:kern w:val="2"/>
          <w:sz w:val="24"/>
          <w:szCs w:val="24"/>
          <w:highlight w:val="none"/>
          <w:lang w:val="en-US" w:eastAsia="zh-CN"/>
        </w:rPr>
        <w:t>企业负责人</w:t>
      </w:r>
      <w:r>
        <w:rPr>
          <w:rFonts w:hint="eastAsia" w:ascii="宋体" w:hAnsi="宋体" w:cs="宋体"/>
          <w:kern w:val="2"/>
          <w:sz w:val="24"/>
          <w:szCs w:val="24"/>
          <w:highlight w:val="none"/>
        </w:rPr>
        <w:t>：（签字或盖章）</w:t>
      </w:r>
    </w:p>
    <w:p w14:paraId="71BDF701">
      <w:pPr>
        <w:snapToGrid w:val="0"/>
        <w:spacing w:line="520" w:lineRule="exact"/>
        <w:jc w:val="right"/>
        <w:rPr>
          <w:rFonts w:ascii="宋体" w:hAnsi="Times New Roman"/>
          <w:kern w:val="2"/>
          <w:sz w:val="24"/>
          <w:szCs w:val="24"/>
        </w:rPr>
      </w:pPr>
      <w:r>
        <w:rPr>
          <w:rFonts w:hint="eastAsia" w:ascii="宋体" w:hAnsi="宋体" w:cs="宋体"/>
          <w:color w:val="000000"/>
          <w:kern w:val="2"/>
          <w:sz w:val="24"/>
          <w:szCs w:val="24"/>
          <w:highlight w:val="none"/>
        </w:rPr>
        <w:t xml:space="preserve">    日期：  年  月 </w:t>
      </w:r>
      <w:r>
        <w:rPr>
          <w:rFonts w:hint="eastAsia" w:ascii="宋体" w:hAnsi="宋体" w:cs="宋体"/>
          <w:color w:val="000000"/>
          <w:kern w:val="2"/>
          <w:sz w:val="24"/>
          <w:szCs w:val="24"/>
        </w:rPr>
        <w:t xml:space="preserve"> 日</w:t>
      </w:r>
    </w:p>
    <w:p w14:paraId="258B1553">
      <w:pPr>
        <w:snapToGrid w:val="0"/>
        <w:spacing w:line="400" w:lineRule="exact"/>
        <w:ind w:firstLine="540" w:firstLineChars="192"/>
        <w:contextualSpacing/>
        <w:rPr>
          <w:rFonts w:ascii="宋体" w:hAnsi="宋体" w:cs="宋体"/>
          <w:b/>
          <w:sz w:val="28"/>
          <w:szCs w:val="28"/>
        </w:rPr>
      </w:pPr>
    </w:p>
    <w:p w14:paraId="2D2D9579">
      <w:pPr>
        <w:snapToGrid w:val="0"/>
        <w:spacing w:line="400" w:lineRule="exact"/>
        <w:ind w:firstLine="540" w:firstLineChars="192"/>
        <w:contextualSpacing/>
        <w:rPr>
          <w:rFonts w:ascii="宋体" w:hAnsi="宋体" w:cs="宋体"/>
          <w:b/>
          <w:sz w:val="28"/>
          <w:szCs w:val="28"/>
        </w:rPr>
      </w:pPr>
    </w:p>
    <w:p w14:paraId="34AEE7F6">
      <w:pPr>
        <w:snapToGrid w:val="0"/>
        <w:spacing w:line="400" w:lineRule="exact"/>
        <w:ind w:firstLine="540" w:firstLineChars="192"/>
        <w:contextualSpacing/>
        <w:rPr>
          <w:rFonts w:ascii="宋体" w:hAnsi="宋体" w:cs="宋体"/>
          <w:b/>
          <w:sz w:val="28"/>
          <w:szCs w:val="28"/>
        </w:rPr>
      </w:pPr>
    </w:p>
    <w:p w14:paraId="2B30E504">
      <w:pPr>
        <w:rPr>
          <w:rFonts w:ascii="宋体" w:hAnsi="宋体" w:cs="宋体"/>
          <w:b/>
          <w:bCs/>
          <w:sz w:val="32"/>
          <w:szCs w:val="32"/>
        </w:rPr>
      </w:pPr>
      <w:r>
        <w:rPr>
          <w:rFonts w:ascii="宋体" w:hAnsi="宋体" w:cs="宋体"/>
          <w:bCs/>
          <w:snapToGrid w:val="0"/>
          <w:sz w:val="24"/>
          <w:szCs w:val="24"/>
        </w:rPr>
        <w:br w:type="page"/>
      </w:r>
    </w:p>
    <w:p w14:paraId="70A4B4C8">
      <w:pPr>
        <w:widowControl/>
        <w:snapToGrid w:val="0"/>
        <w:spacing w:line="360" w:lineRule="auto"/>
        <w:ind w:firstLine="643" w:firstLineChars="200"/>
        <w:contextualSpacing/>
        <w:jc w:val="center"/>
        <w:rPr>
          <w:rFonts w:ascii="宋体" w:hAnsi="宋体" w:cs="宋体"/>
          <w:sz w:val="32"/>
          <w:szCs w:val="32"/>
        </w:rPr>
      </w:pPr>
      <w:r>
        <w:rPr>
          <w:rFonts w:hint="eastAsia" w:ascii="宋体" w:hAnsi="宋体" w:cs="宋体"/>
          <w:b/>
          <w:bCs/>
          <w:sz w:val="32"/>
          <w:szCs w:val="32"/>
        </w:rPr>
        <w:t>报价表</w:t>
      </w:r>
    </w:p>
    <w:p w14:paraId="7E1DF040">
      <w:pPr>
        <w:snapToGrid w:val="0"/>
        <w:textAlignment w:val="baseline"/>
        <w:rPr>
          <w:rFonts w:ascii="Times New Roman" w:hAnsi="Times New Roman"/>
          <w:szCs w:val="21"/>
        </w:rPr>
      </w:pPr>
    </w:p>
    <w:tbl>
      <w:tblPr>
        <w:tblStyle w:val="56"/>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7725"/>
      </w:tblGrid>
      <w:tr w14:paraId="6D25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8" w:type="dxa"/>
            <w:shd w:val="clear" w:color="auto" w:fill="auto"/>
            <w:vAlign w:val="center"/>
          </w:tcPr>
          <w:p w14:paraId="5AE496C3">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项目名称</w:t>
            </w:r>
          </w:p>
        </w:tc>
        <w:tc>
          <w:tcPr>
            <w:tcW w:w="7725" w:type="dxa"/>
            <w:shd w:val="clear" w:color="auto" w:fill="auto"/>
            <w:vAlign w:val="center"/>
          </w:tcPr>
          <w:p w14:paraId="20188F4D">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lang w:eastAsia="zh-CN"/>
              </w:rPr>
              <w:t>南通公安大病特困救助基金会2025民警家庭医疗保险项目（三次）</w:t>
            </w:r>
          </w:p>
        </w:tc>
      </w:tr>
      <w:tr w14:paraId="68AC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8" w:type="dxa"/>
            <w:shd w:val="clear" w:color="auto" w:fill="auto"/>
            <w:vAlign w:val="center"/>
          </w:tcPr>
          <w:p w14:paraId="271A8E32">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项目编号</w:t>
            </w:r>
          </w:p>
        </w:tc>
        <w:tc>
          <w:tcPr>
            <w:tcW w:w="7725" w:type="dxa"/>
            <w:shd w:val="clear" w:color="auto" w:fill="auto"/>
            <w:vAlign w:val="center"/>
          </w:tcPr>
          <w:p w14:paraId="051E093C">
            <w:pPr>
              <w:snapToGrid w:val="0"/>
              <w:spacing w:line="480" w:lineRule="exact"/>
              <w:jc w:val="center"/>
              <w:textAlignment w:val="baseline"/>
              <w:rPr>
                <w:rFonts w:ascii="宋体" w:hAnsi="宋体" w:cs="宋体"/>
                <w:color w:val="000000"/>
                <w:kern w:val="2"/>
                <w:sz w:val="24"/>
                <w:szCs w:val="24"/>
              </w:rPr>
            </w:pPr>
          </w:p>
        </w:tc>
      </w:tr>
      <w:tr w14:paraId="687E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28" w:type="dxa"/>
            <w:shd w:val="clear" w:color="auto" w:fill="auto"/>
            <w:vAlign w:val="center"/>
          </w:tcPr>
          <w:p w14:paraId="50987C57">
            <w:pPr>
              <w:snapToGrid w:val="0"/>
              <w:spacing w:beforeLines="50" w:line="360" w:lineRule="auto"/>
              <w:jc w:val="center"/>
              <w:rPr>
                <w:rFonts w:ascii="宋体" w:hAnsi="宋体" w:cs="宋体"/>
                <w:snapToGrid w:val="0"/>
                <w:color w:val="000000"/>
                <w:sz w:val="24"/>
                <w:szCs w:val="24"/>
              </w:rPr>
            </w:pPr>
            <w:r>
              <w:rPr>
                <w:rFonts w:hint="eastAsia" w:ascii="宋体" w:hAnsi="宋体" w:cs="宋体"/>
                <w:snapToGrid w:val="0"/>
                <w:color w:val="000000"/>
                <w:sz w:val="24"/>
                <w:szCs w:val="24"/>
              </w:rPr>
              <w:t>第1轮报价</w:t>
            </w:r>
          </w:p>
        </w:tc>
        <w:tc>
          <w:tcPr>
            <w:tcW w:w="7725" w:type="dxa"/>
            <w:shd w:val="clear" w:color="auto" w:fill="auto"/>
            <w:vAlign w:val="center"/>
          </w:tcPr>
          <w:p w14:paraId="65D94BFF">
            <w:pPr>
              <w:spacing w:line="360" w:lineRule="auto"/>
              <w:ind w:left="0" w:leftChars="0" w:firstLine="0" w:firstLineChars="0"/>
              <w:jc w:val="left"/>
              <w:rPr>
                <w:rFonts w:hint="eastAsia" w:ascii="宋体" w:hAnsi="宋体" w:eastAsia="宋体" w:cs="Times New Roman"/>
                <w:sz w:val="24"/>
                <w:szCs w:val="24"/>
                <w:highlight w:val="none"/>
                <w:lang w:val="en-US" w:eastAsia="zh-CN"/>
              </w:rPr>
            </w:pPr>
            <w:r>
              <w:rPr>
                <w:rFonts w:hint="eastAsia" w:ascii="宋体" w:hAnsi="宋体" w:eastAsia="宋体"/>
                <w:sz w:val="24"/>
                <w:szCs w:val="24"/>
                <w:highlight w:val="none"/>
              </w:rPr>
              <w:t>报价</w:t>
            </w:r>
            <w:r>
              <w:rPr>
                <w:rFonts w:hint="eastAsia" w:ascii="宋体" w:hAnsi="宋体"/>
                <w:sz w:val="24"/>
                <w:szCs w:val="24"/>
                <w:highlight w:val="none"/>
                <w:lang w:val="en-US" w:eastAsia="zh-CN"/>
              </w:rPr>
              <w:t>单</w:t>
            </w:r>
            <w:r>
              <w:rPr>
                <w:rFonts w:hint="eastAsia" w:ascii="宋体" w:hAnsi="宋体" w:eastAsia="宋体"/>
                <w:sz w:val="24"/>
                <w:szCs w:val="24"/>
                <w:highlight w:val="none"/>
              </w:rPr>
              <w:t>价：</w:t>
            </w:r>
            <w:r>
              <w:rPr>
                <w:rFonts w:hint="eastAsia" w:ascii="宋体" w:hAnsi="宋体" w:eastAsia="宋体" w:cs="Times New Roman"/>
                <w:sz w:val="24"/>
                <w:szCs w:val="24"/>
                <w:highlight w:val="none"/>
                <w:lang w:eastAsia="zh-CN"/>
              </w:rPr>
              <w:t>职民警人均保费</w:t>
            </w:r>
            <w:r>
              <w:rPr>
                <w:rFonts w:hint="eastAsia" w:ascii="宋体" w:hAnsi="宋体" w:eastAsia="宋体"/>
                <w:sz w:val="24"/>
                <w:szCs w:val="24"/>
                <w:highlight w:val="none"/>
                <w:u w:val="single"/>
              </w:rPr>
              <w:t>（大写）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p>
          <w:p w14:paraId="126F3889">
            <w:pPr>
              <w:spacing w:line="360" w:lineRule="auto"/>
              <w:ind w:left="0" w:leftChars="0" w:firstLine="2880" w:firstLineChars="1200"/>
              <w:jc w:val="left"/>
              <w:rPr>
                <w:rFonts w:hint="eastAsia" w:ascii="宋体" w:hAnsi="宋体" w:eastAsia="宋体" w:cs="Times New Roman"/>
                <w:sz w:val="24"/>
                <w:szCs w:val="24"/>
                <w:highlight w:val="none"/>
                <w:lang w:val="en-US" w:eastAsia="zh-CN"/>
              </w:rPr>
            </w:pP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eastAsia="zh-CN"/>
              </w:rPr>
              <w:t>小</w:t>
            </w:r>
            <w:r>
              <w:rPr>
                <w:rFonts w:hint="eastAsia" w:ascii="宋体" w:hAnsi="宋体" w:eastAsia="宋体"/>
                <w:sz w:val="24"/>
                <w:szCs w:val="24"/>
                <w:highlight w:val="none"/>
                <w:u w:val="single"/>
              </w:rPr>
              <w:t>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p>
          <w:p w14:paraId="351C2995">
            <w:pPr>
              <w:spacing w:line="360" w:lineRule="auto"/>
              <w:jc w:val="right"/>
              <w:rPr>
                <w:rFonts w:hint="eastAsia" w:ascii="宋体" w:hAnsi="宋体" w:eastAsia="宋体" w:cs="黑体"/>
                <w:sz w:val="24"/>
                <w:szCs w:val="24"/>
                <w:highlight w:val="none"/>
                <w:lang w:val="en-US" w:eastAsia="zh-CN" w:bidi="ar-SA"/>
              </w:rPr>
            </w:pPr>
            <w:r>
              <w:rPr>
                <w:rFonts w:hint="eastAsia" w:ascii="宋体" w:hAnsi="宋体" w:eastAsia="宋体" w:cs="Times New Roman"/>
                <w:sz w:val="24"/>
                <w:szCs w:val="24"/>
                <w:highlight w:val="none"/>
                <w:lang w:eastAsia="zh-CN"/>
              </w:rPr>
              <w:t>在职民警配偶及成年子女和未成年子女人均保费</w:t>
            </w:r>
            <w:r>
              <w:rPr>
                <w:rFonts w:hint="eastAsia" w:ascii="宋体" w:hAnsi="宋体" w:eastAsia="宋体"/>
                <w:sz w:val="24"/>
                <w:szCs w:val="24"/>
                <w:highlight w:val="none"/>
                <w:u w:val="single"/>
              </w:rPr>
              <w:t>（大写）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eastAsia="zh-CN"/>
              </w:rPr>
              <w:t>小</w:t>
            </w:r>
            <w:r>
              <w:rPr>
                <w:rFonts w:hint="eastAsia" w:ascii="宋体" w:hAnsi="宋体" w:eastAsia="宋体"/>
                <w:sz w:val="24"/>
                <w:szCs w:val="24"/>
                <w:highlight w:val="none"/>
                <w:u w:val="single"/>
              </w:rPr>
              <w:t>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p>
        </w:tc>
      </w:tr>
      <w:tr w14:paraId="33F6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28" w:type="dxa"/>
            <w:shd w:val="clear" w:color="auto" w:fill="auto"/>
            <w:vAlign w:val="center"/>
          </w:tcPr>
          <w:p w14:paraId="2E38D0A5">
            <w:pPr>
              <w:snapToGrid w:val="0"/>
              <w:spacing w:line="360" w:lineRule="auto"/>
              <w:jc w:val="center"/>
              <w:rPr>
                <w:rFonts w:ascii="宋体" w:hAnsi="宋体" w:cs="宋体"/>
                <w:snapToGrid w:val="0"/>
                <w:color w:val="000000"/>
                <w:sz w:val="24"/>
                <w:szCs w:val="24"/>
              </w:rPr>
            </w:pPr>
            <w:r>
              <w:rPr>
                <w:rFonts w:hint="eastAsia" w:ascii="宋体" w:hAnsi="宋体" w:cs="宋体"/>
                <w:snapToGrid w:val="0"/>
                <w:color w:val="000000"/>
                <w:sz w:val="24"/>
                <w:szCs w:val="24"/>
              </w:rPr>
              <w:t>第2轮(最终)报价</w:t>
            </w:r>
          </w:p>
          <w:p w14:paraId="6CDA7873">
            <w:pPr>
              <w:pStyle w:val="219"/>
              <w:spacing w:line="360" w:lineRule="auto"/>
              <w:ind w:left="0" w:firstLine="0"/>
              <w:rPr>
                <w:b/>
                <w:bCs/>
              </w:rPr>
            </w:pPr>
            <w:r>
              <w:rPr>
                <w:rFonts w:hint="eastAsia"/>
                <w:b/>
                <w:bCs/>
              </w:rPr>
              <w:t>（供应商现场填写）</w:t>
            </w:r>
          </w:p>
        </w:tc>
        <w:tc>
          <w:tcPr>
            <w:tcW w:w="7725" w:type="dxa"/>
            <w:shd w:val="clear" w:color="auto" w:fill="auto"/>
            <w:vAlign w:val="center"/>
          </w:tcPr>
          <w:p w14:paraId="6F880F01">
            <w:pPr>
              <w:spacing w:line="360" w:lineRule="auto"/>
              <w:ind w:left="0" w:leftChars="0" w:firstLine="0" w:firstLineChars="0"/>
              <w:jc w:val="left"/>
              <w:rPr>
                <w:rFonts w:hint="eastAsia" w:ascii="宋体" w:hAnsi="宋体" w:eastAsia="宋体" w:cs="Times New Roman"/>
                <w:sz w:val="24"/>
                <w:szCs w:val="24"/>
                <w:highlight w:val="none"/>
                <w:lang w:val="en-US" w:eastAsia="zh-CN"/>
              </w:rPr>
            </w:pPr>
            <w:r>
              <w:rPr>
                <w:rFonts w:hint="eastAsia" w:ascii="宋体" w:hAnsi="宋体" w:eastAsia="宋体"/>
                <w:sz w:val="24"/>
                <w:szCs w:val="24"/>
                <w:highlight w:val="none"/>
              </w:rPr>
              <w:t>报价单价：</w:t>
            </w:r>
            <w:r>
              <w:rPr>
                <w:rFonts w:hint="eastAsia" w:ascii="宋体" w:hAnsi="宋体" w:eastAsia="宋体" w:cs="Times New Roman"/>
                <w:sz w:val="24"/>
                <w:szCs w:val="24"/>
                <w:highlight w:val="none"/>
                <w:lang w:eastAsia="zh-CN"/>
              </w:rPr>
              <w:t>职民警人均保费</w:t>
            </w:r>
            <w:r>
              <w:rPr>
                <w:rFonts w:hint="eastAsia" w:ascii="宋体" w:hAnsi="宋体" w:eastAsia="宋体"/>
                <w:sz w:val="24"/>
                <w:szCs w:val="24"/>
                <w:highlight w:val="none"/>
                <w:u w:val="single"/>
              </w:rPr>
              <w:t>（大写）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p>
          <w:p w14:paraId="130C8B63">
            <w:pPr>
              <w:spacing w:line="360" w:lineRule="auto"/>
              <w:ind w:left="0" w:leftChars="0" w:firstLine="2880" w:firstLineChars="1200"/>
              <w:jc w:val="left"/>
              <w:rPr>
                <w:rFonts w:hint="eastAsia" w:ascii="宋体" w:hAnsi="宋体" w:eastAsia="宋体" w:cs="Times New Roman"/>
                <w:sz w:val="24"/>
                <w:szCs w:val="24"/>
                <w:highlight w:val="none"/>
                <w:lang w:val="en-US" w:eastAsia="zh-CN"/>
              </w:rPr>
            </w:pP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eastAsia="zh-CN"/>
              </w:rPr>
              <w:t>小</w:t>
            </w:r>
            <w:r>
              <w:rPr>
                <w:rFonts w:hint="eastAsia" w:ascii="宋体" w:hAnsi="宋体" w:eastAsia="宋体"/>
                <w:sz w:val="24"/>
                <w:szCs w:val="24"/>
                <w:highlight w:val="none"/>
                <w:u w:val="single"/>
              </w:rPr>
              <w:t>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p>
          <w:p w14:paraId="66A04346">
            <w:pPr>
              <w:spacing w:line="360" w:lineRule="auto"/>
              <w:jc w:val="right"/>
              <w:rPr>
                <w:rFonts w:hint="eastAsia" w:ascii="宋体" w:hAnsi="宋体" w:eastAsia="宋体" w:cs="黑体"/>
                <w:sz w:val="24"/>
                <w:szCs w:val="24"/>
                <w:highlight w:val="none"/>
                <w:lang w:val="en-US" w:eastAsia="zh-CN" w:bidi="ar-SA"/>
              </w:rPr>
            </w:pPr>
            <w:r>
              <w:rPr>
                <w:rFonts w:hint="eastAsia" w:ascii="宋体" w:hAnsi="宋体" w:eastAsia="宋体" w:cs="Times New Roman"/>
                <w:sz w:val="24"/>
                <w:szCs w:val="24"/>
                <w:highlight w:val="none"/>
                <w:lang w:eastAsia="zh-CN"/>
              </w:rPr>
              <w:t>在职民警配偶及成年子女和未成年子女人均保费</w:t>
            </w:r>
            <w:r>
              <w:rPr>
                <w:rFonts w:hint="eastAsia" w:ascii="宋体" w:hAnsi="宋体" w:eastAsia="宋体"/>
                <w:sz w:val="24"/>
                <w:szCs w:val="24"/>
                <w:highlight w:val="none"/>
                <w:u w:val="single"/>
              </w:rPr>
              <w:t>（大写）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eastAsia="zh-CN"/>
              </w:rPr>
              <w:t>小</w:t>
            </w:r>
            <w:r>
              <w:rPr>
                <w:rFonts w:hint="eastAsia" w:ascii="宋体" w:hAnsi="宋体" w:eastAsia="宋体"/>
                <w:sz w:val="24"/>
                <w:szCs w:val="24"/>
                <w:highlight w:val="none"/>
                <w:u w:val="single"/>
              </w:rPr>
              <w:t>写）</w:t>
            </w:r>
            <w:r>
              <w:rPr>
                <w:rFonts w:hint="eastAsia" w:ascii="宋体" w:hAnsi="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eastAsia="zh-CN"/>
              </w:rPr>
              <w:t>元</w:t>
            </w:r>
            <w:r>
              <w:rPr>
                <w:rFonts w:hint="eastAsia" w:ascii="宋体" w:hAnsi="宋体" w:eastAsia="宋体" w:cs="Times New Roman"/>
                <w:sz w:val="24"/>
                <w:szCs w:val="24"/>
                <w:highlight w:val="none"/>
                <w:lang w:val="en-US" w:eastAsia="zh-CN"/>
              </w:rPr>
              <w:t>/人</w:t>
            </w:r>
          </w:p>
        </w:tc>
      </w:tr>
      <w:tr w14:paraId="2A27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28" w:type="dxa"/>
            <w:shd w:val="clear" w:color="auto" w:fill="auto"/>
            <w:vAlign w:val="center"/>
          </w:tcPr>
          <w:p w14:paraId="39849FC1">
            <w:pPr>
              <w:snapToGrid w:val="0"/>
              <w:spacing w:line="360" w:lineRule="auto"/>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付款条件</w:t>
            </w:r>
          </w:p>
        </w:tc>
        <w:tc>
          <w:tcPr>
            <w:tcW w:w="7725" w:type="dxa"/>
            <w:shd w:val="clear" w:color="auto" w:fill="auto"/>
            <w:vAlign w:val="center"/>
          </w:tcPr>
          <w:p w14:paraId="72F4B139">
            <w:pPr>
              <w:snapToGrid w:val="0"/>
              <w:spacing w:line="360" w:lineRule="auto"/>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完全接受并响应本项目磋商文件的要求。</w:t>
            </w:r>
          </w:p>
        </w:tc>
      </w:tr>
    </w:tbl>
    <w:p w14:paraId="76C53289">
      <w:pPr>
        <w:snapToGrid w:val="0"/>
        <w:spacing w:after="156"/>
        <w:textAlignment w:val="baseline"/>
        <w:rPr>
          <w:rFonts w:ascii="Times New Roman" w:hAnsi="Times New Roman"/>
          <w:kern w:val="2"/>
          <w:szCs w:val="24"/>
        </w:rPr>
      </w:pPr>
    </w:p>
    <w:p w14:paraId="4947C024">
      <w:pPr>
        <w:snapToGrid w:val="0"/>
        <w:spacing w:line="360" w:lineRule="auto"/>
        <w:ind w:firstLine="482" w:firstLineChars="200"/>
        <w:textAlignment w:val="baseline"/>
        <w:rPr>
          <w:rFonts w:ascii="Times New Roman" w:hAnsi="宋体" w:cs="宋体"/>
          <w:b/>
          <w:kern w:val="2"/>
          <w:sz w:val="24"/>
          <w:szCs w:val="28"/>
        </w:rPr>
      </w:pPr>
      <w:r>
        <w:rPr>
          <w:rFonts w:hint="eastAsia" w:ascii="Times New Roman" w:hAnsi="宋体" w:cs="宋体"/>
          <w:b/>
          <w:kern w:val="2"/>
          <w:sz w:val="24"/>
          <w:szCs w:val="28"/>
        </w:rPr>
        <w:t>注：1、本表为格式表，不得自行改动，必须提供，否则视为未实质性响应</w:t>
      </w:r>
      <w:r>
        <w:rPr>
          <w:rFonts w:hint="eastAsia" w:ascii="Times New Roman" w:hAnsi="宋体" w:cs="宋体"/>
          <w:b/>
          <w:kern w:val="2"/>
          <w:sz w:val="24"/>
          <w:szCs w:val="28"/>
          <w:lang w:val="en-US" w:eastAsia="zh-CN"/>
        </w:rPr>
        <w:t>磋商</w:t>
      </w:r>
      <w:r>
        <w:rPr>
          <w:rFonts w:hint="eastAsia" w:ascii="Times New Roman" w:hAnsi="宋体" w:cs="宋体"/>
          <w:b/>
          <w:kern w:val="2"/>
          <w:sz w:val="24"/>
          <w:szCs w:val="28"/>
          <w:lang w:eastAsia="zh-CN"/>
        </w:rPr>
        <w:t>文件</w:t>
      </w:r>
      <w:r>
        <w:rPr>
          <w:rFonts w:hint="eastAsia" w:ascii="Times New Roman" w:hAnsi="宋体" w:cs="宋体"/>
          <w:b/>
          <w:kern w:val="2"/>
          <w:sz w:val="24"/>
          <w:szCs w:val="28"/>
        </w:rPr>
        <w:t>。</w:t>
      </w:r>
    </w:p>
    <w:p w14:paraId="1EE57202">
      <w:pPr>
        <w:snapToGrid w:val="0"/>
        <w:spacing w:line="360" w:lineRule="auto"/>
        <w:ind w:firstLine="482" w:firstLineChars="200"/>
        <w:textAlignment w:val="baseline"/>
        <w:rPr>
          <w:rFonts w:ascii="Times New Roman" w:hAnsi="宋体" w:cs="宋体"/>
          <w:b/>
          <w:kern w:val="2"/>
          <w:sz w:val="24"/>
          <w:szCs w:val="28"/>
        </w:rPr>
      </w:pPr>
      <w:r>
        <w:rPr>
          <w:rFonts w:hint="eastAsia" w:ascii="Times New Roman" w:hAnsi="宋体" w:cs="宋体"/>
          <w:b/>
          <w:kern w:val="2"/>
          <w:sz w:val="24"/>
          <w:szCs w:val="28"/>
        </w:rPr>
        <w:t>2、第2轮(最终)报价将在磋商时填写，响应文件密封提交时只需填写第1轮磋商报价。</w:t>
      </w:r>
    </w:p>
    <w:p w14:paraId="16C475E6">
      <w:pPr>
        <w:snapToGrid w:val="0"/>
        <w:spacing w:line="360" w:lineRule="auto"/>
        <w:ind w:firstLine="482" w:firstLineChars="200"/>
        <w:textAlignment w:val="baseline"/>
        <w:rPr>
          <w:rFonts w:ascii="Times New Roman" w:hAnsi="宋体" w:cs="宋体"/>
          <w:b/>
          <w:kern w:val="2"/>
          <w:sz w:val="24"/>
          <w:szCs w:val="28"/>
          <w:highlight w:val="none"/>
        </w:rPr>
      </w:pPr>
      <w:r>
        <w:rPr>
          <w:rFonts w:hint="eastAsia" w:ascii="Times New Roman" w:hAnsi="宋体" w:cs="宋体"/>
          <w:b/>
          <w:kern w:val="2"/>
          <w:sz w:val="24"/>
          <w:szCs w:val="28"/>
          <w:highlight w:val="none"/>
        </w:rPr>
        <w:t>3、本表式不得自行改动。</w:t>
      </w:r>
    </w:p>
    <w:p w14:paraId="27C7EDF0">
      <w:pPr>
        <w:snapToGrid w:val="0"/>
        <w:spacing w:line="360" w:lineRule="auto"/>
        <w:textAlignment w:val="baseline"/>
        <w:rPr>
          <w:rFonts w:ascii="宋体" w:hAnsi="宋体"/>
          <w:szCs w:val="24"/>
          <w:highlight w:val="none"/>
        </w:rPr>
      </w:pPr>
    </w:p>
    <w:p w14:paraId="32580282">
      <w:pPr>
        <w:tabs>
          <w:tab w:val="left" w:pos="5665"/>
          <w:tab w:val="right" w:pos="8360"/>
        </w:tabs>
        <w:snapToGrid w:val="0"/>
        <w:spacing w:line="360" w:lineRule="auto"/>
        <w:ind w:right="42" w:firstLine="1560" w:firstLineChars="650"/>
        <w:textAlignment w:val="baseline"/>
        <w:rPr>
          <w:rFonts w:ascii="宋体" w:hAnsi="宋体" w:cs="宋体"/>
          <w:kern w:val="2"/>
          <w:sz w:val="24"/>
          <w:szCs w:val="28"/>
          <w:highlight w:val="none"/>
        </w:rPr>
      </w:pPr>
    </w:p>
    <w:p w14:paraId="27871306">
      <w:pPr>
        <w:snapToGrid w:val="0"/>
        <w:spacing w:line="360" w:lineRule="auto"/>
        <w:ind w:right="79"/>
        <w:textAlignment w:val="baseline"/>
        <w:rPr>
          <w:rFonts w:ascii="宋体" w:hAnsi="宋体" w:cs="宋体"/>
          <w:color w:val="000000"/>
          <w:kern w:val="2"/>
          <w:sz w:val="24"/>
          <w:szCs w:val="24"/>
          <w:highlight w:val="none"/>
        </w:rPr>
      </w:pPr>
      <w:r>
        <w:rPr>
          <w:rFonts w:hint="eastAsia" w:ascii="宋体" w:hAnsi="宋体" w:cs="宋体"/>
          <w:kern w:val="2"/>
          <w:sz w:val="24"/>
          <w:szCs w:val="24"/>
          <w:highlight w:val="none"/>
        </w:rPr>
        <w:t>竞争性磋商响应供应商：（单位盖章）</w:t>
      </w:r>
    </w:p>
    <w:p w14:paraId="5AF89BF4">
      <w:pPr>
        <w:tabs>
          <w:tab w:val="left" w:pos="5665"/>
          <w:tab w:val="right" w:pos="8360"/>
        </w:tabs>
        <w:snapToGrid w:val="0"/>
        <w:spacing w:line="360" w:lineRule="auto"/>
        <w:ind w:right="42"/>
        <w:textAlignment w:val="baseline"/>
        <w:rPr>
          <w:rFonts w:ascii="宋体" w:hAnsi="宋体" w:cs="宋体"/>
          <w:kern w:val="2"/>
          <w:sz w:val="24"/>
          <w:szCs w:val="28"/>
          <w:highlight w:val="none"/>
          <w:u w:val="single"/>
        </w:rPr>
      </w:pPr>
      <w:r>
        <w:rPr>
          <w:rFonts w:hint="eastAsia" w:ascii="宋体" w:hAnsi="宋体" w:cs="宋体"/>
          <w:kern w:val="2"/>
          <w:sz w:val="24"/>
          <w:szCs w:val="28"/>
          <w:highlight w:val="none"/>
        </w:rPr>
        <w:t>法定代表人</w:t>
      </w:r>
      <w:r>
        <w:rPr>
          <w:rFonts w:hint="eastAsia" w:ascii="宋体" w:hAnsi="宋体" w:cs="宋体"/>
          <w:kern w:val="2"/>
          <w:sz w:val="24"/>
          <w:szCs w:val="24"/>
          <w:highlight w:val="none"/>
          <w:lang w:val="en-US" w:eastAsia="zh-CN"/>
        </w:rPr>
        <w:t>或</w:t>
      </w:r>
      <w:r>
        <w:rPr>
          <w:rFonts w:hint="eastAsia" w:ascii="Times New Roman" w:hAnsi="Times New Roman" w:cs="宋体"/>
          <w:kern w:val="2"/>
          <w:sz w:val="24"/>
          <w:szCs w:val="24"/>
          <w:highlight w:val="none"/>
          <w:lang w:val="en-US" w:eastAsia="zh-CN"/>
        </w:rPr>
        <w:t>企业负责人</w:t>
      </w:r>
      <w:r>
        <w:rPr>
          <w:rFonts w:hint="eastAsia" w:ascii="宋体" w:hAnsi="宋体" w:cs="宋体"/>
          <w:kern w:val="2"/>
          <w:sz w:val="24"/>
          <w:szCs w:val="28"/>
          <w:highlight w:val="none"/>
        </w:rPr>
        <w:t>或</w:t>
      </w:r>
      <w:r>
        <w:rPr>
          <w:rFonts w:hint="eastAsia" w:ascii="宋体" w:hAnsi="宋体" w:cs="仿宋_GB2312"/>
          <w:kern w:val="2"/>
          <w:sz w:val="24"/>
          <w:szCs w:val="28"/>
          <w:highlight w:val="none"/>
        </w:rPr>
        <w:t>被授权人（签字或盖章）</w:t>
      </w:r>
      <w:r>
        <w:rPr>
          <w:rFonts w:hint="eastAsia" w:ascii="宋体" w:hAnsi="宋体" w:cs="宋体"/>
          <w:kern w:val="2"/>
          <w:sz w:val="24"/>
          <w:szCs w:val="28"/>
          <w:highlight w:val="none"/>
        </w:rPr>
        <w:t>：</w:t>
      </w:r>
    </w:p>
    <w:p w14:paraId="1348945D">
      <w:pPr>
        <w:tabs>
          <w:tab w:val="left" w:pos="5665"/>
          <w:tab w:val="right" w:pos="8360"/>
        </w:tabs>
        <w:snapToGrid w:val="0"/>
        <w:spacing w:line="360" w:lineRule="auto"/>
        <w:ind w:right="42"/>
        <w:textAlignment w:val="baseline"/>
        <w:rPr>
          <w:rFonts w:ascii="宋体" w:hAnsi="宋体" w:cs="宋体"/>
          <w:color w:val="000000"/>
          <w:kern w:val="2"/>
          <w:sz w:val="24"/>
          <w:szCs w:val="28"/>
          <w:highlight w:val="none"/>
          <w:lang w:val="zh-CN"/>
        </w:rPr>
      </w:pPr>
      <w:r>
        <w:rPr>
          <w:rFonts w:hint="eastAsia" w:ascii="宋体" w:hAnsi="宋体" w:cs="宋体"/>
          <w:color w:val="000000"/>
          <w:kern w:val="2"/>
          <w:sz w:val="24"/>
          <w:szCs w:val="28"/>
          <w:highlight w:val="none"/>
          <w:lang w:val="zh-CN"/>
        </w:rPr>
        <w:t>日期：年月日</w:t>
      </w:r>
    </w:p>
    <w:p w14:paraId="2A7BDD64">
      <w:pPr>
        <w:adjustRightInd w:val="0"/>
        <w:snapToGrid w:val="0"/>
        <w:spacing w:line="360" w:lineRule="auto"/>
        <w:ind w:firstLine="494"/>
      </w:pPr>
    </w:p>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413B">
    <w:pPr>
      <w:pStyle w:val="36"/>
      <w:jc w:val="center"/>
    </w:pPr>
    <w:r>
      <w:fldChar w:fldCharType="begin"/>
    </w:r>
    <w:r>
      <w:instrText xml:space="preserve"> PAGE   \* MERGEFORMAT </w:instrText>
    </w:r>
    <w:r>
      <w:fldChar w:fldCharType="separate"/>
    </w:r>
    <w:r>
      <w:rPr>
        <w:lang w:val="zh-CN"/>
      </w:rPr>
      <w:t>23</w:t>
    </w:r>
    <w:r>
      <w:rPr>
        <w:lang w:val="zh-CN"/>
      </w:rPr>
      <w:fldChar w:fldCharType="end"/>
    </w:r>
  </w:p>
  <w:p w14:paraId="2DF48DC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442A">
    <w:pPr>
      <w:pStyle w:val="36"/>
      <w:jc w:val="center"/>
    </w:pPr>
    <w:r>
      <w:fldChar w:fldCharType="begin"/>
    </w:r>
    <w:r>
      <w:instrText xml:space="preserve"> PAGE   \* MERGEFORMAT </w:instrText>
    </w:r>
    <w:r>
      <w:fldChar w:fldCharType="separate"/>
    </w:r>
    <w:r>
      <w:rPr>
        <w:lang w:val="zh-CN"/>
      </w:rPr>
      <w:t>1</w:t>
    </w:r>
    <w:r>
      <w:rPr>
        <w:lang w:val="zh-CN"/>
      </w:rPr>
      <w:fldChar w:fldCharType="end"/>
    </w:r>
  </w:p>
  <w:p w14:paraId="1D9AF6D8">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67C9">
    <w:pPr>
      <w:tabs>
        <w:tab w:val="left" w:pos="6300"/>
      </w:tabs>
      <w:spacing w:line="30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FE57">
    <w:pPr>
      <w:tabs>
        <w:tab w:val="left" w:pos="6300"/>
      </w:tabs>
      <w:spacing w:line="30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BC"/>
    <w:rsid w:val="00025167"/>
    <w:rsid w:val="000B6FF1"/>
    <w:rsid w:val="00134DF0"/>
    <w:rsid w:val="00194CCF"/>
    <w:rsid w:val="001A42E9"/>
    <w:rsid w:val="001B3505"/>
    <w:rsid w:val="00213CF6"/>
    <w:rsid w:val="002550E1"/>
    <w:rsid w:val="002B171F"/>
    <w:rsid w:val="002C7681"/>
    <w:rsid w:val="002D5BC7"/>
    <w:rsid w:val="002E1839"/>
    <w:rsid w:val="002F4311"/>
    <w:rsid w:val="00331BAC"/>
    <w:rsid w:val="0039280A"/>
    <w:rsid w:val="003B783F"/>
    <w:rsid w:val="003D0404"/>
    <w:rsid w:val="00442710"/>
    <w:rsid w:val="0048059A"/>
    <w:rsid w:val="00481700"/>
    <w:rsid w:val="0049626B"/>
    <w:rsid w:val="00497EBF"/>
    <w:rsid w:val="004D7D49"/>
    <w:rsid w:val="004E5414"/>
    <w:rsid w:val="00512B04"/>
    <w:rsid w:val="005319D6"/>
    <w:rsid w:val="00566BDD"/>
    <w:rsid w:val="00580F6D"/>
    <w:rsid w:val="005E60BB"/>
    <w:rsid w:val="006279A4"/>
    <w:rsid w:val="00636996"/>
    <w:rsid w:val="006750FC"/>
    <w:rsid w:val="006E73DD"/>
    <w:rsid w:val="007037BC"/>
    <w:rsid w:val="00704B9D"/>
    <w:rsid w:val="00711C88"/>
    <w:rsid w:val="00712A9D"/>
    <w:rsid w:val="00746FC5"/>
    <w:rsid w:val="0078143C"/>
    <w:rsid w:val="0078421A"/>
    <w:rsid w:val="007F3633"/>
    <w:rsid w:val="008322BB"/>
    <w:rsid w:val="0086070F"/>
    <w:rsid w:val="00884CB1"/>
    <w:rsid w:val="008A331B"/>
    <w:rsid w:val="008A7608"/>
    <w:rsid w:val="008D0640"/>
    <w:rsid w:val="00967A2A"/>
    <w:rsid w:val="009B4F28"/>
    <w:rsid w:val="009D662B"/>
    <w:rsid w:val="00A41B79"/>
    <w:rsid w:val="00AB1BBB"/>
    <w:rsid w:val="00AC0FD1"/>
    <w:rsid w:val="00AC1664"/>
    <w:rsid w:val="00AE38E7"/>
    <w:rsid w:val="00B077E4"/>
    <w:rsid w:val="00B363BB"/>
    <w:rsid w:val="00B955AE"/>
    <w:rsid w:val="00BB5650"/>
    <w:rsid w:val="00BE3EE1"/>
    <w:rsid w:val="00BF4161"/>
    <w:rsid w:val="00C040C7"/>
    <w:rsid w:val="00C5260B"/>
    <w:rsid w:val="00C7074E"/>
    <w:rsid w:val="00CD2178"/>
    <w:rsid w:val="00CE1391"/>
    <w:rsid w:val="00CF74DC"/>
    <w:rsid w:val="00D20E10"/>
    <w:rsid w:val="00D754EF"/>
    <w:rsid w:val="00DD27B7"/>
    <w:rsid w:val="00E0372F"/>
    <w:rsid w:val="00E24FE0"/>
    <w:rsid w:val="00E512D6"/>
    <w:rsid w:val="00E72AEB"/>
    <w:rsid w:val="00EA089A"/>
    <w:rsid w:val="00F44A1F"/>
    <w:rsid w:val="00F631CE"/>
    <w:rsid w:val="00F955E1"/>
    <w:rsid w:val="00FA3FCF"/>
    <w:rsid w:val="010D6029"/>
    <w:rsid w:val="011078C7"/>
    <w:rsid w:val="011E0236"/>
    <w:rsid w:val="013E61E2"/>
    <w:rsid w:val="014B08FF"/>
    <w:rsid w:val="0156177E"/>
    <w:rsid w:val="015772A4"/>
    <w:rsid w:val="016245C6"/>
    <w:rsid w:val="01D55B47"/>
    <w:rsid w:val="023B4FA2"/>
    <w:rsid w:val="02976EFE"/>
    <w:rsid w:val="02FE36F7"/>
    <w:rsid w:val="033A0C2B"/>
    <w:rsid w:val="036A7762"/>
    <w:rsid w:val="038F541B"/>
    <w:rsid w:val="039842CF"/>
    <w:rsid w:val="03A8028B"/>
    <w:rsid w:val="03B24C65"/>
    <w:rsid w:val="03C9092D"/>
    <w:rsid w:val="04293179"/>
    <w:rsid w:val="043553B6"/>
    <w:rsid w:val="04431478"/>
    <w:rsid w:val="04645078"/>
    <w:rsid w:val="04846602"/>
    <w:rsid w:val="04AB0032"/>
    <w:rsid w:val="04B2316F"/>
    <w:rsid w:val="04BF588C"/>
    <w:rsid w:val="050339CA"/>
    <w:rsid w:val="05105783"/>
    <w:rsid w:val="05445D91"/>
    <w:rsid w:val="05634469"/>
    <w:rsid w:val="05665CA4"/>
    <w:rsid w:val="05A735B4"/>
    <w:rsid w:val="05AC624D"/>
    <w:rsid w:val="05E27A84"/>
    <w:rsid w:val="05EC0902"/>
    <w:rsid w:val="05F22FFD"/>
    <w:rsid w:val="05F41565"/>
    <w:rsid w:val="05F96B7B"/>
    <w:rsid w:val="06037123"/>
    <w:rsid w:val="062F6A41"/>
    <w:rsid w:val="06A0349B"/>
    <w:rsid w:val="06BA1548"/>
    <w:rsid w:val="06BF1B73"/>
    <w:rsid w:val="06CD3D72"/>
    <w:rsid w:val="06CD689B"/>
    <w:rsid w:val="06CE1DB6"/>
    <w:rsid w:val="06E25862"/>
    <w:rsid w:val="06E5236E"/>
    <w:rsid w:val="06E93094"/>
    <w:rsid w:val="06EE06AA"/>
    <w:rsid w:val="06F061D0"/>
    <w:rsid w:val="06FC1689"/>
    <w:rsid w:val="07114E36"/>
    <w:rsid w:val="072A310F"/>
    <w:rsid w:val="07375BAD"/>
    <w:rsid w:val="07675E1B"/>
    <w:rsid w:val="077E558A"/>
    <w:rsid w:val="079E79DA"/>
    <w:rsid w:val="079F5D2A"/>
    <w:rsid w:val="07C136C9"/>
    <w:rsid w:val="07D4164E"/>
    <w:rsid w:val="07EF0236"/>
    <w:rsid w:val="08400A92"/>
    <w:rsid w:val="08444A26"/>
    <w:rsid w:val="08732C15"/>
    <w:rsid w:val="08DA2C94"/>
    <w:rsid w:val="091436A4"/>
    <w:rsid w:val="091D4253"/>
    <w:rsid w:val="0926412B"/>
    <w:rsid w:val="092E2FE0"/>
    <w:rsid w:val="094E3682"/>
    <w:rsid w:val="09502F56"/>
    <w:rsid w:val="096D1D5A"/>
    <w:rsid w:val="09710FA4"/>
    <w:rsid w:val="09954E0D"/>
    <w:rsid w:val="09D122E9"/>
    <w:rsid w:val="09E11F77"/>
    <w:rsid w:val="09F45FD8"/>
    <w:rsid w:val="09F61AD0"/>
    <w:rsid w:val="0A00672A"/>
    <w:rsid w:val="0A03028E"/>
    <w:rsid w:val="0A081A83"/>
    <w:rsid w:val="0AB45767"/>
    <w:rsid w:val="0ABF0394"/>
    <w:rsid w:val="0ABF65E6"/>
    <w:rsid w:val="0AFC7763"/>
    <w:rsid w:val="0B446AEB"/>
    <w:rsid w:val="0B5D7BAD"/>
    <w:rsid w:val="0B704DF1"/>
    <w:rsid w:val="0BBE689D"/>
    <w:rsid w:val="0BBF6171"/>
    <w:rsid w:val="0BCD2653"/>
    <w:rsid w:val="0BD47E6F"/>
    <w:rsid w:val="0BD87233"/>
    <w:rsid w:val="0BE758FC"/>
    <w:rsid w:val="0BF71DAF"/>
    <w:rsid w:val="0C2B47B0"/>
    <w:rsid w:val="0C6A2581"/>
    <w:rsid w:val="0C6D3E1F"/>
    <w:rsid w:val="0C7C7FF7"/>
    <w:rsid w:val="0C7E2B62"/>
    <w:rsid w:val="0C7E427E"/>
    <w:rsid w:val="0CA75583"/>
    <w:rsid w:val="0CF4009D"/>
    <w:rsid w:val="0CF63E15"/>
    <w:rsid w:val="0D570D57"/>
    <w:rsid w:val="0D7C6A10"/>
    <w:rsid w:val="0DB717F6"/>
    <w:rsid w:val="0E082052"/>
    <w:rsid w:val="0E107388"/>
    <w:rsid w:val="0E125B5B"/>
    <w:rsid w:val="0E203A24"/>
    <w:rsid w:val="0E3E6E0D"/>
    <w:rsid w:val="0E4137B5"/>
    <w:rsid w:val="0E481CCB"/>
    <w:rsid w:val="0E6E4C3F"/>
    <w:rsid w:val="0E7B0A75"/>
    <w:rsid w:val="0E7C659C"/>
    <w:rsid w:val="0E7F24D9"/>
    <w:rsid w:val="0F026AA1"/>
    <w:rsid w:val="0F1B7B63"/>
    <w:rsid w:val="0FA66E92"/>
    <w:rsid w:val="1081235D"/>
    <w:rsid w:val="108930FB"/>
    <w:rsid w:val="10A735CE"/>
    <w:rsid w:val="10B4201D"/>
    <w:rsid w:val="10DE709A"/>
    <w:rsid w:val="11074842"/>
    <w:rsid w:val="110E0B80"/>
    <w:rsid w:val="11200341"/>
    <w:rsid w:val="11360C84"/>
    <w:rsid w:val="11651569"/>
    <w:rsid w:val="116C28F7"/>
    <w:rsid w:val="118063A3"/>
    <w:rsid w:val="11C049F1"/>
    <w:rsid w:val="11D24E50"/>
    <w:rsid w:val="11E05DD9"/>
    <w:rsid w:val="11E63BAA"/>
    <w:rsid w:val="11F50B3F"/>
    <w:rsid w:val="12353631"/>
    <w:rsid w:val="12380A2C"/>
    <w:rsid w:val="12463DB9"/>
    <w:rsid w:val="12593B48"/>
    <w:rsid w:val="126B7053"/>
    <w:rsid w:val="12A6008B"/>
    <w:rsid w:val="13227CC2"/>
    <w:rsid w:val="132D18DC"/>
    <w:rsid w:val="13315BA7"/>
    <w:rsid w:val="134358DA"/>
    <w:rsid w:val="13806B2E"/>
    <w:rsid w:val="139A16DC"/>
    <w:rsid w:val="13A62514"/>
    <w:rsid w:val="13AD1DFD"/>
    <w:rsid w:val="13BF1404"/>
    <w:rsid w:val="13D32467"/>
    <w:rsid w:val="13E16B2F"/>
    <w:rsid w:val="13E946D3"/>
    <w:rsid w:val="14002981"/>
    <w:rsid w:val="144162BD"/>
    <w:rsid w:val="14506500"/>
    <w:rsid w:val="146B52D8"/>
    <w:rsid w:val="149C34F4"/>
    <w:rsid w:val="149F2FE4"/>
    <w:rsid w:val="14AD3953"/>
    <w:rsid w:val="14B33435"/>
    <w:rsid w:val="14C03686"/>
    <w:rsid w:val="14D7277E"/>
    <w:rsid w:val="15204125"/>
    <w:rsid w:val="154127E9"/>
    <w:rsid w:val="154F67B8"/>
    <w:rsid w:val="15747FCD"/>
    <w:rsid w:val="15783F61"/>
    <w:rsid w:val="15966195"/>
    <w:rsid w:val="15A46B04"/>
    <w:rsid w:val="15F31839"/>
    <w:rsid w:val="163C1B4B"/>
    <w:rsid w:val="16504596"/>
    <w:rsid w:val="166242C9"/>
    <w:rsid w:val="16832BBD"/>
    <w:rsid w:val="16D451C7"/>
    <w:rsid w:val="16F77107"/>
    <w:rsid w:val="16FC296F"/>
    <w:rsid w:val="170535D2"/>
    <w:rsid w:val="17190E2C"/>
    <w:rsid w:val="1739327C"/>
    <w:rsid w:val="17764D97"/>
    <w:rsid w:val="18351C95"/>
    <w:rsid w:val="183D2DA5"/>
    <w:rsid w:val="1844012A"/>
    <w:rsid w:val="186B3909"/>
    <w:rsid w:val="18950986"/>
    <w:rsid w:val="18BC23B6"/>
    <w:rsid w:val="18C179CD"/>
    <w:rsid w:val="19263CD4"/>
    <w:rsid w:val="193B33BD"/>
    <w:rsid w:val="19582273"/>
    <w:rsid w:val="19706CFD"/>
    <w:rsid w:val="197607B7"/>
    <w:rsid w:val="198008CA"/>
    <w:rsid w:val="19893154"/>
    <w:rsid w:val="19A05834"/>
    <w:rsid w:val="19C82A93"/>
    <w:rsid w:val="19E73463"/>
    <w:rsid w:val="19F142E2"/>
    <w:rsid w:val="19FF2B15"/>
    <w:rsid w:val="1A09162B"/>
    <w:rsid w:val="1A295829"/>
    <w:rsid w:val="1A2E4BEE"/>
    <w:rsid w:val="1A304E0A"/>
    <w:rsid w:val="1A367D04"/>
    <w:rsid w:val="1A3D3083"/>
    <w:rsid w:val="1A5605E9"/>
    <w:rsid w:val="1A732F49"/>
    <w:rsid w:val="1A7A42D7"/>
    <w:rsid w:val="1A7C7CA6"/>
    <w:rsid w:val="1A7F5449"/>
    <w:rsid w:val="1AC15A62"/>
    <w:rsid w:val="1B0E4A1F"/>
    <w:rsid w:val="1B1C7DC9"/>
    <w:rsid w:val="1B2D4F21"/>
    <w:rsid w:val="1B46240B"/>
    <w:rsid w:val="1B530684"/>
    <w:rsid w:val="1B707488"/>
    <w:rsid w:val="1B7142D7"/>
    <w:rsid w:val="1B9F7CA6"/>
    <w:rsid w:val="1BAF61A1"/>
    <w:rsid w:val="1BB235FD"/>
    <w:rsid w:val="1BB43819"/>
    <w:rsid w:val="1BBE1FA1"/>
    <w:rsid w:val="1BCA4DEA"/>
    <w:rsid w:val="1BD069BB"/>
    <w:rsid w:val="1BE22134"/>
    <w:rsid w:val="1C4032FE"/>
    <w:rsid w:val="1C416EF8"/>
    <w:rsid w:val="1C5020B1"/>
    <w:rsid w:val="1C5446B4"/>
    <w:rsid w:val="1C5823F6"/>
    <w:rsid w:val="1C62060E"/>
    <w:rsid w:val="1CA32066"/>
    <w:rsid w:val="1CC57360"/>
    <w:rsid w:val="1D0F7001"/>
    <w:rsid w:val="1D2642A2"/>
    <w:rsid w:val="1D40236B"/>
    <w:rsid w:val="1D532BBD"/>
    <w:rsid w:val="1D5B2BE4"/>
    <w:rsid w:val="1DB96EC4"/>
    <w:rsid w:val="1DC00253"/>
    <w:rsid w:val="1DCF0496"/>
    <w:rsid w:val="1DE0617B"/>
    <w:rsid w:val="1DF779ED"/>
    <w:rsid w:val="1E320682"/>
    <w:rsid w:val="1E450758"/>
    <w:rsid w:val="1E560BB7"/>
    <w:rsid w:val="1E5614CA"/>
    <w:rsid w:val="1E62130A"/>
    <w:rsid w:val="1E8A18BA"/>
    <w:rsid w:val="1E967206"/>
    <w:rsid w:val="1E9D2342"/>
    <w:rsid w:val="1EB3600A"/>
    <w:rsid w:val="1EC91389"/>
    <w:rsid w:val="1ECC2C27"/>
    <w:rsid w:val="1EE937D9"/>
    <w:rsid w:val="1F244811"/>
    <w:rsid w:val="1F2C72E7"/>
    <w:rsid w:val="1F3507CD"/>
    <w:rsid w:val="1F417171"/>
    <w:rsid w:val="1F444EB4"/>
    <w:rsid w:val="1F464788"/>
    <w:rsid w:val="1F7E2174"/>
    <w:rsid w:val="1FE97E8D"/>
    <w:rsid w:val="1FEA15B7"/>
    <w:rsid w:val="20125CE3"/>
    <w:rsid w:val="20214956"/>
    <w:rsid w:val="20232D1B"/>
    <w:rsid w:val="206C021E"/>
    <w:rsid w:val="207B4905"/>
    <w:rsid w:val="207E61A3"/>
    <w:rsid w:val="20B83463"/>
    <w:rsid w:val="20DA5ACF"/>
    <w:rsid w:val="21063081"/>
    <w:rsid w:val="212E3725"/>
    <w:rsid w:val="21514020"/>
    <w:rsid w:val="21556F04"/>
    <w:rsid w:val="217703D3"/>
    <w:rsid w:val="21842B2E"/>
    <w:rsid w:val="219A04CF"/>
    <w:rsid w:val="21AD635B"/>
    <w:rsid w:val="21DC13D3"/>
    <w:rsid w:val="220426D8"/>
    <w:rsid w:val="220A23E4"/>
    <w:rsid w:val="220D1865"/>
    <w:rsid w:val="22160D89"/>
    <w:rsid w:val="22347461"/>
    <w:rsid w:val="22A87507"/>
    <w:rsid w:val="22B8515B"/>
    <w:rsid w:val="22C2681B"/>
    <w:rsid w:val="22CC31F6"/>
    <w:rsid w:val="22E744D4"/>
    <w:rsid w:val="231A4415"/>
    <w:rsid w:val="231A6F78"/>
    <w:rsid w:val="2342795C"/>
    <w:rsid w:val="23586F64"/>
    <w:rsid w:val="2358717F"/>
    <w:rsid w:val="2369313B"/>
    <w:rsid w:val="236E0751"/>
    <w:rsid w:val="23841370"/>
    <w:rsid w:val="238B30B1"/>
    <w:rsid w:val="238E494F"/>
    <w:rsid w:val="23A45F21"/>
    <w:rsid w:val="23E17FBE"/>
    <w:rsid w:val="24101808"/>
    <w:rsid w:val="241A75B5"/>
    <w:rsid w:val="24561D87"/>
    <w:rsid w:val="24613E12"/>
    <w:rsid w:val="246F29D3"/>
    <w:rsid w:val="248875F1"/>
    <w:rsid w:val="248F6BD1"/>
    <w:rsid w:val="249146F7"/>
    <w:rsid w:val="249840F4"/>
    <w:rsid w:val="24E36DCF"/>
    <w:rsid w:val="24FD1D8D"/>
    <w:rsid w:val="250824DF"/>
    <w:rsid w:val="250F386E"/>
    <w:rsid w:val="252235A1"/>
    <w:rsid w:val="25276E09"/>
    <w:rsid w:val="252C4420"/>
    <w:rsid w:val="254E083A"/>
    <w:rsid w:val="2584399A"/>
    <w:rsid w:val="25D86356"/>
    <w:rsid w:val="25EB7E37"/>
    <w:rsid w:val="264A1001"/>
    <w:rsid w:val="264F486A"/>
    <w:rsid w:val="268D7140"/>
    <w:rsid w:val="26AD1590"/>
    <w:rsid w:val="26C54B2C"/>
    <w:rsid w:val="26E256DE"/>
    <w:rsid w:val="2705317A"/>
    <w:rsid w:val="27147861"/>
    <w:rsid w:val="2720475B"/>
    <w:rsid w:val="273F0604"/>
    <w:rsid w:val="274C6FFB"/>
    <w:rsid w:val="2758774E"/>
    <w:rsid w:val="281C3BC3"/>
    <w:rsid w:val="282D0BDB"/>
    <w:rsid w:val="287D18DA"/>
    <w:rsid w:val="287D5350"/>
    <w:rsid w:val="289E73E3"/>
    <w:rsid w:val="28BD7C51"/>
    <w:rsid w:val="28C50E13"/>
    <w:rsid w:val="28D14EE0"/>
    <w:rsid w:val="29115E06"/>
    <w:rsid w:val="29437F8A"/>
    <w:rsid w:val="294B487E"/>
    <w:rsid w:val="29583A35"/>
    <w:rsid w:val="295D729E"/>
    <w:rsid w:val="29631B1C"/>
    <w:rsid w:val="29820AB2"/>
    <w:rsid w:val="298A7967"/>
    <w:rsid w:val="2996630C"/>
    <w:rsid w:val="299F6168"/>
    <w:rsid w:val="29E74DB9"/>
    <w:rsid w:val="2A0C4820"/>
    <w:rsid w:val="2A0E67EA"/>
    <w:rsid w:val="2A0F5E0A"/>
    <w:rsid w:val="2A202079"/>
    <w:rsid w:val="2A2A5326"/>
    <w:rsid w:val="2A6603D4"/>
    <w:rsid w:val="2A834AE2"/>
    <w:rsid w:val="2A895E70"/>
    <w:rsid w:val="2A9A1E2C"/>
    <w:rsid w:val="2AA42CAA"/>
    <w:rsid w:val="2AA9206F"/>
    <w:rsid w:val="2AAD1B5F"/>
    <w:rsid w:val="2AB47391"/>
    <w:rsid w:val="2AED28A3"/>
    <w:rsid w:val="2AED63FF"/>
    <w:rsid w:val="2B624CD3"/>
    <w:rsid w:val="2B6A3EF4"/>
    <w:rsid w:val="2B9D6077"/>
    <w:rsid w:val="2BB2610A"/>
    <w:rsid w:val="2BBD4024"/>
    <w:rsid w:val="2BCB1F87"/>
    <w:rsid w:val="2C237ADB"/>
    <w:rsid w:val="2C3B319A"/>
    <w:rsid w:val="2C4D4F76"/>
    <w:rsid w:val="2C500A96"/>
    <w:rsid w:val="2C644CEB"/>
    <w:rsid w:val="2C7E3C95"/>
    <w:rsid w:val="2C9C0C93"/>
    <w:rsid w:val="2C9C1E8B"/>
    <w:rsid w:val="2CA12159"/>
    <w:rsid w:val="2CA86A82"/>
    <w:rsid w:val="2CAB2CBB"/>
    <w:rsid w:val="2CB903E0"/>
    <w:rsid w:val="2CBF201D"/>
    <w:rsid w:val="2CC31B0E"/>
    <w:rsid w:val="2CD474A0"/>
    <w:rsid w:val="2CEA709A"/>
    <w:rsid w:val="2CEC1AA6"/>
    <w:rsid w:val="2CF31A01"/>
    <w:rsid w:val="2D2500D2"/>
    <w:rsid w:val="2D2D51D9"/>
    <w:rsid w:val="2D320A41"/>
    <w:rsid w:val="2D46629B"/>
    <w:rsid w:val="2D4744ED"/>
    <w:rsid w:val="2D621327"/>
    <w:rsid w:val="2D687FBF"/>
    <w:rsid w:val="2D71156A"/>
    <w:rsid w:val="2D8D3ECA"/>
    <w:rsid w:val="2DCA2A28"/>
    <w:rsid w:val="2DD71EA4"/>
    <w:rsid w:val="2DF857E7"/>
    <w:rsid w:val="2E3A13E1"/>
    <w:rsid w:val="2E8D005E"/>
    <w:rsid w:val="2EAB2859"/>
    <w:rsid w:val="2EDA313F"/>
    <w:rsid w:val="2EE1627B"/>
    <w:rsid w:val="2EF75A9F"/>
    <w:rsid w:val="2F0F103A"/>
    <w:rsid w:val="2F210D6D"/>
    <w:rsid w:val="2F2A7C22"/>
    <w:rsid w:val="2F2B74F6"/>
    <w:rsid w:val="2F3E36CD"/>
    <w:rsid w:val="2FB83480"/>
    <w:rsid w:val="2FBB6ACC"/>
    <w:rsid w:val="2FC33BD3"/>
    <w:rsid w:val="2FCA4F61"/>
    <w:rsid w:val="30055F99"/>
    <w:rsid w:val="30087837"/>
    <w:rsid w:val="300D5873"/>
    <w:rsid w:val="303074BA"/>
    <w:rsid w:val="309D1F14"/>
    <w:rsid w:val="30B045BA"/>
    <w:rsid w:val="30EE230F"/>
    <w:rsid w:val="312B1A2F"/>
    <w:rsid w:val="3143321D"/>
    <w:rsid w:val="314F1BC2"/>
    <w:rsid w:val="3162636F"/>
    <w:rsid w:val="318555E4"/>
    <w:rsid w:val="31C63E9A"/>
    <w:rsid w:val="31DC0F7C"/>
    <w:rsid w:val="321C75CA"/>
    <w:rsid w:val="32225A8D"/>
    <w:rsid w:val="323243B7"/>
    <w:rsid w:val="324F1E45"/>
    <w:rsid w:val="325D030E"/>
    <w:rsid w:val="327E5E4D"/>
    <w:rsid w:val="32821B23"/>
    <w:rsid w:val="32867865"/>
    <w:rsid w:val="32AD1D1E"/>
    <w:rsid w:val="32C51A10"/>
    <w:rsid w:val="32D63C1D"/>
    <w:rsid w:val="32F72511"/>
    <w:rsid w:val="33186790"/>
    <w:rsid w:val="33572FB0"/>
    <w:rsid w:val="3377156E"/>
    <w:rsid w:val="338813BB"/>
    <w:rsid w:val="33F86541"/>
    <w:rsid w:val="340C3D9A"/>
    <w:rsid w:val="342950FC"/>
    <w:rsid w:val="34663484"/>
    <w:rsid w:val="348558FB"/>
    <w:rsid w:val="34AC5BDC"/>
    <w:rsid w:val="34D15006"/>
    <w:rsid w:val="34DB19BE"/>
    <w:rsid w:val="34EC597A"/>
    <w:rsid w:val="34FF745B"/>
    <w:rsid w:val="350A5F9E"/>
    <w:rsid w:val="350E3B42"/>
    <w:rsid w:val="35131158"/>
    <w:rsid w:val="35134CB4"/>
    <w:rsid w:val="35320F9C"/>
    <w:rsid w:val="35546B2F"/>
    <w:rsid w:val="35610116"/>
    <w:rsid w:val="35725E7F"/>
    <w:rsid w:val="35773495"/>
    <w:rsid w:val="35AB1391"/>
    <w:rsid w:val="35BA0B37"/>
    <w:rsid w:val="35DE52C2"/>
    <w:rsid w:val="35E054DE"/>
    <w:rsid w:val="36010FB1"/>
    <w:rsid w:val="36080591"/>
    <w:rsid w:val="36782179"/>
    <w:rsid w:val="36794FEB"/>
    <w:rsid w:val="36C22E36"/>
    <w:rsid w:val="36CC530B"/>
    <w:rsid w:val="36D410BA"/>
    <w:rsid w:val="37357164"/>
    <w:rsid w:val="37485765"/>
    <w:rsid w:val="374C0952"/>
    <w:rsid w:val="375A6BCB"/>
    <w:rsid w:val="37620175"/>
    <w:rsid w:val="376B702A"/>
    <w:rsid w:val="3776777C"/>
    <w:rsid w:val="37893954"/>
    <w:rsid w:val="379522F8"/>
    <w:rsid w:val="37CB3035"/>
    <w:rsid w:val="37D20E57"/>
    <w:rsid w:val="37EA2644"/>
    <w:rsid w:val="37F214F9"/>
    <w:rsid w:val="37F76B0F"/>
    <w:rsid w:val="37FC11D6"/>
    <w:rsid w:val="38003C16"/>
    <w:rsid w:val="381A771B"/>
    <w:rsid w:val="381E409C"/>
    <w:rsid w:val="38431D54"/>
    <w:rsid w:val="384E0E5C"/>
    <w:rsid w:val="386E213C"/>
    <w:rsid w:val="3872263A"/>
    <w:rsid w:val="38B92017"/>
    <w:rsid w:val="39194C1E"/>
    <w:rsid w:val="393E01A9"/>
    <w:rsid w:val="396379DA"/>
    <w:rsid w:val="39BA1BA2"/>
    <w:rsid w:val="39EA6B1D"/>
    <w:rsid w:val="3A296D28"/>
    <w:rsid w:val="3A306308"/>
    <w:rsid w:val="3A7B3A28"/>
    <w:rsid w:val="3A833AB6"/>
    <w:rsid w:val="3AB51493"/>
    <w:rsid w:val="3AE72E6B"/>
    <w:rsid w:val="3AF835D9"/>
    <w:rsid w:val="3B0A4DAB"/>
    <w:rsid w:val="3B0A4EFB"/>
    <w:rsid w:val="3B3836C7"/>
    <w:rsid w:val="3B455DE4"/>
    <w:rsid w:val="3B4958D4"/>
    <w:rsid w:val="3B673FAC"/>
    <w:rsid w:val="3BA66882"/>
    <w:rsid w:val="3BAF46A3"/>
    <w:rsid w:val="3BD11425"/>
    <w:rsid w:val="3BDF1D94"/>
    <w:rsid w:val="3BE86E9B"/>
    <w:rsid w:val="3C0D06AF"/>
    <w:rsid w:val="3C0E2679"/>
    <w:rsid w:val="3C145EE2"/>
    <w:rsid w:val="3C1732DC"/>
    <w:rsid w:val="3C2B6D87"/>
    <w:rsid w:val="3C2E57B8"/>
    <w:rsid w:val="3C406CD7"/>
    <w:rsid w:val="3C6B187A"/>
    <w:rsid w:val="3C7B7D0F"/>
    <w:rsid w:val="3C88242C"/>
    <w:rsid w:val="3C8D6458"/>
    <w:rsid w:val="3C9708C1"/>
    <w:rsid w:val="3CA37521"/>
    <w:rsid w:val="3CD1792F"/>
    <w:rsid w:val="3CF03B2D"/>
    <w:rsid w:val="3CFB6142"/>
    <w:rsid w:val="3D281519"/>
    <w:rsid w:val="3D94095C"/>
    <w:rsid w:val="3DA23079"/>
    <w:rsid w:val="3DAD20DD"/>
    <w:rsid w:val="3DB8289D"/>
    <w:rsid w:val="3DBA4867"/>
    <w:rsid w:val="3DEA3FF8"/>
    <w:rsid w:val="3DEB4A20"/>
    <w:rsid w:val="3DF17B5D"/>
    <w:rsid w:val="3DFD4754"/>
    <w:rsid w:val="3E012496"/>
    <w:rsid w:val="3E047890"/>
    <w:rsid w:val="3E195671"/>
    <w:rsid w:val="3E3C262A"/>
    <w:rsid w:val="3E5325C6"/>
    <w:rsid w:val="3E66054B"/>
    <w:rsid w:val="3E860BED"/>
    <w:rsid w:val="3E892452"/>
    <w:rsid w:val="3E90381A"/>
    <w:rsid w:val="3E923119"/>
    <w:rsid w:val="3EA60AF7"/>
    <w:rsid w:val="3EB02CBF"/>
    <w:rsid w:val="3ECC2AA4"/>
    <w:rsid w:val="3EDB2CE7"/>
    <w:rsid w:val="3EDE199E"/>
    <w:rsid w:val="3EFE4C27"/>
    <w:rsid w:val="3F1104B7"/>
    <w:rsid w:val="3F1B7587"/>
    <w:rsid w:val="3F562D65"/>
    <w:rsid w:val="3F6F78D3"/>
    <w:rsid w:val="3F7E3672"/>
    <w:rsid w:val="3F872DE1"/>
    <w:rsid w:val="3FD414E4"/>
    <w:rsid w:val="3FEC2CD2"/>
    <w:rsid w:val="3FFD4EDF"/>
    <w:rsid w:val="401F3597"/>
    <w:rsid w:val="404D19C2"/>
    <w:rsid w:val="40520D87"/>
    <w:rsid w:val="40A67324"/>
    <w:rsid w:val="40AB0497"/>
    <w:rsid w:val="40BD6D76"/>
    <w:rsid w:val="40CF687B"/>
    <w:rsid w:val="40D50BD5"/>
    <w:rsid w:val="40DA6FCE"/>
    <w:rsid w:val="40E045E4"/>
    <w:rsid w:val="40EB2F89"/>
    <w:rsid w:val="40FA10F3"/>
    <w:rsid w:val="410A78B3"/>
    <w:rsid w:val="41320BB8"/>
    <w:rsid w:val="414D3274"/>
    <w:rsid w:val="414D59F2"/>
    <w:rsid w:val="41774922"/>
    <w:rsid w:val="41A05B22"/>
    <w:rsid w:val="41CD5879"/>
    <w:rsid w:val="423D15C3"/>
    <w:rsid w:val="42594B93"/>
    <w:rsid w:val="427D25EE"/>
    <w:rsid w:val="429E4757"/>
    <w:rsid w:val="42CD0B98"/>
    <w:rsid w:val="42DA1507"/>
    <w:rsid w:val="42F8373B"/>
    <w:rsid w:val="42F904F0"/>
    <w:rsid w:val="431C38CE"/>
    <w:rsid w:val="43362BE2"/>
    <w:rsid w:val="43A17351"/>
    <w:rsid w:val="43C62D7F"/>
    <w:rsid w:val="43EE7018"/>
    <w:rsid w:val="43FD1DA6"/>
    <w:rsid w:val="44112D07"/>
    <w:rsid w:val="4488686A"/>
    <w:rsid w:val="448E25A9"/>
    <w:rsid w:val="449B0BEE"/>
    <w:rsid w:val="44B26298"/>
    <w:rsid w:val="44B6565C"/>
    <w:rsid w:val="44CE2F62"/>
    <w:rsid w:val="44D83825"/>
    <w:rsid w:val="44F763A1"/>
    <w:rsid w:val="4545710C"/>
    <w:rsid w:val="454A0C8D"/>
    <w:rsid w:val="4554754D"/>
    <w:rsid w:val="45611A6C"/>
    <w:rsid w:val="4577303D"/>
    <w:rsid w:val="45815C6A"/>
    <w:rsid w:val="45912351"/>
    <w:rsid w:val="45E30ABA"/>
    <w:rsid w:val="45F20916"/>
    <w:rsid w:val="45F97EF6"/>
    <w:rsid w:val="45FB2391"/>
    <w:rsid w:val="45FB7884"/>
    <w:rsid w:val="46040D75"/>
    <w:rsid w:val="46144D30"/>
    <w:rsid w:val="461E157D"/>
    <w:rsid w:val="465A6BE7"/>
    <w:rsid w:val="46601D24"/>
    <w:rsid w:val="466E2692"/>
    <w:rsid w:val="468A03EE"/>
    <w:rsid w:val="46B8390E"/>
    <w:rsid w:val="46CE3131"/>
    <w:rsid w:val="46DC584E"/>
    <w:rsid w:val="46E316D5"/>
    <w:rsid w:val="46E42955"/>
    <w:rsid w:val="46F506BE"/>
    <w:rsid w:val="46F56910"/>
    <w:rsid w:val="47081626"/>
    <w:rsid w:val="47226493"/>
    <w:rsid w:val="472D60AA"/>
    <w:rsid w:val="4732546E"/>
    <w:rsid w:val="473531B0"/>
    <w:rsid w:val="47533103"/>
    <w:rsid w:val="477E06B3"/>
    <w:rsid w:val="47C42849"/>
    <w:rsid w:val="47FC782A"/>
    <w:rsid w:val="480C5CBF"/>
    <w:rsid w:val="48117779"/>
    <w:rsid w:val="48164D90"/>
    <w:rsid w:val="4820176A"/>
    <w:rsid w:val="482F19AD"/>
    <w:rsid w:val="4854780C"/>
    <w:rsid w:val="486D24D6"/>
    <w:rsid w:val="487D4E0F"/>
    <w:rsid w:val="48CC36A0"/>
    <w:rsid w:val="48DD58AD"/>
    <w:rsid w:val="48EB3B64"/>
    <w:rsid w:val="491237A9"/>
    <w:rsid w:val="4929464F"/>
    <w:rsid w:val="495F62C2"/>
    <w:rsid w:val="49725FF6"/>
    <w:rsid w:val="498E0956"/>
    <w:rsid w:val="498F4DFA"/>
    <w:rsid w:val="499E6DEB"/>
    <w:rsid w:val="49A07007"/>
    <w:rsid w:val="49BE748D"/>
    <w:rsid w:val="49E65525"/>
    <w:rsid w:val="49F22ADE"/>
    <w:rsid w:val="49F92273"/>
    <w:rsid w:val="4A105A82"/>
    <w:rsid w:val="4A1277D9"/>
    <w:rsid w:val="4A2117CA"/>
    <w:rsid w:val="4A2B4A1C"/>
    <w:rsid w:val="4A2F038B"/>
    <w:rsid w:val="4A370FED"/>
    <w:rsid w:val="4A767D68"/>
    <w:rsid w:val="4A7838D6"/>
    <w:rsid w:val="4A987CDE"/>
    <w:rsid w:val="4AB663B6"/>
    <w:rsid w:val="4AC62A9D"/>
    <w:rsid w:val="4AE50A49"/>
    <w:rsid w:val="4B005883"/>
    <w:rsid w:val="4B0233A9"/>
    <w:rsid w:val="4B3C3DE5"/>
    <w:rsid w:val="4B8E2E8F"/>
    <w:rsid w:val="4B985ABC"/>
    <w:rsid w:val="4BA542EC"/>
    <w:rsid w:val="4BBE3774"/>
    <w:rsid w:val="4BC35DAF"/>
    <w:rsid w:val="4BD44D46"/>
    <w:rsid w:val="4BD54289"/>
    <w:rsid w:val="4BF058F8"/>
    <w:rsid w:val="4C261319"/>
    <w:rsid w:val="4C35316B"/>
    <w:rsid w:val="4C934C01"/>
    <w:rsid w:val="4C9D5A7F"/>
    <w:rsid w:val="4CEC4311"/>
    <w:rsid w:val="4CFD02CC"/>
    <w:rsid w:val="4D3B063E"/>
    <w:rsid w:val="4D4C735D"/>
    <w:rsid w:val="4D5F2D35"/>
    <w:rsid w:val="4D754306"/>
    <w:rsid w:val="4D7F6F33"/>
    <w:rsid w:val="4DA10F2C"/>
    <w:rsid w:val="4DB017E2"/>
    <w:rsid w:val="4DB622F0"/>
    <w:rsid w:val="4DD454D1"/>
    <w:rsid w:val="4DF23BA9"/>
    <w:rsid w:val="4E1E499E"/>
    <w:rsid w:val="4E451F2B"/>
    <w:rsid w:val="4E492C51"/>
    <w:rsid w:val="4E4A5793"/>
    <w:rsid w:val="4E5C1022"/>
    <w:rsid w:val="4E7E71EB"/>
    <w:rsid w:val="4E81093F"/>
    <w:rsid w:val="4E941FCB"/>
    <w:rsid w:val="4EA053B3"/>
    <w:rsid w:val="4EA76741"/>
    <w:rsid w:val="4EBD41B7"/>
    <w:rsid w:val="4EC414C8"/>
    <w:rsid w:val="4EE80B08"/>
    <w:rsid w:val="4F2C4E99"/>
    <w:rsid w:val="4F332EB2"/>
    <w:rsid w:val="4F33356C"/>
    <w:rsid w:val="4F45079D"/>
    <w:rsid w:val="4F471CD3"/>
    <w:rsid w:val="4F5E3CCA"/>
    <w:rsid w:val="4F6208BA"/>
    <w:rsid w:val="4F9842DC"/>
    <w:rsid w:val="4FA64C4B"/>
    <w:rsid w:val="4FBD1F95"/>
    <w:rsid w:val="4FE63299"/>
    <w:rsid w:val="500C5C5D"/>
    <w:rsid w:val="503A35E5"/>
    <w:rsid w:val="50447FC0"/>
    <w:rsid w:val="50566671"/>
    <w:rsid w:val="505F4DFA"/>
    <w:rsid w:val="508D5E0B"/>
    <w:rsid w:val="50942CF5"/>
    <w:rsid w:val="50AF5D81"/>
    <w:rsid w:val="50C7131D"/>
    <w:rsid w:val="50D21A70"/>
    <w:rsid w:val="50EA500B"/>
    <w:rsid w:val="50FA0E62"/>
    <w:rsid w:val="50FB4B23"/>
    <w:rsid w:val="50FC5468"/>
    <w:rsid w:val="51045D31"/>
    <w:rsid w:val="51121B77"/>
    <w:rsid w:val="5119236A"/>
    <w:rsid w:val="512F5063"/>
    <w:rsid w:val="51426BF5"/>
    <w:rsid w:val="51491D32"/>
    <w:rsid w:val="514C537E"/>
    <w:rsid w:val="515B1A65"/>
    <w:rsid w:val="518D035D"/>
    <w:rsid w:val="51B36B20"/>
    <w:rsid w:val="51B64EEE"/>
    <w:rsid w:val="51BC0756"/>
    <w:rsid w:val="51BD002A"/>
    <w:rsid w:val="51C4760A"/>
    <w:rsid w:val="51D81308"/>
    <w:rsid w:val="51DD247A"/>
    <w:rsid w:val="51DF4444"/>
    <w:rsid w:val="520774F7"/>
    <w:rsid w:val="521F2A93"/>
    <w:rsid w:val="522E6D7E"/>
    <w:rsid w:val="52303F7A"/>
    <w:rsid w:val="526A70ED"/>
    <w:rsid w:val="5278770A"/>
    <w:rsid w:val="527903F5"/>
    <w:rsid w:val="52860D64"/>
    <w:rsid w:val="52B07B8F"/>
    <w:rsid w:val="52BC6534"/>
    <w:rsid w:val="52C11D9C"/>
    <w:rsid w:val="52C35B14"/>
    <w:rsid w:val="52EA3926"/>
    <w:rsid w:val="52ED493F"/>
    <w:rsid w:val="52F61A46"/>
    <w:rsid w:val="530E480C"/>
    <w:rsid w:val="53146370"/>
    <w:rsid w:val="53255A89"/>
    <w:rsid w:val="532F31A9"/>
    <w:rsid w:val="53346859"/>
    <w:rsid w:val="534E1882"/>
    <w:rsid w:val="535B7AFB"/>
    <w:rsid w:val="53760DD8"/>
    <w:rsid w:val="53937282"/>
    <w:rsid w:val="53967073"/>
    <w:rsid w:val="539B439B"/>
    <w:rsid w:val="53AC0356"/>
    <w:rsid w:val="53B8319F"/>
    <w:rsid w:val="53C211FA"/>
    <w:rsid w:val="53FC0BBB"/>
    <w:rsid w:val="53FD5056"/>
    <w:rsid w:val="540D028D"/>
    <w:rsid w:val="54316AC5"/>
    <w:rsid w:val="54436F0C"/>
    <w:rsid w:val="545D78A2"/>
    <w:rsid w:val="54AF45A2"/>
    <w:rsid w:val="55023D73"/>
    <w:rsid w:val="550A5C7C"/>
    <w:rsid w:val="550F5041"/>
    <w:rsid w:val="55191A1B"/>
    <w:rsid w:val="554271C4"/>
    <w:rsid w:val="55551C7E"/>
    <w:rsid w:val="558477DD"/>
    <w:rsid w:val="55CF47D0"/>
    <w:rsid w:val="55F11D7B"/>
    <w:rsid w:val="55FC68E1"/>
    <w:rsid w:val="56004989"/>
    <w:rsid w:val="560E70A6"/>
    <w:rsid w:val="56112C65"/>
    <w:rsid w:val="56313D89"/>
    <w:rsid w:val="5632548A"/>
    <w:rsid w:val="56582A17"/>
    <w:rsid w:val="56715C20"/>
    <w:rsid w:val="56A33C92"/>
    <w:rsid w:val="56C16DC1"/>
    <w:rsid w:val="56CD5913"/>
    <w:rsid w:val="56E61DD1"/>
    <w:rsid w:val="57256D9D"/>
    <w:rsid w:val="574A6804"/>
    <w:rsid w:val="575136EE"/>
    <w:rsid w:val="575B456D"/>
    <w:rsid w:val="5784604E"/>
    <w:rsid w:val="579161E1"/>
    <w:rsid w:val="57AD28EF"/>
    <w:rsid w:val="57CA16F3"/>
    <w:rsid w:val="57FB7AFE"/>
    <w:rsid w:val="58062D10"/>
    <w:rsid w:val="58247055"/>
    <w:rsid w:val="582901C7"/>
    <w:rsid w:val="58366D88"/>
    <w:rsid w:val="585B1212"/>
    <w:rsid w:val="587578B0"/>
    <w:rsid w:val="587D49B7"/>
    <w:rsid w:val="58CB5722"/>
    <w:rsid w:val="58DF11CE"/>
    <w:rsid w:val="58F06F37"/>
    <w:rsid w:val="590B5B1F"/>
    <w:rsid w:val="591C5F7E"/>
    <w:rsid w:val="59374B66"/>
    <w:rsid w:val="593E46F9"/>
    <w:rsid w:val="5976568E"/>
    <w:rsid w:val="598633F7"/>
    <w:rsid w:val="59937B23"/>
    <w:rsid w:val="59A939BA"/>
    <w:rsid w:val="59B4129B"/>
    <w:rsid w:val="59E36A9C"/>
    <w:rsid w:val="5A160C1F"/>
    <w:rsid w:val="5A3D7F5A"/>
    <w:rsid w:val="5A83754C"/>
    <w:rsid w:val="5AA955EF"/>
    <w:rsid w:val="5AF80325"/>
    <w:rsid w:val="5B0942E0"/>
    <w:rsid w:val="5B1A64ED"/>
    <w:rsid w:val="5B242EC8"/>
    <w:rsid w:val="5B3441F1"/>
    <w:rsid w:val="5B5C6B06"/>
    <w:rsid w:val="5B5F2152"/>
    <w:rsid w:val="5B8F4F09"/>
    <w:rsid w:val="5BB406F0"/>
    <w:rsid w:val="5BD14DFE"/>
    <w:rsid w:val="5BD62414"/>
    <w:rsid w:val="5BE36C26"/>
    <w:rsid w:val="5BF22FC6"/>
    <w:rsid w:val="5C013209"/>
    <w:rsid w:val="5C381321"/>
    <w:rsid w:val="5C3929A3"/>
    <w:rsid w:val="5C91458D"/>
    <w:rsid w:val="5C9B1857"/>
    <w:rsid w:val="5CAC586B"/>
    <w:rsid w:val="5CAC7619"/>
    <w:rsid w:val="5CB951BF"/>
    <w:rsid w:val="5CC10F05"/>
    <w:rsid w:val="5CEC5C67"/>
    <w:rsid w:val="5CF07506"/>
    <w:rsid w:val="5D0E3E30"/>
    <w:rsid w:val="5D12084D"/>
    <w:rsid w:val="5D203B71"/>
    <w:rsid w:val="5D543F38"/>
    <w:rsid w:val="5D587CCB"/>
    <w:rsid w:val="5D61318B"/>
    <w:rsid w:val="5D704AEA"/>
    <w:rsid w:val="5E0E058B"/>
    <w:rsid w:val="5E211941"/>
    <w:rsid w:val="5E3E5F21"/>
    <w:rsid w:val="5E46735B"/>
    <w:rsid w:val="5E5B48D9"/>
    <w:rsid w:val="5E677C9B"/>
    <w:rsid w:val="5E7F4FE5"/>
    <w:rsid w:val="5E9860A7"/>
    <w:rsid w:val="5E9B16F3"/>
    <w:rsid w:val="5EB629D1"/>
    <w:rsid w:val="5ED05841"/>
    <w:rsid w:val="5EE4163F"/>
    <w:rsid w:val="5EF016A4"/>
    <w:rsid w:val="5F196F61"/>
    <w:rsid w:val="5F3A715E"/>
    <w:rsid w:val="5F4F0E5B"/>
    <w:rsid w:val="5F530220"/>
    <w:rsid w:val="5F5715A6"/>
    <w:rsid w:val="5F5C53FD"/>
    <w:rsid w:val="5F7165CC"/>
    <w:rsid w:val="5F79590E"/>
    <w:rsid w:val="5F93061C"/>
    <w:rsid w:val="5FED2422"/>
    <w:rsid w:val="5FFC31F6"/>
    <w:rsid w:val="600C0AFA"/>
    <w:rsid w:val="60173C02"/>
    <w:rsid w:val="60326087"/>
    <w:rsid w:val="60457B68"/>
    <w:rsid w:val="604F0C57"/>
    <w:rsid w:val="605B738C"/>
    <w:rsid w:val="60B116A2"/>
    <w:rsid w:val="60E530F9"/>
    <w:rsid w:val="60E90E3C"/>
    <w:rsid w:val="60E94998"/>
    <w:rsid w:val="60FD6695"/>
    <w:rsid w:val="612105D5"/>
    <w:rsid w:val="614C3178"/>
    <w:rsid w:val="61554150"/>
    <w:rsid w:val="61700C15"/>
    <w:rsid w:val="61891CD7"/>
    <w:rsid w:val="61957C8B"/>
    <w:rsid w:val="61CD250B"/>
    <w:rsid w:val="61CD42B9"/>
    <w:rsid w:val="61D45648"/>
    <w:rsid w:val="62201384"/>
    <w:rsid w:val="624A3B5C"/>
    <w:rsid w:val="626C655C"/>
    <w:rsid w:val="626F35C2"/>
    <w:rsid w:val="62764951"/>
    <w:rsid w:val="6299419B"/>
    <w:rsid w:val="62A96AD4"/>
    <w:rsid w:val="62AA0157"/>
    <w:rsid w:val="62CC27C3"/>
    <w:rsid w:val="62CF7BBD"/>
    <w:rsid w:val="62E80C7F"/>
    <w:rsid w:val="63076078"/>
    <w:rsid w:val="630E685B"/>
    <w:rsid w:val="63220635"/>
    <w:rsid w:val="632D5246"/>
    <w:rsid w:val="632F7830"/>
    <w:rsid w:val="63304B00"/>
    <w:rsid w:val="63367C3C"/>
    <w:rsid w:val="633B327E"/>
    <w:rsid w:val="633F4D43"/>
    <w:rsid w:val="635D1376"/>
    <w:rsid w:val="63892462"/>
    <w:rsid w:val="639826A5"/>
    <w:rsid w:val="63A159FD"/>
    <w:rsid w:val="63BA261B"/>
    <w:rsid w:val="63C57BBC"/>
    <w:rsid w:val="63C90AB0"/>
    <w:rsid w:val="63D0686F"/>
    <w:rsid w:val="641A3B34"/>
    <w:rsid w:val="648632F2"/>
    <w:rsid w:val="64AB5175"/>
    <w:rsid w:val="64CD45D0"/>
    <w:rsid w:val="64E020C6"/>
    <w:rsid w:val="64E04304"/>
    <w:rsid w:val="64E5191A"/>
    <w:rsid w:val="64F47DAF"/>
    <w:rsid w:val="64FE478A"/>
    <w:rsid w:val="652561BA"/>
    <w:rsid w:val="65314B5F"/>
    <w:rsid w:val="65336B29"/>
    <w:rsid w:val="653A1C66"/>
    <w:rsid w:val="65605444"/>
    <w:rsid w:val="65660CAD"/>
    <w:rsid w:val="658253BB"/>
    <w:rsid w:val="659F31C5"/>
    <w:rsid w:val="65A93470"/>
    <w:rsid w:val="65AB66C0"/>
    <w:rsid w:val="65B85280"/>
    <w:rsid w:val="65CD2ADA"/>
    <w:rsid w:val="65D966CF"/>
    <w:rsid w:val="65F75DA9"/>
    <w:rsid w:val="66186012"/>
    <w:rsid w:val="66286A3B"/>
    <w:rsid w:val="663F505A"/>
    <w:rsid w:val="664A412A"/>
    <w:rsid w:val="666A159C"/>
    <w:rsid w:val="667967BE"/>
    <w:rsid w:val="667C005C"/>
    <w:rsid w:val="66981DCA"/>
    <w:rsid w:val="66A23F66"/>
    <w:rsid w:val="66A3383B"/>
    <w:rsid w:val="66D3039B"/>
    <w:rsid w:val="670324CB"/>
    <w:rsid w:val="673A7C98"/>
    <w:rsid w:val="6740552D"/>
    <w:rsid w:val="676034DA"/>
    <w:rsid w:val="677C0008"/>
    <w:rsid w:val="68000819"/>
    <w:rsid w:val="680652E3"/>
    <w:rsid w:val="680A383B"/>
    <w:rsid w:val="680C5410"/>
    <w:rsid w:val="68336E40"/>
    <w:rsid w:val="6874548F"/>
    <w:rsid w:val="688651C2"/>
    <w:rsid w:val="68CD6E3C"/>
    <w:rsid w:val="68E048D2"/>
    <w:rsid w:val="68FE2FAA"/>
    <w:rsid w:val="694C640B"/>
    <w:rsid w:val="695B664F"/>
    <w:rsid w:val="69606A27"/>
    <w:rsid w:val="696A2302"/>
    <w:rsid w:val="696A584E"/>
    <w:rsid w:val="69945B39"/>
    <w:rsid w:val="69F60125"/>
    <w:rsid w:val="6A184540"/>
    <w:rsid w:val="6A244106"/>
    <w:rsid w:val="6A2904FB"/>
    <w:rsid w:val="6A325601"/>
    <w:rsid w:val="6A462E5B"/>
    <w:rsid w:val="6A4D243B"/>
    <w:rsid w:val="6A6908F7"/>
    <w:rsid w:val="6A7C062B"/>
    <w:rsid w:val="6A7C4ACE"/>
    <w:rsid w:val="6A835E5D"/>
    <w:rsid w:val="6AC67AF8"/>
    <w:rsid w:val="6ADB7A47"/>
    <w:rsid w:val="6AE224D9"/>
    <w:rsid w:val="6B064398"/>
    <w:rsid w:val="6B097A71"/>
    <w:rsid w:val="6B16219E"/>
    <w:rsid w:val="6B364C7D"/>
    <w:rsid w:val="6B3D7A8A"/>
    <w:rsid w:val="6B563571"/>
    <w:rsid w:val="6B7834E8"/>
    <w:rsid w:val="6B985938"/>
    <w:rsid w:val="6BAE2C05"/>
    <w:rsid w:val="6BC30A2F"/>
    <w:rsid w:val="6BC658F4"/>
    <w:rsid w:val="6BC73B27"/>
    <w:rsid w:val="6BC95AF1"/>
    <w:rsid w:val="6BDF5315"/>
    <w:rsid w:val="6C2B2308"/>
    <w:rsid w:val="6C417D7E"/>
    <w:rsid w:val="6C47110C"/>
    <w:rsid w:val="6C477800"/>
    <w:rsid w:val="6C815EBC"/>
    <w:rsid w:val="6C922387"/>
    <w:rsid w:val="6CA1081C"/>
    <w:rsid w:val="6CB467A2"/>
    <w:rsid w:val="6CC30321"/>
    <w:rsid w:val="6CC81CC5"/>
    <w:rsid w:val="6CFA7F2C"/>
    <w:rsid w:val="6D400035"/>
    <w:rsid w:val="6D54588F"/>
    <w:rsid w:val="6D5B643F"/>
    <w:rsid w:val="6D997745"/>
    <w:rsid w:val="6DA87344"/>
    <w:rsid w:val="6DF37C5A"/>
    <w:rsid w:val="6E1112D9"/>
    <w:rsid w:val="6E2C680B"/>
    <w:rsid w:val="6E7206C2"/>
    <w:rsid w:val="6E8421A4"/>
    <w:rsid w:val="6EFC4430"/>
    <w:rsid w:val="6F0532E4"/>
    <w:rsid w:val="6F086931"/>
    <w:rsid w:val="6F1A6664"/>
    <w:rsid w:val="6F213E96"/>
    <w:rsid w:val="6F3E67F6"/>
    <w:rsid w:val="6F7A7103"/>
    <w:rsid w:val="6F857F81"/>
    <w:rsid w:val="6F887A72"/>
    <w:rsid w:val="6FAA5C3A"/>
    <w:rsid w:val="6FC10021"/>
    <w:rsid w:val="6FDB4045"/>
    <w:rsid w:val="6FED5B27"/>
    <w:rsid w:val="6FF341FB"/>
    <w:rsid w:val="700370F8"/>
    <w:rsid w:val="701F43B3"/>
    <w:rsid w:val="70231548"/>
    <w:rsid w:val="706109EE"/>
    <w:rsid w:val="70816D99"/>
    <w:rsid w:val="70860455"/>
    <w:rsid w:val="70891CF3"/>
    <w:rsid w:val="70AC59E2"/>
    <w:rsid w:val="70D311C0"/>
    <w:rsid w:val="70D56CE6"/>
    <w:rsid w:val="70E707C8"/>
    <w:rsid w:val="71127683"/>
    <w:rsid w:val="712D08D1"/>
    <w:rsid w:val="71542056"/>
    <w:rsid w:val="715776FB"/>
    <w:rsid w:val="71726E84"/>
    <w:rsid w:val="71844269"/>
    <w:rsid w:val="719B1CDE"/>
    <w:rsid w:val="71A87636"/>
    <w:rsid w:val="71B26DAE"/>
    <w:rsid w:val="71DB20DB"/>
    <w:rsid w:val="721C216D"/>
    <w:rsid w:val="722C6DDA"/>
    <w:rsid w:val="723E08BB"/>
    <w:rsid w:val="726E11A1"/>
    <w:rsid w:val="726F4F19"/>
    <w:rsid w:val="72733637"/>
    <w:rsid w:val="727D7636"/>
    <w:rsid w:val="72E15E16"/>
    <w:rsid w:val="72FA0C86"/>
    <w:rsid w:val="72FE220B"/>
    <w:rsid w:val="73092C77"/>
    <w:rsid w:val="73431AED"/>
    <w:rsid w:val="73465C7A"/>
    <w:rsid w:val="734E2D80"/>
    <w:rsid w:val="735F6D3B"/>
    <w:rsid w:val="737A1DC7"/>
    <w:rsid w:val="737A3B75"/>
    <w:rsid w:val="73865B1B"/>
    <w:rsid w:val="73A3131E"/>
    <w:rsid w:val="73BB0416"/>
    <w:rsid w:val="73C179F6"/>
    <w:rsid w:val="73E536E4"/>
    <w:rsid w:val="73F531FC"/>
    <w:rsid w:val="73FA56D2"/>
    <w:rsid w:val="7416564C"/>
    <w:rsid w:val="741E6BF6"/>
    <w:rsid w:val="742C30C1"/>
    <w:rsid w:val="742F2BB2"/>
    <w:rsid w:val="74675EA7"/>
    <w:rsid w:val="74806F69"/>
    <w:rsid w:val="749E5641"/>
    <w:rsid w:val="74AC7D5E"/>
    <w:rsid w:val="74B3733F"/>
    <w:rsid w:val="74E97204"/>
    <w:rsid w:val="74F52F7C"/>
    <w:rsid w:val="74FB2A94"/>
    <w:rsid w:val="75275A87"/>
    <w:rsid w:val="752D5343"/>
    <w:rsid w:val="75497CA3"/>
    <w:rsid w:val="755A1EB0"/>
    <w:rsid w:val="755F3023"/>
    <w:rsid w:val="7565053D"/>
    <w:rsid w:val="757A1C0A"/>
    <w:rsid w:val="758E3908"/>
    <w:rsid w:val="75D752AF"/>
    <w:rsid w:val="75E33C54"/>
    <w:rsid w:val="75F419BD"/>
    <w:rsid w:val="75FB6795"/>
    <w:rsid w:val="76037E52"/>
    <w:rsid w:val="760A5684"/>
    <w:rsid w:val="762F6E99"/>
    <w:rsid w:val="76360227"/>
    <w:rsid w:val="76361FD5"/>
    <w:rsid w:val="76472434"/>
    <w:rsid w:val="7657019E"/>
    <w:rsid w:val="76571F4C"/>
    <w:rsid w:val="767B20DE"/>
    <w:rsid w:val="768014A2"/>
    <w:rsid w:val="76A01B45"/>
    <w:rsid w:val="76C515AB"/>
    <w:rsid w:val="76D4359C"/>
    <w:rsid w:val="76DF266D"/>
    <w:rsid w:val="76FD2AF3"/>
    <w:rsid w:val="770C2C76"/>
    <w:rsid w:val="771B4A37"/>
    <w:rsid w:val="778C41B1"/>
    <w:rsid w:val="77AB69F3"/>
    <w:rsid w:val="77BA4E88"/>
    <w:rsid w:val="77BF5FFA"/>
    <w:rsid w:val="77C41863"/>
    <w:rsid w:val="77DA1086"/>
    <w:rsid w:val="77E65C7D"/>
    <w:rsid w:val="77E75D90"/>
    <w:rsid w:val="77F96B1C"/>
    <w:rsid w:val="78216CB5"/>
    <w:rsid w:val="788B412F"/>
    <w:rsid w:val="78992D7B"/>
    <w:rsid w:val="78B6564F"/>
    <w:rsid w:val="79540F62"/>
    <w:rsid w:val="79856DD0"/>
    <w:rsid w:val="799F60E4"/>
    <w:rsid w:val="79CE0777"/>
    <w:rsid w:val="79D62A71"/>
    <w:rsid w:val="79E32474"/>
    <w:rsid w:val="7A545120"/>
    <w:rsid w:val="7A6D1D3E"/>
    <w:rsid w:val="7A8C54D7"/>
    <w:rsid w:val="7A8F7F06"/>
    <w:rsid w:val="7AAD2A50"/>
    <w:rsid w:val="7ABD2CC5"/>
    <w:rsid w:val="7ADC6EC3"/>
    <w:rsid w:val="7AF16E13"/>
    <w:rsid w:val="7AF20495"/>
    <w:rsid w:val="7B0869BE"/>
    <w:rsid w:val="7B1D19B6"/>
    <w:rsid w:val="7B234AF2"/>
    <w:rsid w:val="7B29035B"/>
    <w:rsid w:val="7B2F3497"/>
    <w:rsid w:val="7B364826"/>
    <w:rsid w:val="7B3B62E0"/>
    <w:rsid w:val="7B3E36DA"/>
    <w:rsid w:val="7B427F3E"/>
    <w:rsid w:val="7BA93249"/>
    <w:rsid w:val="7BB340C8"/>
    <w:rsid w:val="7BBD4F47"/>
    <w:rsid w:val="7BC77B74"/>
    <w:rsid w:val="7BE97AEA"/>
    <w:rsid w:val="7BEE6EAE"/>
    <w:rsid w:val="7C176405"/>
    <w:rsid w:val="7C222C7E"/>
    <w:rsid w:val="7C2A135B"/>
    <w:rsid w:val="7C63164A"/>
    <w:rsid w:val="7C6453C2"/>
    <w:rsid w:val="7C6B6751"/>
    <w:rsid w:val="7C725D31"/>
    <w:rsid w:val="7CD12A58"/>
    <w:rsid w:val="7CE87DA1"/>
    <w:rsid w:val="7CFD1A9F"/>
    <w:rsid w:val="7D140B97"/>
    <w:rsid w:val="7D5471E5"/>
    <w:rsid w:val="7D6733BC"/>
    <w:rsid w:val="7D847ACA"/>
    <w:rsid w:val="7D891584"/>
    <w:rsid w:val="7DC46119"/>
    <w:rsid w:val="7E096221"/>
    <w:rsid w:val="7E221091"/>
    <w:rsid w:val="7E3F7E95"/>
    <w:rsid w:val="7E696CC0"/>
    <w:rsid w:val="7E786F03"/>
    <w:rsid w:val="7E8D404B"/>
    <w:rsid w:val="7E9F26E2"/>
    <w:rsid w:val="7EA14E3E"/>
    <w:rsid w:val="7EE10F4C"/>
    <w:rsid w:val="7EF15EFA"/>
    <w:rsid w:val="7F1D129F"/>
    <w:rsid w:val="7F364DF4"/>
    <w:rsid w:val="7F995383"/>
    <w:rsid w:val="7FD60385"/>
    <w:rsid w:val="7FD95146"/>
    <w:rsid w:val="7FE743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6">
    <w:name w:val="heading 1"/>
    <w:basedOn w:val="1"/>
    <w:next w:val="1"/>
    <w:link w:val="222"/>
    <w:qFormat/>
    <w:uiPriority w:val="0"/>
    <w:pPr>
      <w:keepNext/>
      <w:keepLines/>
      <w:spacing w:before="340" w:after="330" w:line="578" w:lineRule="auto"/>
      <w:outlineLvl w:val="0"/>
    </w:pPr>
    <w:rPr>
      <w:rFonts w:eastAsia="楷体_GB2312"/>
      <w:b/>
      <w:sz w:val="44"/>
      <w:szCs w:val="20"/>
    </w:rPr>
  </w:style>
  <w:style w:type="paragraph" w:styleId="7">
    <w:name w:val="heading 2"/>
    <w:basedOn w:val="1"/>
    <w:next w:val="1"/>
    <w:link w:val="223"/>
    <w:qFormat/>
    <w:uiPriority w:val="0"/>
    <w:pPr>
      <w:keepNext/>
      <w:keepLines/>
      <w:spacing w:line="360" w:lineRule="auto"/>
      <w:outlineLvl w:val="1"/>
    </w:pPr>
    <w:rPr>
      <w:rFonts w:ascii="Cambria" w:hAnsi="Cambria"/>
      <w:b/>
      <w:bCs/>
      <w:sz w:val="32"/>
      <w:szCs w:val="32"/>
    </w:rPr>
  </w:style>
  <w:style w:type="paragraph" w:styleId="8">
    <w:name w:val="heading 3"/>
    <w:basedOn w:val="1"/>
    <w:next w:val="9"/>
    <w:link w:val="224"/>
    <w:qFormat/>
    <w:uiPriority w:val="99"/>
    <w:pPr>
      <w:widowControl/>
      <w:spacing w:before="100" w:beforeAutospacing="1" w:after="100" w:afterAutospacing="1"/>
      <w:jc w:val="left"/>
      <w:outlineLvl w:val="2"/>
    </w:pPr>
    <w:rPr>
      <w:rFonts w:ascii="宋体" w:hAnsi="宋体"/>
      <w:b/>
      <w:bCs/>
      <w:sz w:val="27"/>
      <w:szCs w:val="27"/>
      <w:lang w:eastAsia="en-US"/>
    </w:rPr>
  </w:style>
  <w:style w:type="paragraph" w:styleId="9">
    <w:name w:val="heading 4"/>
    <w:basedOn w:val="1"/>
    <w:next w:val="1"/>
    <w:link w:val="225"/>
    <w:qFormat/>
    <w:uiPriority w:val="0"/>
    <w:pPr>
      <w:keepNext/>
      <w:keepLines/>
      <w:spacing w:before="280" w:after="290" w:line="376" w:lineRule="auto"/>
      <w:outlineLvl w:val="3"/>
    </w:pPr>
    <w:rPr>
      <w:rFonts w:ascii="Arial" w:hAnsi="Arial" w:eastAsia="黑体"/>
      <w:b/>
      <w:bCs/>
      <w:sz w:val="28"/>
      <w:szCs w:val="28"/>
      <w:lang w:eastAsia="en-US"/>
    </w:rPr>
  </w:style>
  <w:style w:type="paragraph" w:styleId="10">
    <w:name w:val="heading 5"/>
    <w:basedOn w:val="1"/>
    <w:next w:val="11"/>
    <w:link w:val="226"/>
    <w:qFormat/>
    <w:uiPriority w:val="0"/>
    <w:pPr>
      <w:keepNext/>
      <w:keepLines/>
      <w:tabs>
        <w:tab w:val="left" w:pos="1008"/>
      </w:tabs>
      <w:spacing w:before="280" w:after="290" w:line="376" w:lineRule="auto"/>
      <w:outlineLvl w:val="4"/>
    </w:pPr>
    <w:rPr>
      <w:rFonts w:ascii="宋体"/>
      <w:b/>
      <w:spacing w:val="-2"/>
      <w:position w:val="-6"/>
      <w:sz w:val="28"/>
      <w:szCs w:val="20"/>
    </w:rPr>
  </w:style>
  <w:style w:type="paragraph" w:styleId="12">
    <w:name w:val="heading 6"/>
    <w:basedOn w:val="1"/>
    <w:next w:val="11"/>
    <w:link w:val="228"/>
    <w:qFormat/>
    <w:uiPriority w:val="0"/>
    <w:pPr>
      <w:keepNext/>
      <w:keepLines/>
      <w:tabs>
        <w:tab w:val="left" w:pos="1152"/>
      </w:tabs>
      <w:spacing w:before="240" w:after="64" w:line="320" w:lineRule="auto"/>
      <w:outlineLvl w:val="5"/>
    </w:pPr>
    <w:rPr>
      <w:rFonts w:ascii="Arial" w:hAnsi="Arial" w:eastAsia="黑体"/>
      <w:b/>
      <w:spacing w:val="-2"/>
      <w:position w:val="-6"/>
      <w:sz w:val="24"/>
      <w:szCs w:val="20"/>
    </w:rPr>
  </w:style>
  <w:style w:type="paragraph" w:styleId="13">
    <w:name w:val="heading 7"/>
    <w:basedOn w:val="1"/>
    <w:next w:val="11"/>
    <w:link w:val="229"/>
    <w:qFormat/>
    <w:uiPriority w:val="0"/>
    <w:pPr>
      <w:keepNext/>
      <w:keepLines/>
      <w:tabs>
        <w:tab w:val="left" w:pos="1296"/>
      </w:tabs>
      <w:spacing w:before="240" w:after="64" w:line="320" w:lineRule="auto"/>
      <w:outlineLvl w:val="6"/>
    </w:pPr>
    <w:rPr>
      <w:rFonts w:ascii="宋体"/>
      <w:b/>
      <w:spacing w:val="-2"/>
      <w:position w:val="-6"/>
      <w:sz w:val="24"/>
      <w:szCs w:val="20"/>
    </w:rPr>
  </w:style>
  <w:style w:type="paragraph" w:styleId="14">
    <w:name w:val="heading 8"/>
    <w:basedOn w:val="1"/>
    <w:next w:val="11"/>
    <w:link w:val="230"/>
    <w:qFormat/>
    <w:uiPriority w:val="0"/>
    <w:pPr>
      <w:keepNext/>
      <w:keepLines/>
      <w:tabs>
        <w:tab w:val="left" w:pos="1440"/>
      </w:tabs>
      <w:spacing w:before="240" w:after="64" w:line="320" w:lineRule="auto"/>
      <w:outlineLvl w:val="7"/>
    </w:pPr>
    <w:rPr>
      <w:rFonts w:ascii="Arial" w:hAnsi="Arial" w:eastAsia="黑体"/>
      <w:spacing w:val="-2"/>
      <w:position w:val="-6"/>
      <w:sz w:val="24"/>
      <w:szCs w:val="20"/>
    </w:rPr>
  </w:style>
  <w:style w:type="paragraph" w:styleId="15">
    <w:name w:val="heading 9"/>
    <w:basedOn w:val="1"/>
    <w:next w:val="11"/>
    <w:link w:val="231"/>
    <w:qFormat/>
    <w:uiPriority w:val="0"/>
    <w:pPr>
      <w:keepNext/>
      <w:keepLines/>
      <w:tabs>
        <w:tab w:val="left" w:pos="1584"/>
      </w:tabs>
      <w:spacing w:before="240" w:after="64" w:line="320" w:lineRule="auto"/>
      <w:outlineLvl w:val="8"/>
    </w:pPr>
    <w:rPr>
      <w:rFonts w:ascii="Arial" w:hAnsi="Arial" w:eastAsia="黑体"/>
      <w:spacing w:val="-2"/>
      <w:position w:val="-6"/>
      <w:sz w:val="28"/>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416"/>
    <w:unhideWhenUsed/>
    <w:qFormat/>
    <w:uiPriority w:val="99"/>
    <w:pPr>
      <w:ind w:left="200" w:leftChars="200" w:firstLine="420" w:firstLineChars="200"/>
    </w:pPr>
  </w:style>
  <w:style w:type="paragraph" w:styleId="3">
    <w:name w:val="Body Text Indent"/>
    <w:basedOn w:val="1"/>
    <w:next w:val="4"/>
    <w:link w:val="220"/>
    <w:unhideWhenUsed/>
    <w:qFormat/>
    <w:uiPriority w:val="0"/>
    <w:pPr>
      <w:spacing w:after="120"/>
      <w:ind w:left="420"/>
    </w:pPr>
  </w:style>
  <w:style w:type="paragraph" w:styleId="4">
    <w:name w:val="envelope return"/>
    <w:basedOn w:val="1"/>
    <w:unhideWhenUsed/>
    <w:qFormat/>
    <w:uiPriority w:val="99"/>
    <w:rPr>
      <w:rFonts w:ascii="Arial" w:hAnsi="Arial" w:eastAsia="楷体_GB2312"/>
      <w:sz w:val="26"/>
      <w:szCs w:val="20"/>
    </w:rPr>
  </w:style>
  <w:style w:type="paragraph" w:styleId="5">
    <w:name w:val="Body Text Indent 3"/>
    <w:basedOn w:val="1"/>
    <w:link w:val="251"/>
    <w:qFormat/>
    <w:uiPriority w:val="0"/>
    <w:pPr>
      <w:spacing w:line="360" w:lineRule="auto"/>
      <w:ind w:firstLine="617"/>
    </w:pPr>
    <w:rPr>
      <w:sz w:val="24"/>
      <w:szCs w:val="24"/>
    </w:rPr>
  </w:style>
  <w:style w:type="paragraph" w:styleId="11">
    <w:name w:val="Normal Indent"/>
    <w:basedOn w:val="1"/>
    <w:link w:val="227"/>
    <w:qFormat/>
    <w:uiPriority w:val="0"/>
    <w:pPr>
      <w:ind w:firstLine="420"/>
      <w:jc w:val="left"/>
    </w:pPr>
    <w:rPr>
      <w:rFonts w:eastAsia="楷体_GB2312"/>
      <w:sz w:val="24"/>
      <w:szCs w:val="20"/>
      <w:lang w:eastAsia="en-US"/>
    </w:rPr>
  </w:style>
  <w:style w:type="paragraph" w:styleId="16">
    <w:name w:val="toc 7"/>
    <w:basedOn w:val="1"/>
    <w:next w:val="1"/>
    <w:unhideWhenUsed/>
    <w:qFormat/>
    <w:uiPriority w:val="39"/>
    <w:pPr>
      <w:spacing w:after="57"/>
      <w:ind w:left="1701"/>
    </w:pPr>
  </w:style>
  <w:style w:type="paragraph" w:styleId="17">
    <w:name w:val="index 8"/>
    <w:basedOn w:val="1"/>
    <w:next w:val="1"/>
    <w:qFormat/>
    <w:uiPriority w:val="0"/>
    <w:pPr>
      <w:ind w:left="2940"/>
    </w:pPr>
    <w:rPr>
      <w:rFonts w:eastAsia="楷体_GB2312"/>
      <w:sz w:val="26"/>
      <w:szCs w:val="20"/>
    </w:rPr>
  </w:style>
  <w:style w:type="paragraph" w:styleId="18">
    <w:name w:val="caption"/>
    <w:basedOn w:val="1"/>
    <w:next w:val="1"/>
    <w:unhideWhenUsed/>
    <w:qFormat/>
    <w:uiPriority w:val="35"/>
    <w:pPr>
      <w:spacing w:line="276" w:lineRule="auto"/>
    </w:pPr>
    <w:rPr>
      <w:b/>
      <w:bCs/>
      <w:color w:val="4F81BD"/>
      <w:sz w:val="18"/>
      <w:szCs w:val="18"/>
    </w:rPr>
  </w:style>
  <w:style w:type="paragraph" w:styleId="19">
    <w:name w:val="index 5"/>
    <w:basedOn w:val="1"/>
    <w:next w:val="1"/>
    <w:qFormat/>
    <w:uiPriority w:val="0"/>
    <w:pPr>
      <w:ind w:left="1680"/>
    </w:pPr>
    <w:rPr>
      <w:rFonts w:eastAsia="楷体_GB2312"/>
      <w:sz w:val="26"/>
      <w:szCs w:val="20"/>
    </w:rPr>
  </w:style>
  <w:style w:type="paragraph" w:styleId="20">
    <w:name w:val="Document Map"/>
    <w:basedOn w:val="1"/>
    <w:link w:val="233"/>
    <w:unhideWhenUsed/>
    <w:qFormat/>
    <w:uiPriority w:val="0"/>
    <w:rPr>
      <w:rFonts w:ascii="宋体"/>
      <w:sz w:val="18"/>
      <w:szCs w:val="18"/>
    </w:rPr>
  </w:style>
  <w:style w:type="paragraph" w:styleId="21">
    <w:name w:val="annotation text"/>
    <w:basedOn w:val="1"/>
    <w:link w:val="234"/>
    <w:unhideWhenUsed/>
    <w:qFormat/>
    <w:uiPriority w:val="0"/>
    <w:pPr>
      <w:jc w:val="left"/>
    </w:pPr>
  </w:style>
  <w:style w:type="paragraph" w:styleId="22">
    <w:name w:val="index 6"/>
    <w:basedOn w:val="1"/>
    <w:next w:val="1"/>
    <w:qFormat/>
    <w:uiPriority w:val="0"/>
    <w:pPr>
      <w:ind w:left="2100"/>
    </w:pPr>
    <w:rPr>
      <w:rFonts w:eastAsia="楷体_GB2312"/>
      <w:sz w:val="26"/>
      <w:szCs w:val="20"/>
    </w:rPr>
  </w:style>
  <w:style w:type="paragraph" w:styleId="23">
    <w:name w:val="Body Text"/>
    <w:basedOn w:val="1"/>
    <w:next w:val="1"/>
    <w:link w:val="235"/>
    <w:qFormat/>
    <w:uiPriority w:val="0"/>
    <w:pPr>
      <w:spacing w:after="120"/>
    </w:pPr>
    <w:rPr>
      <w:rFonts w:ascii="Times New Roman" w:hAnsi="Times New Roman"/>
    </w:rPr>
  </w:style>
  <w:style w:type="paragraph" w:styleId="24">
    <w:name w:val="List 2"/>
    <w:basedOn w:val="1"/>
    <w:qFormat/>
    <w:uiPriority w:val="0"/>
    <w:pPr>
      <w:ind w:left="100" w:hanging="200"/>
    </w:pPr>
  </w:style>
  <w:style w:type="paragraph" w:styleId="25">
    <w:name w:val="Block Text"/>
    <w:basedOn w:val="1"/>
    <w:qFormat/>
    <w:uiPriority w:val="0"/>
    <w:pPr>
      <w:spacing w:line="360" w:lineRule="auto"/>
      <w:ind w:firstLine="640"/>
      <w:jc w:val="left"/>
    </w:pPr>
    <w:rPr>
      <w:rFonts w:ascii="Times New Roman" w:hAnsi="Times New Roman"/>
      <w:sz w:val="24"/>
    </w:rPr>
  </w:style>
  <w:style w:type="paragraph" w:styleId="26">
    <w:name w:val="index 4"/>
    <w:basedOn w:val="1"/>
    <w:next w:val="1"/>
    <w:qFormat/>
    <w:uiPriority w:val="0"/>
    <w:pPr>
      <w:ind w:left="1260"/>
    </w:pPr>
    <w:rPr>
      <w:szCs w:val="20"/>
    </w:rPr>
  </w:style>
  <w:style w:type="paragraph" w:styleId="27">
    <w:name w:val="toc 5"/>
    <w:basedOn w:val="1"/>
    <w:next w:val="1"/>
    <w:unhideWhenUsed/>
    <w:qFormat/>
    <w:uiPriority w:val="39"/>
    <w:pPr>
      <w:spacing w:after="57"/>
      <w:ind w:left="1134"/>
    </w:pPr>
  </w:style>
  <w:style w:type="paragraph" w:styleId="28">
    <w:name w:val="toc 3"/>
    <w:basedOn w:val="1"/>
    <w:next w:val="1"/>
    <w:unhideWhenUsed/>
    <w:qFormat/>
    <w:uiPriority w:val="39"/>
    <w:pPr>
      <w:spacing w:after="57"/>
      <w:ind w:left="567"/>
    </w:pPr>
  </w:style>
  <w:style w:type="paragraph" w:styleId="29">
    <w:name w:val="Plain Text"/>
    <w:basedOn w:val="1"/>
    <w:next w:val="1"/>
    <w:link w:val="239"/>
    <w:qFormat/>
    <w:uiPriority w:val="0"/>
    <w:rPr>
      <w:rFonts w:ascii="宋体" w:hAnsi="Courier New"/>
      <w:szCs w:val="20"/>
      <w:lang w:eastAsia="en-US"/>
    </w:rPr>
  </w:style>
  <w:style w:type="paragraph" w:styleId="30">
    <w:name w:val="toc 8"/>
    <w:basedOn w:val="1"/>
    <w:next w:val="1"/>
    <w:unhideWhenUsed/>
    <w:qFormat/>
    <w:uiPriority w:val="39"/>
    <w:pPr>
      <w:spacing w:after="57"/>
      <w:ind w:left="1984"/>
    </w:pPr>
  </w:style>
  <w:style w:type="paragraph" w:styleId="31">
    <w:name w:val="index 3"/>
    <w:basedOn w:val="1"/>
    <w:next w:val="1"/>
    <w:qFormat/>
    <w:uiPriority w:val="0"/>
    <w:pPr>
      <w:ind w:left="840"/>
    </w:pPr>
    <w:rPr>
      <w:rFonts w:eastAsia="楷体_GB2312"/>
      <w:sz w:val="26"/>
      <w:szCs w:val="20"/>
    </w:rPr>
  </w:style>
  <w:style w:type="paragraph" w:styleId="32">
    <w:name w:val="Date"/>
    <w:basedOn w:val="1"/>
    <w:next w:val="1"/>
    <w:link w:val="241"/>
    <w:qFormat/>
    <w:uiPriority w:val="0"/>
    <w:rPr>
      <w:rFonts w:ascii="宋体" w:hAnsi="宋体" w:eastAsia="楷体_GB2312"/>
      <w:sz w:val="24"/>
      <w:szCs w:val="20"/>
    </w:rPr>
  </w:style>
  <w:style w:type="paragraph" w:styleId="33">
    <w:name w:val="Body Text Indent 2"/>
    <w:basedOn w:val="1"/>
    <w:link w:val="242"/>
    <w:qFormat/>
    <w:uiPriority w:val="0"/>
    <w:pPr>
      <w:tabs>
        <w:tab w:val="left" w:pos="0"/>
      </w:tabs>
      <w:spacing w:line="360" w:lineRule="auto"/>
      <w:ind w:firstLine="502"/>
    </w:pPr>
    <w:rPr>
      <w:rFonts w:ascii="宋体"/>
      <w:b/>
      <w:bCs/>
      <w:sz w:val="24"/>
      <w:szCs w:val="20"/>
    </w:rPr>
  </w:style>
  <w:style w:type="paragraph" w:styleId="34">
    <w:name w:val="endnote text"/>
    <w:basedOn w:val="1"/>
    <w:link w:val="217"/>
    <w:unhideWhenUsed/>
    <w:qFormat/>
    <w:uiPriority w:val="99"/>
    <w:rPr>
      <w:sz w:val="20"/>
    </w:rPr>
  </w:style>
  <w:style w:type="paragraph" w:styleId="35">
    <w:name w:val="Balloon Text"/>
    <w:basedOn w:val="1"/>
    <w:link w:val="243"/>
    <w:unhideWhenUsed/>
    <w:qFormat/>
    <w:uiPriority w:val="0"/>
    <w:rPr>
      <w:sz w:val="18"/>
      <w:szCs w:val="18"/>
    </w:rPr>
  </w:style>
  <w:style w:type="paragraph" w:styleId="36">
    <w:name w:val="footer"/>
    <w:basedOn w:val="1"/>
    <w:link w:val="244"/>
    <w:unhideWhenUsed/>
    <w:qFormat/>
    <w:uiPriority w:val="99"/>
    <w:pPr>
      <w:tabs>
        <w:tab w:val="center" w:pos="4153"/>
        <w:tab w:val="right" w:pos="8306"/>
      </w:tabs>
      <w:jc w:val="left"/>
    </w:pPr>
    <w:rPr>
      <w:sz w:val="18"/>
      <w:szCs w:val="18"/>
    </w:rPr>
  </w:style>
  <w:style w:type="paragraph" w:styleId="37">
    <w:name w:val="header"/>
    <w:basedOn w:val="1"/>
    <w:link w:val="245"/>
    <w:unhideWhenUsed/>
    <w:qFormat/>
    <w:uiPriority w:val="99"/>
    <w:pPr>
      <w:pBdr>
        <w:bottom w:val="single" w:color="000000" w:sz="6" w:space="1"/>
      </w:pBdr>
      <w:tabs>
        <w:tab w:val="center" w:pos="4153"/>
        <w:tab w:val="right" w:pos="8306"/>
      </w:tabs>
      <w:jc w:val="center"/>
    </w:pPr>
    <w:rPr>
      <w:sz w:val="18"/>
      <w:szCs w:val="18"/>
    </w:rPr>
  </w:style>
  <w:style w:type="paragraph" w:styleId="38">
    <w:name w:val="Signature"/>
    <w:basedOn w:val="1"/>
    <w:link w:val="246"/>
    <w:qFormat/>
    <w:uiPriority w:val="0"/>
    <w:pPr>
      <w:spacing w:after="600" w:line="312" w:lineRule="atLeast"/>
      <w:jc w:val="center"/>
    </w:pPr>
    <w:rPr>
      <w:rFonts w:eastAsia="仿宋_GB2312"/>
      <w:sz w:val="24"/>
      <w:szCs w:val="20"/>
    </w:rPr>
  </w:style>
  <w:style w:type="paragraph" w:styleId="39">
    <w:name w:val="toc 1"/>
    <w:basedOn w:val="1"/>
    <w:next w:val="1"/>
    <w:unhideWhenUsed/>
    <w:qFormat/>
    <w:uiPriority w:val="39"/>
    <w:pPr>
      <w:spacing w:after="57"/>
    </w:pPr>
  </w:style>
  <w:style w:type="paragraph" w:styleId="40">
    <w:name w:val="toc 4"/>
    <w:basedOn w:val="1"/>
    <w:next w:val="1"/>
    <w:unhideWhenUsed/>
    <w:qFormat/>
    <w:uiPriority w:val="39"/>
    <w:pPr>
      <w:spacing w:after="57"/>
      <w:ind w:left="850"/>
    </w:pPr>
  </w:style>
  <w:style w:type="paragraph" w:styleId="41">
    <w:name w:val="index heading"/>
    <w:basedOn w:val="1"/>
    <w:next w:val="42"/>
    <w:qFormat/>
    <w:uiPriority w:val="0"/>
    <w:rPr>
      <w:rFonts w:eastAsia="楷体_GB2312"/>
      <w:sz w:val="26"/>
      <w:szCs w:val="20"/>
    </w:rPr>
  </w:style>
  <w:style w:type="paragraph" w:styleId="42">
    <w:name w:val="index 1"/>
    <w:basedOn w:val="1"/>
    <w:next w:val="1"/>
    <w:unhideWhenUsed/>
    <w:qFormat/>
    <w:uiPriority w:val="0"/>
  </w:style>
  <w:style w:type="paragraph" w:styleId="43">
    <w:name w:val="Subtitle"/>
    <w:basedOn w:val="1"/>
    <w:next w:val="1"/>
    <w:link w:val="84"/>
    <w:qFormat/>
    <w:uiPriority w:val="11"/>
    <w:pPr>
      <w:spacing w:before="200" w:after="200"/>
    </w:pPr>
    <w:rPr>
      <w:sz w:val="24"/>
      <w:szCs w:val="24"/>
    </w:rPr>
  </w:style>
  <w:style w:type="paragraph" w:styleId="44">
    <w:name w:val="footnote text"/>
    <w:basedOn w:val="1"/>
    <w:link w:val="249"/>
    <w:qFormat/>
    <w:uiPriority w:val="0"/>
    <w:pPr>
      <w:jc w:val="left"/>
    </w:pPr>
    <w:rPr>
      <w:rFonts w:eastAsia="楷体_GB2312"/>
      <w:sz w:val="18"/>
      <w:szCs w:val="20"/>
    </w:rPr>
  </w:style>
  <w:style w:type="paragraph" w:styleId="45">
    <w:name w:val="toc 6"/>
    <w:basedOn w:val="1"/>
    <w:next w:val="1"/>
    <w:unhideWhenUsed/>
    <w:qFormat/>
    <w:uiPriority w:val="39"/>
    <w:pPr>
      <w:spacing w:after="57"/>
      <w:ind w:left="1417"/>
    </w:pPr>
  </w:style>
  <w:style w:type="paragraph" w:styleId="46">
    <w:name w:val="index 7"/>
    <w:basedOn w:val="1"/>
    <w:next w:val="1"/>
    <w:qFormat/>
    <w:uiPriority w:val="0"/>
    <w:pPr>
      <w:ind w:left="2520"/>
    </w:pPr>
    <w:rPr>
      <w:rFonts w:eastAsia="楷体_GB2312"/>
      <w:sz w:val="26"/>
      <w:szCs w:val="20"/>
    </w:rPr>
  </w:style>
  <w:style w:type="paragraph" w:styleId="47">
    <w:name w:val="index 9"/>
    <w:basedOn w:val="1"/>
    <w:next w:val="1"/>
    <w:qFormat/>
    <w:uiPriority w:val="0"/>
    <w:pPr>
      <w:ind w:left="3360"/>
    </w:pPr>
    <w:rPr>
      <w:rFonts w:eastAsia="楷体_GB2312"/>
      <w:sz w:val="26"/>
      <w:szCs w:val="20"/>
    </w:rPr>
  </w:style>
  <w:style w:type="paragraph" w:styleId="48">
    <w:name w:val="table of figures"/>
    <w:basedOn w:val="1"/>
    <w:next w:val="1"/>
    <w:qFormat/>
    <w:uiPriority w:val="0"/>
    <w:pPr>
      <w:ind w:left="420" w:hanging="420"/>
      <w:jc w:val="left"/>
    </w:pPr>
    <w:rPr>
      <w:rFonts w:eastAsia="楷体_GB2312"/>
      <w:smallCaps/>
      <w:sz w:val="24"/>
      <w:szCs w:val="20"/>
    </w:rPr>
  </w:style>
  <w:style w:type="paragraph" w:styleId="49">
    <w:name w:val="toc 2"/>
    <w:basedOn w:val="1"/>
    <w:next w:val="1"/>
    <w:unhideWhenUsed/>
    <w:qFormat/>
    <w:uiPriority w:val="39"/>
    <w:pPr>
      <w:spacing w:after="57"/>
      <w:ind w:left="283"/>
    </w:pPr>
  </w:style>
  <w:style w:type="paragraph" w:styleId="50">
    <w:name w:val="toc 9"/>
    <w:basedOn w:val="1"/>
    <w:next w:val="1"/>
    <w:unhideWhenUsed/>
    <w:qFormat/>
    <w:uiPriority w:val="39"/>
    <w:pPr>
      <w:spacing w:after="57"/>
      <w:ind w:left="2268"/>
    </w:pPr>
  </w:style>
  <w:style w:type="paragraph" w:styleId="51">
    <w:name w:val="HTML Preformatted"/>
    <w:basedOn w:val="1"/>
    <w:link w:val="2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sz w:val="20"/>
      <w:szCs w:val="20"/>
    </w:rPr>
  </w:style>
  <w:style w:type="paragraph" w:styleId="52">
    <w:name w:val="Normal (Web)"/>
    <w:basedOn w:val="1"/>
    <w:link w:val="255"/>
    <w:unhideWhenUsed/>
    <w:qFormat/>
    <w:uiPriority w:val="0"/>
    <w:pPr>
      <w:spacing w:before="100" w:beforeAutospacing="1" w:after="100" w:afterAutospacing="1"/>
      <w:jc w:val="left"/>
    </w:pPr>
    <w:rPr>
      <w:sz w:val="24"/>
      <w:szCs w:val="20"/>
      <w:lang w:eastAsia="en-US"/>
    </w:rPr>
  </w:style>
  <w:style w:type="paragraph" w:styleId="53">
    <w:name w:val="index 2"/>
    <w:basedOn w:val="1"/>
    <w:next w:val="1"/>
    <w:qFormat/>
    <w:uiPriority w:val="0"/>
    <w:pPr>
      <w:ind w:left="420"/>
    </w:pPr>
    <w:rPr>
      <w:rFonts w:eastAsia="楷体_GB2312"/>
      <w:sz w:val="26"/>
      <w:szCs w:val="20"/>
    </w:rPr>
  </w:style>
  <w:style w:type="paragraph" w:styleId="54">
    <w:name w:val="Title"/>
    <w:basedOn w:val="1"/>
    <w:next w:val="1"/>
    <w:link w:val="83"/>
    <w:qFormat/>
    <w:uiPriority w:val="10"/>
    <w:pPr>
      <w:spacing w:before="300" w:after="200"/>
      <w:contextualSpacing/>
    </w:pPr>
    <w:rPr>
      <w:sz w:val="48"/>
      <w:szCs w:val="48"/>
    </w:rPr>
  </w:style>
  <w:style w:type="paragraph" w:styleId="55">
    <w:name w:val="annotation subject"/>
    <w:basedOn w:val="21"/>
    <w:next w:val="21"/>
    <w:link w:val="256"/>
    <w:unhideWhenUsed/>
    <w:qFormat/>
    <w:uiPriority w:val="0"/>
    <w:rPr>
      <w:b/>
      <w:bCs/>
    </w:rPr>
  </w:style>
  <w:style w:type="table" w:styleId="57">
    <w:name w:val="Table Grid"/>
    <w:basedOn w:val="5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22"/>
    <w:rPr>
      <w:b/>
    </w:rPr>
  </w:style>
  <w:style w:type="character" w:styleId="60">
    <w:name w:val="endnote reference"/>
    <w:unhideWhenUsed/>
    <w:qFormat/>
    <w:uiPriority w:val="99"/>
    <w:rPr>
      <w:vertAlign w:val="superscript"/>
    </w:rPr>
  </w:style>
  <w:style w:type="character" w:styleId="61">
    <w:name w:val="page number"/>
    <w:qFormat/>
    <w:uiPriority w:val="0"/>
  </w:style>
  <w:style w:type="character" w:styleId="62">
    <w:name w:val="Emphasis"/>
    <w:qFormat/>
    <w:uiPriority w:val="0"/>
    <w:rPr>
      <w:i/>
      <w:iCs/>
    </w:rPr>
  </w:style>
  <w:style w:type="character" w:styleId="63">
    <w:name w:val="line number"/>
    <w:qFormat/>
    <w:uiPriority w:val="0"/>
  </w:style>
  <w:style w:type="character" w:styleId="64">
    <w:name w:val="HTML Definition"/>
    <w:qFormat/>
    <w:uiPriority w:val="0"/>
    <w:rPr>
      <w:i/>
    </w:rPr>
  </w:style>
  <w:style w:type="character" w:styleId="65">
    <w:name w:val="Hyperlink"/>
    <w:unhideWhenUsed/>
    <w:qFormat/>
    <w:uiPriority w:val="99"/>
    <w:rPr>
      <w:color w:val="0000FF"/>
      <w:u w:val="single"/>
    </w:rPr>
  </w:style>
  <w:style w:type="character" w:styleId="66">
    <w:name w:val="HTML Code"/>
    <w:qFormat/>
    <w:uiPriority w:val="0"/>
    <w:rPr>
      <w:rFonts w:ascii="Menlo" w:hAnsi="Menlo" w:eastAsia="Menlo" w:cs="Menlo"/>
      <w:color w:val="C7254E"/>
      <w:sz w:val="21"/>
      <w:szCs w:val="21"/>
      <w:shd w:val="clear" w:color="auto" w:fill="F9F2F4"/>
    </w:rPr>
  </w:style>
  <w:style w:type="character" w:styleId="67">
    <w:name w:val="annotation reference"/>
    <w:unhideWhenUsed/>
    <w:qFormat/>
    <w:uiPriority w:val="0"/>
    <w:rPr>
      <w:sz w:val="21"/>
      <w:szCs w:val="21"/>
    </w:rPr>
  </w:style>
  <w:style w:type="character" w:styleId="68">
    <w:name w:val="HTML Cite"/>
    <w:qFormat/>
    <w:uiPriority w:val="0"/>
  </w:style>
  <w:style w:type="character" w:styleId="69">
    <w:name w:val="footnote reference"/>
    <w:qFormat/>
    <w:uiPriority w:val="0"/>
    <w:rPr>
      <w:vertAlign w:val="superscript"/>
    </w:rPr>
  </w:style>
  <w:style w:type="character" w:styleId="70">
    <w:name w:val="HTML Keyboard"/>
    <w:qFormat/>
    <w:uiPriority w:val="0"/>
    <w:rPr>
      <w:rFonts w:ascii="Menlo" w:hAnsi="Menlo" w:eastAsia="Menlo" w:cs="Menlo"/>
      <w:sz w:val="21"/>
      <w:szCs w:val="21"/>
    </w:rPr>
  </w:style>
  <w:style w:type="character" w:styleId="71">
    <w:name w:val="HTML Sample"/>
    <w:qFormat/>
    <w:uiPriority w:val="0"/>
    <w:rPr>
      <w:rFonts w:ascii="Menlo" w:hAnsi="Menlo" w:eastAsia="Menlo" w:cs="Menlo"/>
      <w:sz w:val="21"/>
      <w:szCs w:val="21"/>
    </w:rPr>
  </w:style>
  <w:style w:type="character" w:customStyle="1" w:styleId="72">
    <w:name w:val="Heading 1 Char"/>
    <w:qFormat/>
    <w:uiPriority w:val="9"/>
    <w:rPr>
      <w:rFonts w:ascii="Arial" w:hAnsi="Arial" w:eastAsia="Arial" w:cs="Arial"/>
      <w:sz w:val="40"/>
      <w:szCs w:val="40"/>
    </w:rPr>
  </w:style>
  <w:style w:type="character" w:customStyle="1" w:styleId="73">
    <w:name w:val="Heading 2 Char"/>
    <w:qFormat/>
    <w:uiPriority w:val="9"/>
    <w:rPr>
      <w:rFonts w:ascii="Arial" w:hAnsi="Arial" w:eastAsia="Arial" w:cs="Arial"/>
      <w:sz w:val="34"/>
    </w:rPr>
  </w:style>
  <w:style w:type="character" w:customStyle="1" w:styleId="74">
    <w:name w:val="Heading 3 Char"/>
    <w:qFormat/>
    <w:uiPriority w:val="9"/>
    <w:rPr>
      <w:rFonts w:ascii="Arial" w:hAnsi="Arial" w:eastAsia="Arial" w:cs="Arial"/>
      <w:sz w:val="30"/>
      <w:szCs w:val="30"/>
    </w:rPr>
  </w:style>
  <w:style w:type="character" w:customStyle="1" w:styleId="75">
    <w:name w:val="Heading 4 Char"/>
    <w:qFormat/>
    <w:uiPriority w:val="9"/>
    <w:rPr>
      <w:rFonts w:ascii="Arial" w:hAnsi="Arial" w:eastAsia="Arial" w:cs="Arial"/>
      <w:b/>
      <w:bCs/>
      <w:sz w:val="26"/>
      <w:szCs w:val="26"/>
    </w:rPr>
  </w:style>
  <w:style w:type="character" w:customStyle="1" w:styleId="76">
    <w:name w:val="Heading 5 Char"/>
    <w:qFormat/>
    <w:uiPriority w:val="9"/>
    <w:rPr>
      <w:rFonts w:ascii="Arial" w:hAnsi="Arial" w:eastAsia="Arial" w:cs="Arial"/>
      <w:b/>
      <w:bCs/>
      <w:sz w:val="24"/>
      <w:szCs w:val="24"/>
    </w:rPr>
  </w:style>
  <w:style w:type="character" w:customStyle="1" w:styleId="77">
    <w:name w:val="Heading 6 Char"/>
    <w:qFormat/>
    <w:uiPriority w:val="9"/>
    <w:rPr>
      <w:rFonts w:ascii="Arial" w:hAnsi="Arial" w:eastAsia="Arial" w:cs="Arial"/>
      <w:b/>
      <w:bCs/>
      <w:sz w:val="22"/>
      <w:szCs w:val="22"/>
    </w:rPr>
  </w:style>
  <w:style w:type="character" w:customStyle="1" w:styleId="78">
    <w:name w:val="Heading 7 Char"/>
    <w:qFormat/>
    <w:uiPriority w:val="9"/>
    <w:rPr>
      <w:rFonts w:ascii="Arial" w:hAnsi="Arial" w:eastAsia="Arial" w:cs="Arial"/>
      <w:b/>
      <w:bCs/>
      <w:i/>
      <w:iCs/>
      <w:sz w:val="22"/>
      <w:szCs w:val="22"/>
    </w:rPr>
  </w:style>
  <w:style w:type="character" w:customStyle="1" w:styleId="79">
    <w:name w:val="Heading 8 Char"/>
    <w:qFormat/>
    <w:uiPriority w:val="9"/>
    <w:rPr>
      <w:rFonts w:ascii="Arial" w:hAnsi="Arial" w:eastAsia="Arial" w:cs="Arial"/>
      <w:i/>
      <w:iCs/>
      <w:sz w:val="22"/>
      <w:szCs w:val="22"/>
    </w:rPr>
  </w:style>
  <w:style w:type="character" w:customStyle="1" w:styleId="80">
    <w:name w:val="Heading 9 Char"/>
    <w:qFormat/>
    <w:uiPriority w:val="9"/>
    <w:rPr>
      <w:rFonts w:ascii="Arial" w:hAnsi="Arial" w:eastAsia="Arial" w:cs="Arial"/>
      <w:i/>
      <w:iCs/>
      <w:sz w:val="21"/>
      <w:szCs w:val="21"/>
    </w:rPr>
  </w:style>
  <w:style w:type="paragraph" w:customStyle="1" w:styleId="81">
    <w:name w:val="列表段落1"/>
    <w:basedOn w:val="1"/>
    <w:qFormat/>
    <w:uiPriority w:val="34"/>
    <w:pPr>
      <w:ind w:left="720"/>
      <w:contextualSpacing/>
    </w:pPr>
  </w:style>
  <w:style w:type="paragraph" w:customStyle="1" w:styleId="82">
    <w:name w:val="无间隔1"/>
    <w:qFormat/>
    <w:uiPriority w:val="99"/>
    <w:pPr>
      <w:widowControl w:val="0"/>
      <w:jc w:val="both"/>
    </w:pPr>
    <w:rPr>
      <w:rFonts w:ascii="Calibri" w:hAnsi="Calibri" w:eastAsia="楷体_GB2312" w:cs="Times New Roman"/>
      <w:sz w:val="26"/>
      <w:lang w:val="en-US" w:eastAsia="zh-CN" w:bidi="ar-SA"/>
    </w:rPr>
  </w:style>
  <w:style w:type="character" w:customStyle="1" w:styleId="83">
    <w:name w:val="标题 Char"/>
    <w:link w:val="54"/>
    <w:qFormat/>
    <w:uiPriority w:val="10"/>
    <w:rPr>
      <w:sz w:val="48"/>
      <w:szCs w:val="48"/>
    </w:rPr>
  </w:style>
  <w:style w:type="character" w:customStyle="1" w:styleId="84">
    <w:name w:val="副标题 Char"/>
    <w:link w:val="43"/>
    <w:qFormat/>
    <w:uiPriority w:val="11"/>
    <w:rPr>
      <w:sz w:val="24"/>
      <w:szCs w:val="24"/>
    </w:rPr>
  </w:style>
  <w:style w:type="paragraph" w:customStyle="1" w:styleId="85">
    <w:name w:val="引用1"/>
    <w:basedOn w:val="1"/>
    <w:next w:val="1"/>
    <w:link w:val="86"/>
    <w:qFormat/>
    <w:uiPriority w:val="29"/>
    <w:pPr>
      <w:ind w:left="720" w:right="720"/>
    </w:pPr>
    <w:rPr>
      <w:i/>
    </w:rPr>
  </w:style>
  <w:style w:type="character" w:customStyle="1" w:styleId="86">
    <w:name w:val="引用 字符"/>
    <w:link w:val="85"/>
    <w:qFormat/>
    <w:uiPriority w:val="29"/>
    <w:rPr>
      <w:i/>
    </w:rPr>
  </w:style>
  <w:style w:type="paragraph" w:customStyle="1" w:styleId="87">
    <w:name w:val="明显引用1"/>
    <w:basedOn w:val="1"/>
    <w:next w:val="1"/>
    <w:link w:val="8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8">
    <w:name w:val="明显引用 字符"/>
    <w:link w:val="87"/>
    <w:qFormat/>
    <w:uiPriority w:val="30"/>
    <w:rPr>
      <w:i/>
    </w:rPr>
  </w:style>
  <w:style w:type="character" w:customStyle="1" w:styleId="89">
    <w:name w:val="Footer Char"/>
    <w:qFormat/>
    <w:uiPriority w:val="99"/>
  </w:style>
  <w:style w:type="character" w:customStyle="1" w:styleId="90">
    <w:name w:val="Caption Char"/>
    <w:qFormat/>
    <w:uiPriority w:val="99"/>
  </w:style>
  <w:style w:type="table" w:customStyle="1" w:styleId="91">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2">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3">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94">
    <w:name w:val="无格式表格 31"/>
    <w:qFormat/>
    <w:uiPriority w:val="99"/>
    <w:tblPr>
      <w:tblCellMar>
        <w:top w:w="0" w:type="dxa"/>
        <w:left w:w="0" w:type="dxa"/>
        <w:bottom w:w="0" w:type="dxa"/>
        <w:right w:w="0" w:type="dxa"/>
      </w:tblCellMar>
    </w:tblPr>
  </w:style>
  <w:style w:type="table" w:customStyle="1" w:styleId="95">
    <w:name w:val="无格式表格 41"/>
    <w:qFormat/>
    <w:uiPriority w:val="99"/>
    <w:tblPr>
      <w:tblCellMar>
        <w:top w:w="0" w:type="dxa"/>
        <w:left w:w="0" w:type="dxa"/>
        <w:bottom w:w="0" w:type="dxa"/>
        <w:right w:w="0" w:type="dxa"/>
      </w:tblCellMar>
    </w:tblPr>
  </w:style>
  <w:style w:type="table" w:customStyle="1" w:styleId="96">
    <w:name w:val="无格式表格 51"/>
    <w:qFormat/>
    <w:uiPriority w:val="99"/>
    <w:tblPr>
      <w:tblCellMar>
        <w:top w:w="0" w:type="dxa"/>
        <w:left w:w="0" w:type="dxa"/>
        <w:bottom w:w="0" w:type="dxa"/>
        <w:right w:w="0" w:type="dxa"/>
      </w:tblCellMar>
    </w:tblPr>
  </w:style>
  <w:style w:type="table" w:customStyle="1" w:styleId="97">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98">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99">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00">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01">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02">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03">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04">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5">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6">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7">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8">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9">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0">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1">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2">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3">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4">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5">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16">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7">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8">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19">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20">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21">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22">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23">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24">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25">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6">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7">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8">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9">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0">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1">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2">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3">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4">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5">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6">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7">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8">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9">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40">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1">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2">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3">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4">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5">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6">
    <w:name w:val="清单表 1 浅色1"/>
    <w:qFormat/>
    <w:uiPriority w:val="99"/>
    <w:tblPr>
      <w:tblCellMar>
        <w:top w:w="0" w:type="dxa"/>
        <w:left w:w="0" w:type="dxa"/>
        <w:bottom w:w="0" w:type="dxa"/>
        <w:right w:w="0" w:type="dxa"/>
      </w:tblCellMar>
    </w:tblPr>
  </w:style>
  <w:style w:type="table" w:customStyle="1" w:styleId="147">
    <w:name w:val="List Table 1 Light - Accent 1"/>
    <w:qFormat/>
    <w:uiPriority w:val="99"/>
    <w:tblPr>
      <w:tblCellMar>
        <w:top w:w="0" w:type="dxa"/>
        <w:left w:w="0" w:type="dxa"/>
        <w:bottom w:w="0" w:type="dxa"/>
        <w:right w:w="0" w:type="dxa"/>
      </w:tblCellMar>
    </w:tblPr>
  </w:style>
  <w:style w:type="table" w:customStyle="1" w:styleId="148">
    <w:name w:val="List Table 1 Light - Accent 2"/>
    <w:qFormat/>
    <w:uiPriority w:val="99"/>
    <w:tblPr>
      <w:tblCellMar>
        <w:top w:w="0" w:type="dxa"/>
        <w:left w:w="0" w:type="dxa"/>
        <w:bottom w:w="0" w:type="dxa"/>
        <w:right w:w="0" w:type="dxa"/>
      </w:tblCellMar>
    </w:tblPr>
  </w:style>
  <w:style w:type="table" w:customStyle="1" w:styleId="149">
    <w:name w:val="List Table 1 Light - Accent 3"/>
    <w:qFormat/>
    <w:uiPriority w:val="99"/>
    <w:tblPr>
      <w:tblCellMar>
        <w:top w:w="0" w:type="dxa"/>
        <w:left w:w="0" w:type="dxa"/>
        <w:bottom w:w="0" w:type="dxa"/>
        <w:right w:w="0" w:type="dxa"/>
      </w:tblCellMar>
    </w:tblPr>
  </w:style>
  <w:style w:type="table" w:customStyle="1" w:styleId="150">
    <w:name w:val="List Table 1 Light - Accent 4"/>
    <w:qFormat/>
    <w:uiPriority w:val="99"/>
    <w:tblPr>
      <w:tblCellMar>
        <w:top w:w="0" w:type="dxa"/>
        <w:left w:w="0" w:type="dxa"/>
        <w:bottom w:w="0" w:type="dxa"/>
        <w:right w:w="0" w:type="dxa"/>
      </w:tblCellMar>
    </w:tblPr>
  </w:style>
  <w:style w:type="table" w:customStyle="1" w:styleId="151">
    <w:name w:val="List Table 1 Light - Accent 5"/>
    <w:qFormat/>
    <w:uiPriority w:val="99"/>
    <w:tblPr>
      <w:tblCellMar>
        <w:top w:w="0" w:type="dxa"/>
        <w:left w:w="0" w:type="dxa"/>
        <w:bottom w:w="0" w:type="dxa"/>
        <w:right w:w="0" w:type="dxa"/>
      </w:tblCellMar>
    </w:tblPr>
  </w:style>
  <w:style w:type="table" w:customStyle="1" w:styleId="152">
    <w:name w:val="List Table 1 Light - Accent 6"/>
    <w:qFormat/>
    <w:uiPriority w:val="99"/>
    <w:tblPr>
      <w:tblCellMar>
        <w:top w:w="0" w:type="dxa"/>
        <w:left w:w="0" w:type="dxa"/>
        <w:bottom w:w="0" w:type="dxa"/>
        <w:right w:w="0" w:type="dxa"/>
      </w:tblCellMar>
    </w:tblPr>
  </w:style>
  <w:style w:type="table" w:customStyle="1" w:styleId="153">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54">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55">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56">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57">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58">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59">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60">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61">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62">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63">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64">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65">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66">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67">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68">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69">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70">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71">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72">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73">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74">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75">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76">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77">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78">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79">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80">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81">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82">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83">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84">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85">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86">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87">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88">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89">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90">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91">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92">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93">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94">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95">
    <w:name w:val="Lined - Accent"/>
    <w:qFormat/>
    <w:uiPriority w:val="99"/>
    <w:rPr>
      <w:color w:val="404040"/>
    </w:rPr>
    <w:tblPr>
      <w:tblCellMar>
        <w:top w:w="0" w:type="dxa"/>
        <w:left w:w="0" w:type="dxa"/>
        <w:bottom w:w="0" w:type="dxa"/>
        <w:right w:w="0" w:type="dxa"/>
      </w:tblCellMar>
    </w:tblPr>
  </w:style>
  <w:style w:type="table" w:customStyle="1" w:styleId="196">
    <w:name w:val="Lined - Accent 1"/>
    <w:qFormat/>
    <w:uiPriority w:val="99"/>
    <w:rPr>
      <w:color w:val="404040"/>
    </w:rPr>
    <w:tblPr>
      <w:tblCellMar>
        <w:top w:w="0" w:type="dxa"/>
        <w:left w:w="0" w:type="dxa"/>
        <w:bottom w:w="0" w:type="dxa"/>
        <w:right w:w="0" w:type="dxa"/>
      </w:tblCellMar>
    </w:tblPr>
  </w:style>
  <w:style w:type="table" w:customStyle="1" w:styleId="197">
    <w:name w:val="Lined - Accent 2"/>
    <w:qFormat/>
    <w:uiPriority w:val="99"/>
    <w:rPr>
      <w:color w:val="404040"/>
    </w:rPr>
    <w:tblPr>
      <w:tblCellMar>
        <w:top w:w="0" w:type="dxa"/>
        <w:left w:w="0" w:type="dxa"/>
        <w:bottom w:w="0" w:type="dxa"/>
        <w:right w:w="0" w:type="dxa"/>
      </w:tblCellMar>
    </w:tblPr>
  </w:style>
  <w:style w:type="table" w:customStyle="1" w:styleId="198">
    <w:name w:val="Lined - Accent 3"/>
    <w:qFormat/>
    <w:uiPriority w:val="99"/>
    <w:rPr>
      <w:color w:val="404040"/>
    </w:rPr>
    <w:tblPr>
      <w:tblCellMar>
        <w:top w:w="0" w:type="dxa"/>
        <w:left w:w="0" w:type="dxa"/>
        <w:bottom w:w="0" w:type="dxa"/>
        <w:right w:w="0" w:type="dxa"/>
      </w:tblCellMar>
    </w:tblPr>
  </w:style>
  <w:style w:type="table" w:customStyle="1" w:styleId="199">
    <w:name w:val="Lined - Accent 4"/>
    <w:qFormat/>
    <w:uiPriority w:val="99"/>
    <w:rPr>
      <w:color w:val="404040"/>
    </w:rPr>
    <w:tblPr>
      <w:tblCellMar>
        <w:top w:w="0" w:type="dxa"/>
        <w:left w:w="0" w:type="dxa"/>
        <w:bottom w:w="0" w:type="dxa"/>
        <w:right w:w="0" w:type="dxa"/>
      </w:tblCellMar>
    </w:tblPr>
  </w:style>
  <w:style w:type="table" w:customStyle="1" w:styleId="200">
    <w:name w:val="Lined - Accent 5"/>
    <w:qFormat/>
    <w:uiPriority w:val="99"/>
    <w:rPr>
      <w:color w:val="404040"/>
    </w:rPr>
    <w:tblPr>
      <w:tblCellMar>
        <w:top w:w="0" w:type="dxa"/>
        <w:left w:w="0" w:type="dxa"/>
        <w:bottom w:w="0" w:type="dxa"/>
        <w:right w:w="0" w:type="dxa"/>
      </w:tblCellMar>
    </w:tblPr>
  </w:style>
  <w:style w:type="table" w:customStyle="1" w:styleId="201">
    <w:name w:val="Lined - Accent 6"/>
    <w:qFormat/>
    <w:uiPriority w:val="99"/>
    <w:rPr>
      <w:color w:val="404040"/>
    </w:rPr>
    <w:tblPr>
      <w:tblCellMar>
        <w:top w:w="0" w:type="dxa"/>
        <w:left w:w="0" w:type="dxa"/>
        <w:bottom w:w="0" w:type="dxa"/>
        <w:right w:w="0" w:type="dxa"/>
      </w:tblCellMar>
    </w:tblPr>
  </w:style>
  <w:style w:type="table" w:customStyle="1" w:styleId="202">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03">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04">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05">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06">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07">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08">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09">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10">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11">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12">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13">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14">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15">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16">
    <w:name w:val="Footnote Text Char"/>
    <w:qFormat/>
    <w:uiPriority w:val="99"/>
    <w:rPr>
      <w:sz w:val="18"/>
    </w:rPr>
  </w:style>
  <w:style w:type="character" w:customStyle="1" w:styleId="217">
    <w:name w:val="尾注文本 Char"/>
    <w:link w:val="34"/>
    <w:qFormat/>
    <w:uiPriority w:val="99"/>
    <w:rPr>
      <w:sz w:val="20"/>
    </w:rPr>
  </w:style>
  <w:style w:type="paragraph" w:customStyle="1" w:styleId="218">
    <w:name w:val="TOC 标题1"/>
    <w:unhideWhenUsed/>
    <w:qFormat/>
    <w:uiPriority w:val="39"/>
    <w:rPr>
      <w:rFonts w:ascii="Times New Roman" w:hAnsi="Times New Roman" w:eastAsia="宋体" w:cs="Times New Roman"/>
      <w:lang w:val="en-US" w:eastAsia="zh-CN" w:bidi="ar-SA"/>
    </w:rPr>
  </w:style>
  <w:style w:type="paragraph" w:customStyle="1" w:styleId="219">
    <w:name w:val="正文首行缩进 21"/>
    <w:basedOn w:val="3"/>
    <w:next w:val="1"/>
    <w:link w:val="221"/>
    <w:unhideWhenUsed/>
    <w:qFormat/>
    <w:uiPriority w:val="0"/>
    <w:pPr>
      <w:ind w:firstLine="420"/>
    </w:pPr>
  </w:style>
  <w:style w:type="character" w:customStyle="1" w:styleId="220">
    <w:name w:val="正文文本缩进 Char"/>
    <w:link w:val="3"/>
    <w:qFormat/>
    <w:uiPriority w:val="0"/>
    <w:rPr>
      <w:sz w:val="21"/>
      <w:szCs w:val="22"/>
    </w:rPr>
  </w:style>
  <w:style w:type="character" w:customStyle="1" w:styleId="221">
    <w:name w:val="正文首行缩进 2 Char"/>
    <w:link w:val="219"/>
    <w:qFormat/>
    <w:uiPriority w:val="0"/>
    <w:rPr>
      <w:sz w:val="21"/>
      <w:szCs w:val="22"/>
    </w:rPr>
  </w:style>
  <w:style w:type="character" w:customStyle="1" w:styleId="222">
    <w:name w:val="标题 1 Char"/>
    <w:link w:val="6"/>
    <w:qFormat/>
    <w:uiPriority w:val="0"/>
    <w:rPr>
      <w:rFonts w:ascii="Calibri" w:hAnsi="Calibri" w:eastAsia="楷体_GB2312" w:cs="Times New Roman"/>
      <w:b/>
      <w:sz w:val="44"/>
      <w:szCs w:val="20"/>
    </w:rPr>
  </w:style>
  <w:style w:type="character" w:customStyle="1" w:styleId="223">
    <w:name w:val="标题 2 Char"/>
    <w:link w:val="7"/>
    <w:qFormat/>
    <w:uiPriority w:val="0"/>
    <w:rPr>
      <w:rFonts w:ascii="Cambria" w:hAnsi="Cambria" w:eastAsia="宋体" w:cs="Times New Roman"/>
      <w:b/>
      <w:bCs/>
      <w:sz w:val="32"/>
      <w:szCs w:val="32"/>
    </w:rPr>
  </w:style>
  <w:style w:type="character" w:customStyle="1" w:styleId="224">
    <w:name w:val="标题 3 Char"/>
    <w:link w:val="8"/>
    <w:qFormat/>
    <w:uiPriority w:val="99"/>
    <w:rPr>
      <w:rFonts w:ascii="宋体" w:hAnsi="宋体" w:eastAsia="宋体" w:cs="宋体"/>
      <w:b/>
      <w:bCs/>
      <w:sz w:val="27"/>
      <w:szCs w:val="27"/>
    </w:rPr>
  </w:style>
  <w:style w:type="character" w:customStyle="1" w:styleId="225">
    <w:name w:val="标题 4 Char"/>
    <w:link w:val="9"/>
    <w:qFormat/>
    <w:uiPriority w:val="0"/>
    <w:rPr>
      <w:rFonts w:ascii="Arial" w:hAnsi="Arial" w:eastAsia="黑体"/>
      <w:b/>
      <w:bCs/>
      <w:sz w:val="28"/>
      <w:szCs w:val="28"/>
    </w:rPr>
  </w:style>
  <w:style w:type="character" w:customStyle="1" w:styleId="226">
    <w:name w:val="标题 5 Char"/>
    <w:link w:val="10"/>
    <w:qFormat/>
    <w:uiPriority w:val="0"/>
    <w:rPr>
      <w:rFonts w:ascii="宋体" w:hAnsi="Calibri" w:eastAsia="宋体" w:cs="Times New Roman"/>
      <w:b/>
      <w:spacing w:val="-2"/>
      <w:position w:val="-6"/>
      <w:sz w:val="28"/>
    </w:rPr>
  </w:style>
  <w:style w:type="character" w:customStyle="1" w:styleId="227">
    <w:name w:val="正文缩进 Char"/>
    <w:link w:val="11"/>
    <w:qFormat/>
    <w:uiPriority w:val="0"/>
    <w:rPr>
      <w:rFonts w:ascii="Calibri" w:hAnsi="Calibri" w:eastAsia="楷体_GB2312" w:cs="Times New Roman"/>
      <w:sz w:val="24"/>
      <w:szCs w:val="20"/>
    </w:rPr>
  </w:style>
  <w:style w:type="character" w:customStyle="1" w:styleId="228">
    <w:name w:val="标题 6 Char"/>
    <w:link w:val="12"/>
    <w:qFormat/>
    <w:uiPriority w:val="0"/>
    <w:rPr>
      <w:rFonts w:ascii="Arial" w:hAnsi="Arial" w:eastAsia="黑体" w:cs="Times New Roman"/>
      <w:b/>
      <w:spacing w:val="-2"/>
      <w:position w:val="-6"/>
      <w:sz w:val="24"/>
    </w:rPr>
  </w:style>
  <w:style w:type="character" w:customStyle="1" w:styleId="229">
    <w:name w:val="标题 7 Char"/>
    <w:link w:val="13"/>
    <w:qFormat/>
    <w:uiPriority w:val="0"/>
    <w:rPr>
      <w:rFonts w:ascii="宋体" w:hAnsi="Calibri" w:eastAsia="宋体" w:cs="Times New Roman"/>
      <w:b/>
      <w:spacing w:val="-2"/>
      <w:position w:val="-6"/>
      <w:sz w:val="24"/>
    </w:rPr>
  </w:style>
  <w:style w:type="character" w:customStyle="1" w:styleId="230">
    <w:name w:val="标题 8 Char"/>
    <w:link w:val="14"/>
    <w:qFormat/>
    <w:uiPriority w:val="0"/>
    <w:rPr>
      <w:rFonts w:ascii="Arial" w:hAnsi="Arial" w:eastAsia="黑体" w:cs="Times New Roman"/>
      <w:spacing w:val="-2"/>
      <w:position w:val="-6"/>
      <w:sz w:val="24"/>
    </w:rPr>
  </w:style>
  <w:style w:type="character" w:customStyle="1" w:styleId="231">
    <w:name w:val="标题 9 Char"/>
    <w:link w:val="15"/>
    <w:qFormat/>
    <w:uiPriority w:val="0"/>
    <w:rPr>
      <w:rFonts w:ascii="Arial" w:hAnsi="Arial" w:eastAsia="黑体" w:cs="Times New Roman"/>
      <w:spacing w:val="-2"/>
      <w:position w:val="-6"/>
      <w:sz w:val="28"/>
    </w:rPr>
  </w:style>
  <w:style w:type="paragraph" w:customStyle="1" w:styleId="232">
    <w:name w:val="目录 71"/>
    <w:basedOn w:val="1"/>
    <w:next w:val="1"/>
    <w:qFormat/>
    <w:uiPriority w:val="0"/>
    <w:pPr>
      <w:ind w:left="2520"/>
    </w:pPr>
    <w:rPr>
      <w:rFonts w:eastAsia="楷体_GB2312"/>
      <w:sz w:val="26"/>
      <w:szCs w:val="20"/>
    </w:rPr>
  </w:style>
  <w:style w:type="character" w:customStyle="1" w:styleId="233">
    <w:name w:val="文档结构图 Char"/>
    <w:link w:val="20"/>
    <w:qFormat/>
    <w:uiPriority w:val="0"/>
    <w:rPr>
      <w:rFonts w:ascii="宋体" w:eastAsia="宋体"/>
      <w:sz w:val="18"/>
      <w:szCs w:val="18"/>
    </w:rPr>
  </w:style>
  <w:style w:type="character" w:customStyle="1" w:styleId="234">
    <w:name w:val="批注文字 Char"/>
    <w:link w:val="21"/>
    <w:qFormat/>
    <w:uiPriority w:val="0"/>
    <w:rPr>
      <w:sz w:val="21"/>
      <w:szCs w:val="22"/>
    </w:rPr>
  </w:style>
  <w:style w:type="character" w:customStyle="1" w:styleId="235">
    <w:name w:val="正文文本 Char1"/>
    <w:link w:val="23"/>
    <w:qFormat/>
    <w:uiPriority w:val="0"/>
    <w:rPr>
      <w:rFonts w:ascii="Times New Roman" w:hAnsi="Times New Roman" w:eastAsia="宋体" w:cs="Times New Roman"/>
      <w:sz w:val="21"/>
      <w:szCs w:val="22"/>
    </w:rPr>
  </w:style>
  <w:style w:type="paragraph" w:customStyle="1" w:styleId="236">
    <w:name w:val="目录 51"/>
    <w:basedOn w:val="1"/>
    <w:next w:val="1"/>
    <w:qFormat/>
    <w:uiPriority w:val="0"/>
    <w:pPr>
      <w:ind w:left="1680"/>
    </w:pPr>
    <w:rPr>
      <w:rFonts w:eastAsia="楷体_GB2312"/>
      <w:sz w:val="26"/>
      <w:szCs w:val="20"/>
    </w:rPr>
  </w:style>
  <w:style w:type="paragraph" w:customStyle="1" w:styleId="237">
    <w:name w:val="目录 31"/>
    <w:basedOn w:val="1"/>
    <w:next w:val="1"/>
    <w:link w:val="238"/>
    <w:qFormat/>
    <w:uiPriority w:val="0"/>
    <w:pPr>
      <w:ind w:left="840"/>
    </w:pPr>
    <w:rPr>
      <w:szCs w:val="20"/>
      <w:lang w:eastAsia="en-US"/>
    </w:rPr>
  </w:style>
  <w:style w:type="character" w:customStyle="1" w:styleId="238">
    <w:name w:val="目录 3 Char"/>
    <w:link w:val="237"/>
    <w:qFormat/>
    <w:uiPriority w:val="0"/>
    <w:rPr>
      <w:rFonts w:ascii="Calibri" w:hAnsi="Calibri" w:eastAsia="宋体" w:cs="Times New Roman"/>
      <w:sz w:val="21"/>
    </w:rPr>
  </w:style>
  <w:style w:type="character" w:customStyle="1" w:styleId="239">
    <w:name w:val="纯文本 Char"/>
    <w:link w:val="29"/>
    <w:qFormat/>
    <w:uiPriority w:val="0"/>
    <w:rPr>
      <w:rFonts w:ascii="宋体" w:hAnsi="Courier New" w:eastAsia="宋体" w:cs="Times New Roman"/>
      <w:sz w:val="21"/>
    </w:rPr>
  </w:style>
  <w:style w:type="paragraph" w:customStyle="1" w:styleId="240">
    <w:name w:val="目录 81"/>
    <w:basedOn w:val="1"/>
    <w:next w:val="1"/>
    <w:qFormat/>
    <w:uiPriority w:val="0"/>
    <w:pPr>
      <w:ind w:left="2940"/>
    </w:pPr>
    <w:rPr>
      <w:rFonts w:eastAsia="楷体_GB2312"/>
      <w:sz w:val="26"/>
      <w:szCs w:val="20"/>
    </w:rPr>
  </w:style>
  <w:style w:type="character" w:customStyle="1" w:styleId="241">
    <w:name w:val="日期 Char"/>
    <w:link w:val="32"/>
    <w:qFormat/>
    <w:uiPriority w:val="0"/>
    <w:rPr>
      <w:rFonts w:ascii="宋体" w:hAnsi="宋体" w:eastAsia="楷体_GB2312" w:cs="Times New Roman"/>
      <w:sz w:val="24"/>
    </w:rPr>
  </w:style>
  <w:style w:type="character" w:customStyle="1" w:styleId="242">
    <w:name w:val="正文文本缩进 2 Char"/>
    <w:link w:val="33"/>
    <w:qFormat/>
    <w:uiPriority w:val="0"/>
    <w:rPr>
      <w:rFonts w:ascii="宋体" w:hAnsi="Calibri" w:eastAsia="宋体" w:cs="Times New Roman"/>
      <w:b/>
      <w:bCs/>
      <w:sz w:val="24"/>
    </w:rPr>
  </w:style>
  <w:style w:type="character" w:customStyle="1" w:styleId="243">
    <w:name w:val="批注框文本 Char"/>
    <w:link w:val="35"/>
    <w:qFormat/>
    <w:uiPriority w:val="0"/>
    <w:rPr>
      <w:sz w:val="18"/>
      <w:szCs w:val="18"/>
    </w:rPr>
  </w:style>
  <w:style w:type="character" w:customStyle="1" w:styleId="244">
    <w:name w:val="页脚 Char"/>
    <w:link w:val="36"/>
    <w:qFormat/>
    <w:uiPriority w:val="99"/>
    <w:rPr>
      <w:sz w:val="18"/>
      <w:szCs w:val="18"/>
    </w:rPr>
  </w:style>
  <w:style w:type="character" w:customStyle="1" w:styleId="245">
    <w:name w:val="页眉 Char"/>
    <w:link w:val="37"/>
    <w:qFormat/>
    <w:uiPriority w:val="99"/>
    <w:rPr>
      <w:sz w:val="18"/>
      <w:szCs w:val="18"/>
    </w:rPr>
  </w:style>
  <w:style w:type="character" w:customStyle="1" w:styleId="246">
    <w:name w:val="签名 Char"/>
    <w:link w:val="38"/>
    <w:qFormat/>
    <w:uiPriority w:val="0"/>
    <w:rPr>
      <w:rFonts w:ascii="Calibri" w:hAnsi="Calibri" w:eastAsia="仿宋_GB2312" w:cs="Times New Roman"/>
      <w:sz w:val="24"/>
    </w:rPr>
  </w:style>
  <w:style w:type="paragraph" w:customStyle="1" w:styleId="247">
    <w:name w:val="目录 11"/>
    <w:basedOn w:val="1"/>
    <w:next w:val="1"/>
    <w:qFormat/>
    <w:uiPriority w:val="0"/>
    <w:pPr>
      <w:jc w:val="left"/>
    </w:pPr>
    <w:rPr>
      <w:rFonts w:eastAsia="楷体_GB2312"/>
      <w:sz w:val="24"/>
      <w:szCs w:val="20"/>
    </w:rPr>
  </w:style>
  <w:style w:type="paragraph" w:customStyle="1" w:styleId="248">
    <w:name w:val="目录 41"/>
    <w:basedOn w:val="1"/>
    <w:next w:val="1"/>
    <w:qFormat/>
    <w:uiPriority w:val="0"/>
    <w:pPr>
      <w:ind w:left="1260"/>
    </w:pPr>
    <w:rPr>
      <w:rFonts w:eastAsia="楷体_GB2312"/>
      <w:sz w:val="26"/>
      <w:szCs w:val="20"/>
    </w:rPr>
  </w:style>
  <w:style w:type="character" w:customStyle="1" w:styleId="249">
    <w:name w:val="脚注文本 Char"/>
    <w:link w:val="44"/>
    <w:qFormat/>
    <w:uiPriority w:val="0"/>
    <w:rPr>
      <w:rFonts w:ascii="Calibri" w:hAnsi="Calibri" w:eastAsia="楷体_GB2312" w:cs="Times New Roman"/>
      <w:sz w:val="18"/>
    </w:rPr>
  </w:style>
  <w:style w:type="paragraph" w:customStyle="1" w:styleId="250">
    <w:name w:val="目录 61"/>
    <w:basedOn w:val="1"/>
    <w:next w:val="1"/>
    <w:qFormat/>
    <w:uiPriority w:val="0"/>
    <w:pPr>
      <w:ind w:left="2100"/>
    </w:pPr>
    <w:rPr>
      <w:rFonts w:eastAsia="楷体_GB2312"/>
      <w:sz w:val="26"/>
      <w:szCs w:val="20"/>
    </w:rPr>
  </w:style>
  <w:style w:type="character" w:customStyle="1" w:styleId="251">
    <w:name w:val="正文文本缩进 3 Char"/>
    <w:link w:val="5"/>
    <w:qFormat/>
    <w:uiPriority w:val="0"/>
    <w:rPr>
      <w:rFonts w:ascii="Calibri" w:hAnsi="Calibri" w:eastAsia="宋体" w:cs="Times New Roman"/>
      <w:sz w:val="24"/>
      <w:szCs w:val="24"/>
    </w:rPr>
  </w:style>
  <w:style w:type="paragraph" w:customStyle="1" w:styleId="252">
    <w:name w:val="目录 21"/>
    <w:basedOn w:val="1"/>
    <w:next w:val="1"/>
    <w:qFormat/>
    <w:uiPriority w:val="0"/>
    <w:pPr>
      <w:ind w:left="420"/>
    </w:pPr>
    <w:rPr>
      <w:rFonts w:eastAsia="楷体_GB2312"/>
      <w:sz w:val="26"/>
      <w:szCs w:val="20"/>
    </w:rPr>
  </w:style>
  <w:style w:type="paragraph" w:customStyle="1" w:styleId="253">
    <w:name w:val="目录 91"/>
    <w:basedOn w:val="1"/>
    <w:next w:val="1"/>
    <w:qFormat/>
    <w:uiPriority w:val="0"/>
    <w:pPr>
      <w:ind w:left="3360"/>
    </w:pPr>
    <w:rPr>
      <w:rFonts w:eastAsia="楷体_GB2312"/>
      <w:sz w:val="26"/>
      <w:szCs w:val="20"/>
    </w:rPr>
  </w:style>
  <w:style w:type="character" w:customStyle="1" w:styleId="254">
    <w:name w:val="HTML 预设格式 Char"/>
    <w:link w:val="51"/>
    <w:qFormat/>
    <w:uiPriority w:val="0"/>
    <w:rPr>
      <w:rFonts w:ascii="黑体" w:hAnsi="Courier New" w:eastAsia="黑体" w:cs="楷体_GB2312"/>
    </w:rPr>
  </w:style>
  <w:style w:type="character" w:customStyle="1" w:styleId="255">
    <w:name w:val="普通(网站) Char"/>
    <w:link w:val="52"/>
    <w:qFormat/>
    <w:uiPriority w:val="0"/>
    <w:rPr>
      <w:rFonts w:ascii="Calibri" w:hAnsi="Calibri" w:eastAsia="宋体" w:cs="Times New Roman"/>
      <w:sz w:val="24"/>
    </w:rPr>
  </w:style>
  <w:style w:type="character" w:customStyle="1" w:styleId="256">
    <w:name w:val="批注主题 Char"/>
    <w:link w:val="55"/>
    <w:semiHidden/>
    <w:qFormat/>
    <w:uiPriority w:val="99"/>
    <w:rPr>
      <w:b/>
      <w:bCs/>
      <w:sz w:val="21"/>
      <w:szCs w:val="22"/>
    </w:rPr>
  </w:style>
  <w:style w:type="paragraph" w:customStyle="1" w:styleId="257">
    <w:name w:val="正文首行缩进1"/>
    <w:basedOn w:val="23"/>
    <w:link w:val="258"/>
    <w:qFormat/>
    <w:uiPriority w:val="0"/>
    <w:pPr>
      <w:ind w:firstLine="420"/>
    </w:pPr>
    <w:rPr>
      <w:rFonts w:ascii="Calibri" w:hAnsi="Calibri" w:eastAsia="楷体_GB2312"/>
      <w:sz w:val="26"/>
      <w:szCs w:val="20"/>
    </w:rPr>
  </w:style>
  <w:style w:type="character" w:customStyle="1" w:styleId="258">
    <w:name w:val="正文首行缩进 Char"/>
    <w:link w:val="257"/>
    <w:qFormat/>
    <w:uiPriority w:val="0"/>
    <w:rPr>
      <w:rFonts w:ascii="Calibri" w:hAnsi="Calibri" w:eastAsia="楷体_GB2312" w:cs="Times New Roman"/>
      <w:sz w:val="26"/>
      <w:szCs w:val="22"/>
    </w:rPr>
  </w:style>
  <w:style w:type="character" w:customStyle="1" w:styleId="259">
    <w:name w:val="已访问的超链接1"/>
    <w:qFormat/>
    <w:uiPriority w:val="99"/>
    <w:rPr>
      <w:color w:val="333333"/>
      <w:u w:val="none"/>
    </w:rPr>
  </w:style>
  <w:style w:type="paragraph" w:customStyle="1" w:styleId="260">
    <w:name w:val="正文缩进1"/>
    <w:basedOn w:val="1"/>
    <w:qFormat/>
    <w:uiPriority w:val="0"/>
    <w:pPr>
      <w:widowControl/>
      <w:ind w:firstLine="420"/>
      <w:jc w:val="left"/>
    </w:pPr>
  </w:style>
  <w:style w:type="character" w:customStyle="1" w:styleId="261">
    <w:name w:val="NormalCharacter1"/>
    <w:qFormat/>
    <w:uiPriority w:val="0"/>
    <w:rPr>
      <w:rFonts w:ascii="Times New Roman" w:hAnsi="Times New Roman" w:eastAsia="宋体" w:cs="Times New Roman"/>
    </w:rPr>
  </w:style>
  <w:style w:type="paragraph" w:customStyle="1" w:styleId="262">
    <w:name w:val="Default"/>
    <w:qFormat/>
    <w:uiPriority w:val="0"/>
    <w:pPr>
      <w:widowControl w:val="0"/>
    </w:pPr>
    <w:rPr>
      <w:rFonts w:ascii="微软雅黑" w:hAnsi="Times New Roman" w:eastAsia="微软雅黑" w:cs="微软雅黑"/>
      <w:color w:val="000000"/>
      <w:sz w:val="24"/>
      <w:szCs w:val="24"/>
      <w:lang w:val="en-US" w:eastAsia="zh-CN" w:bidi="ar-SA"/>
    </w:rPr>
  </w:style>
  <w:style w:type="paragraph" w:customStyle="1" w:styleId="263">
    <w:name w:val="列出段落1"/>
    <w:basedOn w:val="1"/>
    <w:qFormat/>
    <w:uiPriority w:val="0"/>
    <w:pPr>
      <w:ind w:firstLine="420"/>
    </w:pPr>
    <w:rPr>
      <w:rFonts w:ascii="Times New Roman" w:hAnsi="Times New Roman"/>
    </w:rPr>
  </w:style>
  <w:style w:type="table" w:customStyle="1" w:styleId="264">
    <w:name w:val="网格型1"/>
    <w:basedOn w:val="56"/>
    <w:qFormat/>
    <w:uiPriority w:val="0"/>
    <w:pPr>
      <w:widowControl w:val="0"/>
      <w:jc w:val="both"/>
    </w:pPr>
    <w:tblPr>
      <w:tblCellMar>
        <w:top w:w="0" w:type="dxa"/>
        <w:left w:w="108" w:type="dxa"/>
        <w:bottom w:w="0" w:type="dxa"/>
        <w:right w:w="108" w:type="dxa"/>
      </w:tblCellMar>
    </w:tblPr>
  </w:style>
  <w:style w:type="table" w:customStyle="1" w:styleId="265">
    <w:name w:val="网格型2"/>
    <w:basedOn w:val="56"/>
    <w:qFormat/>
    <w:uiPriority w:val="0"/>
    <w:pPr>
      <w:widowControl w:val="0"/>
      <w:jc w:val="both"/>
    </w:pPr>
    <w:tblPr>
      <w:tblCellMar>
        <w:top w:w="0" w:type="dxa"/>
        <w:left w:w="108" w:type="dxa"/>
        <w:bottom w:w="0" w:type="dxa"/>
        <w:right w:w="108" w:type="dxa"/>
      </w:tblCellMar>
    </w:tblPr>
  </w:style>
  <w:style w:type="character" w:customStyle="1" w:styleId="266">
    <w:name w:val="正文文本 Char"/>
    <w:qFormat/>
    <w:uiPriority w:val="0"/>
    <w:rPr>
      <w:rFonts w:ascii="楷体_GB2312" w:eastAsia="楷体_GB2312"/>
      <w:sz w:val="28"/>
    </w:rPr>
  </w:style>
  <w:style w:type="paragraph" w:customStyle="1" w:styleId="267">
    <w:name w:val="style4"/>
    <w:basedOn w:val="1"/>
    <w:next w:val="268"/>
    <w:qFormat/>
    <w:uiPriority w:val="99"/>
    <w:pPr>
      <w:widowControl/>
      <w:spacing w:before="280" w:after="280"/>
    </w:pPr>
    <w:rPr>
      <w:rFonts w:ascii="宋体" w:eastAsia="楷体_GB2312"/>
      <w:sz w:val="18"/>
      <w:szCs w:val="20"/>
    </w:rPr>
  </w:style>
  <w:style w:type="paragraph" w:customStyle="1" w:styleId="268">
    <w:name w:val="2"/>
    <w:next w:val="1"/>
    <w:qFormat/>
    <w:uiPriority w:val="99"/>
    <w:pPr>
      <w:widowControl w:val="0"/>
      <w:jc w:val="both"/>
    </w:pPr>
    <w:rPr>
      <w:rFonts w:ascii="Times New Roman" w:hAnsi="Times New Roman" w:eastAsia="宋体" w:cs="Times New Roman"/>
      <w:sz w:val="21"/>
      <w:szCs w:val="22"/>
      <w:lang w:val="en-US" w:eastAsia="zh-CN" w:bidi="ar-SA"/>
    </w:rPr>
  </w:style>
  <w:style w:type="table" w:customStyle="1" w:styleId="269">
    <w:name w:val="网格型3"/>
    <w:basedOn w:val="56"/>
    <w:qFormat/>
    <w:uiPriority w:val="0"/>
    <w:pPr>
      <w:widowControl w:val="0"/>
      <w:jc w:val="both"/>
    </w:pPr>
    <w:rPr>
      <w:rFonts w:ascii="Calibri" w:hAnsi="Calibri"/>
      <w:sz w:val="21"/>
      <w:szCs w:val="22"/>
    </w:rPr>
    <w:tblPr>
      <w:tblCellMar>
        <w:top w:w="0" w:type="dxa"/>
        <w:left w:w="108" w:type="dxa"/>
        <w:bottom w:w="0" w:type="dxa"/>
        <w:right w:w="108" w:type="dxa"/>
      </w:tblCellMar>
    </w:tblPr>
  </w:style>
  <w:style w:type="character" w:customStyle="1" w:styleId="270">
    <w:name w:val="正文文本首行缩进 字符"/>
    <w:qFormat/>
    <w:uiPriority w:val="0"/>
    <w:rPr>
      <w:rFonts w:eastAsia="楷体_GB2312"/>
      <w:sz w:val="26"/>
    </w:rPr>
  </w:style>
  <w:style w:type="character" w:customStyle="1" w:styleId="271">
    <w:name w:val="Char Char4"/>
    <w:qFormat/>
    <w:uiPriority w:val="0"/>
    <w:rPr>
      <w:rFonts w:ascii="方正仿宋简体" w:hAnsi="创艺简仿宋" w:eastAsia="方正仿宋简体"/>
      <w:sz w:val="24"/>
      <w:lang w:val="en-US" w:eastAsia="zh-CN" w:bidi="ar-SA"/>
    </w:rPr>
  </w:style>
  <w:style w:type="character" w:customStyle="1" w:styleId="272">
    <w:name w:val="state"/>
    <w:qFormat/>
    <w:uiPriority w:val="0"/>
    <w:rPr>
      <w:b/>
      <w:color w:val="FFFFFF"/>
      <w:sz w:val="19"/>
      <w:szCs w:val="19"/>
    </w:rPr>
  </w:style>
  <w:style w:type="character" w:customStyle="1" w:styleId="273">
    <w:name w:val="bds_more6"/>
    <w:qFormat/>
    <w:uiPriority w:val="0"/>
  </w:style>
  <w:style w:type="character" w:customStyle="1" w:styleId="274">
    <w:name w:val="hilite"/>
    <w:qFormat/>
    <w:uiPriority w:val="0"/>
    <w:rPr>
      <w:color w:val="FFFFFF"/>
      <w:shd w:val="clear" w:color="auto" w:fill="776666"/>
    </w:rPr>
  </w:style>
  <w:style w:type="character" w:customStyle="1" w:styleId="275">
    <w:name w:val="bds_nopic"/>
    <w:qFormat/>
    <w:uiPriority w:val="0"/>
  </w:style>
  <w:style w:type="character" w:customStyle="1" w:styleId="276">
    <w:name w:val="Char Char2"/>
    <w:qFormat/>
    <w:uiPriority w:val="0"/>
    <w:rPr>
      <w:rFonts w:ascii="宋体" w:hAnsi="宋体" w:eastAsia="楷体_GB2312"/>
      <w:b/>
      <w:sz w:val="26"/>
      <w:lang w:val="en-US" w:eastAsia="zh-CN" w:bidi="ar-SA"/>
    </w:rPr>
  </w:style>
  <w:style w:type="character" w:customStyle="1" w:styleId="277">
    <w:name w:val="hover61"/>
    <w:qFormat/>
    <w:uiPriority w:val="0"/>
    <w:rPr>
      <w:shd w:val="clear" w:color="auto" w:fill="FF0000"/>
    </w:rPr>
  </w:style>
  <w:style w:type="character" w:customStyle="1" w:styleId="278">
    <w:name w:val="font51"/>
    <w:qFormat/>
    <w:uiPriority w:val="99"/>
    <w:rPr>
      <w:rFonts w:hint="eastAsia" w:ascii="宋体" w:hAnsi="宋体" w:eastAsia="宋体" w:cs="宋体"/>
      <w:color w:val="FF0000"/>
      <w:sz w:val="20"/>
      <w:szCs w:val="20"/>
      <w:u w:val="none"/>
    </w:rPr>
  </w:style>
  <w:style w:type="character" w:customStyle="1" w:styleId="279">
    <w:name w:val="grid"/>
    <w:qFormat/>
    <w:uiPriority w:val="0"/>
  </w:style>
  <w:style w:type="character" w:customStyle="1" w:styleId="280">
    <w:name w:val="bds_more7"/>
    <w:qFormat/>
    <w:uiPriority w:val="0"/>
  </w:style>
  <w:style w:type="character" w:customStyle="1" w:styleId="281">
    <w:name w:val="bds_more8"/>
    <w:qFormat/>
    <w:uiPriority w:val="0"/>
    <w:rPr>
      <w:rFonts w:hint="eastAsia" w:ascii="宋体" w:hAnsi="宋体" w:eastAsia="宋体" w:cs="宋体"/>
    </w:rPr>
  </w:style>
  <w:style w:type="character" w:customStyle="1" w:styleId="282">
    <w:name w:val="bds_more4"/>
    <w:qFormat/>
    <w:uiPriority w:val="0"/>
    <w:rPr>
      <w:rFonts w:hint="eastAsia" w:ascii="宋体" w:hAnsi="宋体" w:eastAsia="宋体" w:cs="宋体"/>
    </w:rPr>
  </w:style>
  <w:style w:type="character" w:customStyle="1" w:styleId="283">
    <w:name w:val="bds_nopic1"/>
    <w:qFormat/>
    <w:uiPriority w:val="0"/>
  </w:style>
  <w:style w:type="character" w:customStyle="1" w:styleId="284">
    <w:name w:val="hilite6"/>
    <w:qFormat/>
    <w:uiPriority w:val="0"/>
    <w:rPr>
      <w:color w:val="FFFFFF"/>
      <w:shd w:val="clear" w:color="auto" w:fill="776666"/>
    </w:rPr>
  </w:style>
  <w:style w:type="character" w:customStyle="1" w:styleId="285">
    <w:name w:val="正文缩进2格 Char Char"/>
    <w:link w:val="286"/>
    <w:qFormat/>
    <w:uiPriority w:val="0"/>
    <w:rPr>
      <w:rFonts w:ascii="仿宋_GB2312" w:hAnsi="宋体" w:eastAsia="仿宋_GB2312"/>
      <w:sz w:val="31"/>
      <w:szCs w:val="28"/>
    </w:rPr>
  </w:style>
  <w:style w:type="paragraph" w:customStyle="1" w:styleId="286">
    <w:name w:val="正文缩进2格"/>
    <w:basedOn w:val="1"/>
    <w:link w:val="285"/>
    <w:qFormat/>
    <w:uiPriority w:val="0"/>
    <w:pPr>
      <w:spacing w:line="600" w:lineRule="exact"/>
      <w:ind w:firstLine="639"/>
    </w:pPr>
    <w:rPr>
      <w:rFonts w:ascii="仿宋_GB2312" w:hAnsi="宋体" w:eastAsia="仿宋_GB2312"/>
      <w:sz w:val="31"/>
      <w:szCs w:val="28"/>
      <w:lang w:eastAsia="en-US"/>
    </w:rPr>
  </w:style>
  <w:style w:type="character" w:customStyle="1" w:styleId="287">
    <w:name w:val="grid2"/>
    <w:qFormat/>
    <w:uiPriority w:val="0"/>
  </w:style>
  <w:style w:type="character" w:customStyle="1" w:styleId="288">
    <w:name w:val="other"/>
    <w:qFormat/>
    <w:uiPriority w:val="0"/>
  </w:style>
  <w:style w:type="character" w:customStyle="1" w:styleId="289">
    <w:name w:val="font01"/>
    <w:qFormat/>
    <w:uiPriority w:val="0"/>
    <w:rPr>
      <w:rFonts w:hint="eastAsia" w:ascii="宋体" w:hAnsi="宋体" w:eastAsia="宋体" w:cs="宋体"/>
      <w:b/>
      <w:color w:val="000000"/>
      <w:sz w:val="20"/>
      <w:szCs w:val="20"/>
      <w:u w:val="none"/>
    </w:rPr>
  </w:style>
  <w:style w:type="character" w:customStyle="1" w:styleId="290">
    <w:name w:val="noused"/>
    <w:qFormat/>
    <w:uiPriority w:val="0"/>
    <w:rPr>
      <w:b/>
      <w:color w:val="FFFFFF"/>
      <w:sz w:val="21"/>
      <w:szCs w:val="21"/>
    </w:rPr>
  </w:style>
  <w:style w:type="character" w:customStyle="1" w:styleId="291">
    <w:name w:val="active8"/>
    <w:qFormat/>
    <w:uiPriority w:val="0"/>
    <w:rPr>
      <w:color w:val="00FF00"/>
      <w:shd w:val="clear" w:color="auto" w:fill="000000"/>
    </w:rPr>
  </w:style>
  <w:style w:type="character" w:customStyle="1" w:styleId="292">
    <w:name w:val="font61"/>
    <w:qFormat/>
    <w:uiPriority w:val="0"/>
    <w:rPr>
      <w:rFonts w:hint="eastAsia" w:ascii="宋体" w:hAnsi="宋体" w:eastAsia="宋体" w:cs="宋体"/>
      <w:color w:val="000000"/>
      <w:sz w:val="20"/>
      <w:szCs w:val="20"/>
      <w:u w:val="none"/>
    </w:rPr>
  </w:style>
  <w:style w:type="character" w:customStyle="1" w:styleId="293">
    <w:name w:val="bds_more5"/>
    <w:qFormat/>
    <w:uiPriority w:val="0"/>
  </w:style>
  <w:style w:type="character" w:customStyle="1" w:styleId="294">
    <w:name w:val="bds_nopic2"/>
    <w:qFormat/>
    <w:uiPriority w:val="0"/>
  </w:style>
  <w:style w:type="character" w:customStyle="1" w:styleId="295">
    <w:name w:val="active"/>
    <w:qFormat/>
    <w:uiPriority w:val="0"/>
    <w:rPr>
      <w:color w:val="00FF00"/>
      <w:shd w:val="clear" w:color="auto" w:fill="000000"/>
    </w:rPr>
  </w:style>
  <w:style w:type="character" w:customStyle="1" w:styleId="296">
    <w:name w:val="列出段落 Char"/>
    <w:link w:val="297"/>
    <w:qFormat/>
    <w:uiPriority w:val="0"/>
    <w:rPr>
      <w:sz w:val="21"/>
      <w:szCs w:val="24"/>
    </w:rPr>
  </w:style>
  <w:style w:type="paragraph" w:customStyle="1" w:styleId="297">
    <w:name w:val="列出段落2"/>
    <w:basedOn w:val="1"/>
    <w:link w:val="296"/>
    <w:qFormat/>
    <w:uiPriority w:val="0"/>
    <w:pPr>
      <w:ind w:firstLine="420"/>
    </w:pPr>
    <w:rPr>
      <w:rFonts w:ascii="Times New Roman" w:hAnsi="Times New Roman"/>
      <w:szCs w:val="24"/>
      <w:lang w:eastAsia="en-US"/>
    </w:rPr>
  </w:style>
  <w:style w:type="character" w:customStyle="1" w:styleId="298">
    <w:name w:val="font41"/>
    <w:qFormat/>
    <w:uiPriority w:val="0"/>
    <w:rPr>
      <w:rFonts w:hint="eastAsia" w:ascii="宋体" w:hAnsi="宋体" w:eastAsia="宋体" w:cs="宋体"/>
      <w:color w:val="000000"/>
      <w:sz w:val="20"/>
      <w:szCs w:val="20"/>
      <w:u w:val="none"/>
    </w:rPr>
  </w:style>
  <w:style w:type="character" w:customStyle="1" w:styleId="299">
    <w:name w:val="font11"/>
    <w:qFormat/>
    <w:uiPriority w:val="0"/>
    <w:rPr>
      <w:rFonts w:ascii="宋体" w:hAnsi="宋体" w:eastAsia="宋体"/>
      <w:color w:val="000000"/>
      <w:sz w:val="28"/>
      <w:u w:val="none"/>
    </w:rPr>
  </w:style>
  <w:style w:type="character" w:customStyle="1" w:styleId="300">
    <w:name w:val="font81"/>
    <w:qFormat/>
    <w:uiPriority w:val="0"/>
    <w:rPr>
      <w:rFonts w:ascii="宋体" w:hAnsi="宋体" w:eastAsia="宋体"/>
      <w:b/>
      <w:color w:val="000000"/>
      <w:sz w:val="18"/>
      <w:u w:val="none"/>
    </w:rPr>
  </w:style>
  <w:style w:type="character" w:customStyle="1" w:styleId="301">
    <w:name w:val="font71"/>
    <w:qFormat/>
    <w:uiPriority w:val="0"/>
    <w:rPr>
      <w:rFonts w:hint="eastAsia" w:ascii="宋体" w:hAnsi="宋体" w:eastAsia="宋体" w:cs="宋体"/>
      <w:color w:val="000000"/>
      <w:sz w:val="20"/>
      <w:szCs w:val="20"/>
      <w:u w:val="none"/>
      <w:vertAlign w:val="superscript"/>
    </w:rPr>
  </w:style>
  <w:style w:type="character" w:customStyle="1" w:styleId="302">
    <w:name w:val="正文文本缩进 Char1"/>
    <w:qFormat/>
    <w:uiPriority w:val="0"/>
    <w:rPr>
      <w:rFonts w:eastAsia="楷体_GB2312"/>
      <w:sz w:val="26"/>
    </w:rPr>
  </w:style>
  <w:style w:type="character" w:customStyle="1" w:styleId="303">
    <w:name w:val="font101"/>
    <w:qFormat/>
    <w:uiPriority w:val="0"/>
    <w:rPr>
      <w:rFonts w:hint="eastAsia" w:ascii="微软雅黑" w:hAnsi="微软雅黑" w:eastAsia="微软雅黑" w:cs="微软雅黑"/>
      <w:color w:val="000000"/>
      <w:sz w:val="20"/>
      <w:szCs w:val="20"/>
      <w:u w:val="none"/>
      <w:vertAlign w:val="superscript"/>
    </w:rPr>
  </w:style>
  <w:style w:type="character" w:customStyle="1" w:styleId="304">
    <w:name w:val="日期 Char1"/>
    <w:qFormat/>
    <w:uiPriority w:val="0"/>
    <w:rPr>
      <w:rFonts w:eastAsia="楷体_GB2312"/>
      <w:sz w:val="26"/>
      <w:szCs w:val="26"/>
    </w:rPr>
  </w:style>
  <w:style w:type="character" w:customStyle="1" w:styleId="305">
    <w:name w:val="Balloon Text Char"/>
    <w:semiHidden/>
    <w:qFormat/>
    <w:uiPriority w:val="0"/>
    <w:rPr>
      <w:rFonts w:eastAsia="宋体"/>
      <w:sz w:val="18"/>
      <w:lang w:val="en-US" w:eastAsia="zh-CN"/>
    </w:rPr>
  </w:style>
  <w:style w:type="character" w:customStyle="1" w:styleId="306">
    <w:name w:val="font21"/>
    <w:qFormat/>
    <w:uiPriority w:val="0"/>
    <w:rPr>
      <w:rFonts w:hint="eastAsia" w:ascii="宋体" w:hAnsi="宋体" w:eastAsia="宋体" w:cs="宋体"/>
      <w:b/>
      <w:color w:val="000000"/>
      <w:sz w:val="20"/>
      <w:szCs w:val="20"/>
      <w:u w:val="none"/>
    </w:rPr>
  </w:style>
  <w:style w:type="character" w:customStyle="1" w:styleId="307">
    <w:name w:val="font31"/>
    <w:qFormat/>
    <w:uiPriority w:val="0"/>
    <w:rPr>
      <w:rFonts w:ascii="宋体" w:hAnsi="宋体" w:eastAsia="宋体"/>
      <w:color w:val="000000"/>
      <w:sz w:val="20"/>
      <w:u w:val="none"/>
    </w:rPr>
  </w:style>
  <w:style w:type="character" w:customStyle="1" w:styleId="308">
    <w:name w:val="Body Text Indent Char"/>
    <w:qFormat/>
    <w:uiPriority w:val="0"/>
    <w:rPr>
      <w:rFonts w:ascii="方正仿宋简体" w:hAnsi="创艺简仿宋" w:eastAsia="方正仿宋简体"/>
      <w:sz w:val="24"/>
    </w:rPr>
  </w:style>
  <w:style w:type="character" w:customStyle="1" w:styleId="309">
    <w:name w:val="Header Char1"/>
    <w:qFormat/>
    <w:uiPriority w:val="0"/>
    <w:rPr>
      <w:rFonts w:eastAsia="楷体_GB2312"/>
      <w:sz w:val="18"/>
    </w:rPr>
  </w:style>
  <w:style w:type="character" w:customStyle="1" w:styleId="310">
    <w:name w:val="Header Char"/>
    <w:qFormat/>
    <w:uiPriority w:val="0"/>
    <w:rPr>
      <w:sz w:val="18"/>
    </w:rPr>
  </w:style>
  <w:style w:type="character" w:customStyle="1" w:styleId="311">
    <w:name w:val="正文文本缩进 Char2"/>
    <w:qFormat/>
    <w:uiPriority w:val="0"/>
    <w:rPr>
      <w:rFonts w:eastAsia="楷体_GB2312"/>
      <w:sz w:val="26"/>
      <w:szCs w:val="26"/>
    </w:rPr>
  </w:style>
  <w:style w:type="paragraph" w:customStyle="1" w:styleId="312">
    <w:name w:val="p0"/>
    <w:basedOn w:val="1"/>
    <w:qFormat/>
    <w:uiPriority w:val="0"/>
    <w:pPr>
      <w:widowControl/>
    </w:pPr>
    <w:rPr>
      <w:szCs w:val="21"/>
    </w:rPr>
  </w:style>
  <w:style w:type="paragraph" w:customStyle="1" w:styleId="313">
    <w:name w:val="纯文本1"/>
    <w:basedOn w:val="1"/>
    <w:qFormat/>
    <w:uiPriority w:val="0"/>
    <w:rPr>
      <w:rFonts w:ascii="宋体" w:hAnsi="Courier New" w:eastAsia="楷体_GB2312"/>
      <w:sz w:val="28"/>
      <w:szCs w:val="20"/>
    </w:rPr>
  </w:style>
  <w:style w:type="paragraph" w:customStyle="1" w:styleId="314">
    <w:name w:val="Char Char1 Char Char Char Char"/>
    <w:basedOn w:val="20"/>
    <w:qFormat/>
    <w:uiPriority w:val="0"/>
    <w:pPr>
      <w:shd w:val="clear" w:color="auto" w:fill="000080"/>
      <w:spacing w:line="360" w:lineRule="auto"/>
    </w:pPr>
    <w:rPr>
      <w:rFonts w:ascii="Tahoma" w:hAnsi="Tahoma"/>
      <w:sz w:val="24"/>
      <w:szCs w:val="24"/>
    </w:rPr>
  </w:style>
  <w:style w:type="paragraph" w:customStyle="1" w:styleId="315">
    <w:name w:val="Char Char1 Char Char Char Char Char Char Char"/>
    <w:basedOn w:val="1"/>
    <w:qFormat/>
    <w:uiPriority w:val="0"/>
    <w:rPr>
      <w:rFonts w:ascii="Tahoma" w:hAnsi="Tahoma" w:eastAsia="楷体_GB2312"/>
      <w:sz w:val="24"/>
      <w:szCs w:val="20"/>
    </w:rPr>
  </w:style>
  <w:style w:type="paragraph" w:customStyle="1" w:styleId="316">
    <w:name w:val="Char"/>
    <w:basedOn w:val="1"/>
    <w:qFormat/>
    <w:uiPriority w:val="0"/>
    <w:pPr>
      <w:widowControl/>
      <w:spacing w:after="160" w:line="240" w:lineRule="exact"/>
      <w:jc w:val="left"/>
    </w:pPr>
    <w:rPr>
      <w:rFonts w:ascii="Verdana" w:hAnsi="Verdana"/>
      <w:szCs w:val="20"/>
      <w:lang w:eastAsia="en-US"/>
    </w:rPr>
  </w:style>
  <w:style w:type="paragraph" w:customStyle="1" w:styleId="317">
    <w:name w:val="Char1"/>
    <w:basedOn w:val="1"/>
    <w:qFormat/>
    <w:uiPriority w:val="0"/>
    <w:rPr>
      <w:rFonts w:ascii="Tahoma" w:hAnsi="Tahoma"/>
      <w:sz w:val="24"/>
      <w:szCs w:val="20"/>
    </w:rPr>
  </w:style>
  <w:style w:type="paragraph" w:customStyle="1" w:styleId="318">
    <w:name w:val="图"/>
    <w:basedOn w:val="1"/>
    <w:qFormat/>
    <w:uiPriority w:val="0"/>
    <w:pPr>
      <w:keepNext/>
      <w:spacing w:before="60" w:after="60" w:line="300" w:lineRule="auto"/>
      <w:jc w:val="center"/>
    </w:pPr>
    <w:rPr>
      <w:spacing w:val="20"/>
      <w:sz w:val="24"/>
      <w:szCs w:val="20"/>
    </w:rPr>
  </w:style>
  <w:style w:type="paragraph" w:customStyle="1" w:styleId="319">
    <w:name w:val="纯文本2"/>
    <w:basedOn w:val="1"/>
    <w:qFormat/>
    <w:uiPriority w:val="0"/>
    <w:rPr>
      <w:rFonts w:ascii="宋体" w:hAnsi="Courier New" w:eastAsia="楷体_GB2312"/>
      <w:sz w:val="26"/>
      <w:szCs w:val="20"/>
    </w:rPr>
  </w:style>
  <w:style w:type="paragraph" w:customStyle="1" w:styleId="320">
    <w:name w:val="Table Paragraph"/>
    <w:basedOn w:val="1"/>
    <w:qFormat/>
    <w:uiPriority w:val="1"/>
    <w:rPr>
      <w:rFonts w:ascii="仿宋" w:hAnsi="仿宋" w:eastAsia="仿宋" w:cs="仿宋"/>
      <w:lang w:val="zh-CN" w:bidi="zh-CN"/>
    </w:rPr>
  </w:style>
  <w:style w:type="paragraph" w:customStyle="1" w:styleId="321">
    <w:name w:val="xl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22">
    <w:name w:val="font10"/>
    <w:basedOn w:val="1"/>
    <w:qFormat/>
    <w:uiPriority w:val="0"/>
    <w:pPr>
      <w:widowControl/>
      <w:spacing w:before="100" w:beforeAutospacing="1" w:after="100" w:afterAutospacing="1"/>
      <w:jc w:val="left"/>
    </w:pPr>
    <w:rPr>
      <w:rFonts w:ascii="宋体" w:hAnsi="宋体" w:cs="宋体"/>
      <w:sz w:val="18"/>
      <w:szCs w:val="18"/>
    </w:rPr>
  </w:style>
  <w:style w:type="paragraph" w:customStyle="1" w:styleId="323">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24">
    <w:name w:val="xl12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25">
    <w:name w:val="xl1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26">
    <w:name w:val="font7"/>
    <w:basedOn w:val="1"/>
    <w:qFormat/>
    <w:uiPriority w:val="0"/>
    <w:pPr>
      <w:widowControl/>
      <w:spacing w:before="100" w:beforeAutospacing="1" w:after="100" w:afterAutospacing="1"/>
      <w:jc w:val="left"/>
    </w:pPr>
    <w:rPr>
      <w:rFonts w:ascii="宋体" w:hAnsi="宋体" w:cs="宋体"/>
      <w:sz w:val="18"/>
      <w:szCs w:val="18"/>
    </w:rPr>
  </w:style>
  <w:style w:type="paragraph" w:customStyle="1" w:styleId="327">
    <w:name w:val="xl16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b/>
      <w:bCs/>
      <w:sz w:val="20"/>
      <w:szCs w:val="20"/>
    </w:rPr>
  </w:style>
  <w:style w:type="paragraph" w:customStyle="1" w:styleId="328">
    <w:name w:val="xl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29">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sz w:val="20"/>
      <w:szCs w:val="20"/>
    </w:rPr>
  </w:style>
  <w:style w:type="paragraph" w:customStyle="1" w:styleId="330">
    <w:name w:val="font12"/>
    <w:basedOn w:val="1"/>
    <w:qFormat/>
    <w:uiPriority w:val="0"/>
    <w:pPr>
      <w:widowControl/>
      <w:spacing w:before="100" w:beforeAutospacing="1" w:after="100" w:afterAutospacing="1"/>
      <w:jc w:val="left"/>
    </w:pPr>
    <w:rPr>
      <w:rFonts w:ascii="宋体" w:hAnsi="宋体" w:cs="宋体"/>
      <w:sz w:val="18"/>
      <w:szCs w:val="18"/>
    </w:rPr>
  </w:style>
  <w:style w:type="paragraph" w:customStyle="1" w:styleId="331">
    <w:name w:val="xl1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color w:val="000000"/>
      <w:sz w:val="20"/>
      <w:szCs w:val="20"/>
    </w:rPr>
  </w:style>
  <w:style w:type="paragraph" w:customStyle="1" w:styleId="332">
    <w:name w:val="font22"/>
    <w:basedOn w:val="1"/>
    <w:qFormat/>
    <w:uiPriority w:val="0"/>
    <w:pPr>
      <w:widowControl/>
      <w:spacing w:before="100" w:beforeAutospacing="1" w:after="100" w:afterAutospacing="1"/>
      <w:jc w:val="left"/>
    </w:pPr>
    <w:rPr>
      <w:rFonts w:ascii="宋体" w:hAnsi="宋体" w:cs="宋体"/>
      <w:sz w:val="18"/>
      <w:szCs w:val="18"/>
    </w:rPr>
  </w:style>
  <w:style w:type="paragraph" w:customStyle="1" w:styleId="333">
    <w:name w:val="xl1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b/>
      <w:bCs/>
      <w:sz w:val="20"/>
      <w:szCs w:val="20"/>
    </w:rPr>
  </w:style>
  <w:style w:type="paragraph" w:customStyle="1" w:styleId="334">
    <w:name w:val="xl1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sz w:val="20"/>
      <w:szCs w:val="20"/>
    </w:rPr>
  </w:style>
  <w:style w:type="paragraph" w:customStyle="1" w:styleId="335">
    <w:name w:val="xl11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36">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37">
    <w:name w:val="xl12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38">
    <w:name w:val="xl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39">
    <w:name w:val="xl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0">
    <w:name w:val="xl1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1">
    <w:name w:val="xl1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2">
    <w:name w:val="xl1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3">
    <w:name w:val="xl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4">
    <w:name w:val="xl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5">
    <w:name w:val="font8"/>
    <w:basedOn w:val="1"/>
    <w:qFormat/>
    <w:uiPriority w:val="0"/>
    <w:pPr>
      <w:widowControl/>
      <w:spacing w:before="100" w:beforeAutospacing="1" w:after="100" w:afterAutospacing="1"/>
      <w:jc w:val="left"/>
    </w:pPr>
    <w:rPr>
      <w:rFonts w:ascii="宋体" w:hAnsi="宋体" w:cs="宋体"/>
      <w:sz w:val="18"/>
      <w:szCs w:val="18"/>
    </w:rPr>
  </w:style>
  <w:style w:type="paragraph" w:customStyle="1" w:styleId="346">
    <w:name w:val="xl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47">
    <w:name w:val="xl1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8">
    <w:name w:val="font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49">
    <w:name w:val="xl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50">
    <w:name w:val="xl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51">
    <w:name w:val="xl10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52">
    <w:name w:val="xl13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53">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sz w:val="20"/>
      <w:szCs w:val="20"/>
    </w:rPr>
  </w:style>
  <w:style w:type="paragraph" w:customStyle="1" w:styleId="354">
    <w:name w:val="列出段落11"/>
    <w:basedOn w:val="1"/>
    <w:qFormat/>
    <w:uiPriority w:val="34"/>
    <w:pPr>
      <w:ind w:firstLine="420"/>
    </w:pPr>
    <w:rPr>
      <w:sz w:val="26"/>
      <w:szCs w:val="26"/>
    </w:rPr>
  </w:style>
  <w:style w:type="paragraph" w:customStyle="1" w:styleId="355">
    <w:name w:val="font1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56">
    <w:name w:val="xl1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b/>
      <w:bCs/>
      <w:sz w:val="20"/>
      <w:szCs w:val="20"/>
    </w:rPr>
  </w:style>
  <w:style w:type="paragraph" w:customStyle="1" w:styleId="357">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58">
    <w:name w:val="xl1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color w:val="000000"/>
      <w:sz w:val="20"/>
      <w:szCs w:val="20"/>
    </w:rPr>
  </w:style>
  <w:style w:type="paragraph" w:customStyle="1" w:styleId="359">
    <w:name w:val="xl1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sz w:val="20"/>
      <w:szCs w:val="20"/>
    </w:rPr>
  </w:style>
  <w:style w:type="paragraph" w:customStyle="1" w:styleId="360">
    <w:name w:val="xl13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61">
    <w:name w:val="font17"/>
    <w:basedOn w:val="1"/>
    <w:qFormat/>
    <w:uiPriority w:val="0"/>
    <w:pPr>
      <w:widowControl/>
      <w:spacing w:before="100" w:beforeAutospacing="1" w:after="100" w:afterAutospacing="1"/>
      <w:jc w:val="left"/>
    </w:pPr>
    <w:rPr>
      <w:rFonts w:ascii="宋体" w:hAnsi="宋体" w:cs="宋体"/>
      <w:sz w:val="18"/>
      <w:szCs w:val="18"/>
    </w:rPr>
  </w:style>
  <w:style w:type="paragraph" w:customStyle="1" w:styleId="362">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63">
    <w:name w:val="xl15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64">
    <w:name w:val="xl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65">
    <w:name w:val="xl12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66">
    <w:name w:val="xl14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67">
    <w:name w:val="xl1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sz w:val="20"/>
      <w:szCs w:val="20"/>
    </w:rPr>
  </w:style>
  <w:style w:type="paragraph" w:customStyle="1" w:styleId="368">
    <w:name w:val="xl11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sz w:val="20"/>
      <w:szCs w:val="20"/>
    </w:rPr>
  </w:style>
  <w:style w:type="paragraph" w:customStyle="1" w:styleId="369">
    <w:name w:val="正文1"/>
    <w:qFormat/>
    <w:uiPriority w:val="0"/>
    <w:pPr>
      <w:spacing w:line="240" w:lineRule="atLeast"/>
      <w:ind w:firstLine="200"/>
      <w:jc w:val="both"/>
    </w:pPr>
    <w:rPr>
      <w:rFonts w:ascii="Calibri" w:hAnsi="Calibri" w:eastAsia="宋体" w:cs="Times New Roman"/>
      <w:sz w:val="21"/>
      <w:szCs w:val="21"/>
      <w:lang w:val="en-US" w:eastAsia="zh-CN" w:bidi="ar-SA"/>
    </w:rPr>
  </w:style>
  <w:style w:type="paragraph" w:customStyle="1" w:styleId="370">
    <w:name w:val="xl1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71">
    <w:name w:val="font1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72">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373">
    <w:name w:val="xl11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color w:val="000000"/>
      <w:sz w:val="20"/>
      <w:szCs w:val="20"/>
    </w:rPr>
  </w:style>
  <w:style w:type="paragraph" w:customStyle="1" w:styleId="374">
    <w:name w:val="xl1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75">
    <w:name w:val="_Style 7"/>
    <w:basedOn w:val="1"/>
    <w:qFormat/>
    <w:uiPriority w:val="0"/>
    <w:pPr>
      <w:ind w:firstLine="420"/>
    </w:pPr>
    <w:rPr>
      <w:sz w:val="26"/>
      <w:szCs w:val="26"/>
    </w:rPr>
  </w:style>
  <w:style w:type="paragraph" w:customStyle="1" w:styleId="376">
    <w:name w:val="xl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77">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78">
    <w:name w:val="font14"/>
    <w:basedOn w:val="1"/>
    <w:qFormat/>
    <w:uiPriority w:val="0"/>
    <w:pPr>
      <w:widowControl/>
      <w:spacing w:before="100" w:beforeAutospacing="1" w:after="100" w:afterAutospacing="1"/>
      <w:jc w:val="left"/>
    </w:pPr>
    <w:rPr>
      <w:rFonts w:ascii="宋体" w:hAnsi="宋体" w:cs="宋体"/>
      <w:sz w:val="18"/>
      <w:szCs w:val="18"/>
    </w:rPr>
  </w:style>
  <w:style w:type="paragraph" w:customStyle="1" w:styleId="379">
    <w:name w:val="xl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color w:val="000000"/>
      <w:sz w:val="20"/>
      <w:szCs w:val="20"/>
    </w:rPr>
  </w:style>
  <w:style w:type="paragraph" w:customStyle="1" w:styleId="380">
    <w:name w:val="xl99"/>
    <w:basedOn w:val="1"/>
    <w:qFormat/>
    <w:uiPriority w:val="0"/>
    <w:pPr>
      <w:widowControl/>
      <w:spacing w:before="100" w:beforeAutospacing="1" w:after="100" w:afterAutospacing="1"/>
      <w:jc w:val="center"/>
    </w:pPr>
    <w:rPr>
      <w:rFonts w:ascii="Courier New" w:hAnsi="Courier New" w:cs="Courier New"/>
      <w:color w:val="000000"/>
      <w:sz w:val="20"/>
      <w:szCs w:val="20"/>
    </w:rPr>
  </w:style>
  <w:style w:type="paragraph" w:customStyle="1" w:styleId="381">
    <w:name w:val="xl15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82">
    <w:name w:val="_Style 26"/>
    <w:next w:val="1"/>
    <w:qFormat/>
    <w:uiPriority w:val="99"/>
    <w:pPr>
      <w:widowControl w:val="0"/>
      <w:jc w:val="both"/>
    </w:pPr>
    <w:rPr>
      <w:rFonts w:ascii="Calibri" w:hAnsi="Calibri" w:eastAsia="楷体_GB2312" w:cs="Times New Roman"/>
      <w:sz w:val="26"/>
      <w:szCs w:val="26"/>
      <w:lang w:val="en-US" w:eastAsia="zh-CN" w:bidi="ar-SA"/>
    </w:rPr>
  </w:style>
  <w:style w:type="paragraph" w:customStyle="1" w:styleId="383">
    <w:name w:val="样式 标题 1 + 宋体 段前: 0 磅 段后: 0 磅 行距: 单倍行距"/>
    <w:basedOn w:val="6"/>
    <w:next w:val="1"/>
    <w:qFormat/>
    <w:uiPriority w:val="0"/>
    <w:pPr>
      <w:spacing w:line="240" w:lineRule="auto"/>
      <w:jc w:val="center"/>
    </w:pPr>
    <w:rPr>
      <w:rFonts w:ascii="仿宋_GB2312" w:hAnsi="宋体" w:eastAsia="仿宋_GB2312" w:cs="宋体"/>
      <w:bCs/>
      <w:szCs w:val="44"/>
    </w:rPr>
  </w:style>
  <w:style w:type="paragraph" w:customStyle="1" w:styleId="384">
    <w:name w:val="font9"/>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5">
    <w:name w:val="font20"/>
    <w:basedOn w:val="1"/>
    <w:qFormat/>
    <w:uiPriority w:val="0"/>
    <w:pPr>
      <w:widowControl/>
      <w:spacing w:before="100" w:beforeAutospacing="1" w:after="100" w:afterAutospacing="1"/>
      <w:jc w:val="left"/>
    </w:pPr>
    <w:rPr>
      <w:rFonts w:ascii="Courier New" w:hAnsi="Courier New" w:cs="Courier New"/>
      <w:color w:val="000000"/>
      <w:sz w:val="20"/>
      <w:szCs w:val="20"/>
    </w:rPr>
  </w:style>
  <w:style w:type="paragraph" w:customStyle="1" w:styleId="386">
    <w:name w:val="font13"/>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7">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sz w:val="20"/>
      <w:szCs w:val="20"/>
    </w:rPr>
  </w:style>
  <w:style w:type="paragraph" w:customStyle="1" w:styleId="388">
    <w:name w:val="xl11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89">
    <w:name w:val="xl13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0">
    <w:name w:val="font18"/>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1">
    <w:name w:val="xl1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92">
    <w:name w:val="xl158"/>
    <w:basedOn w:val="1"/>
    <w:qFormat/>
    <w:uiPriority w:val="0"/>
    <w:pPr>
      <w:widowControl/>
      <w:spacing w:before="100" w:beforeAutospacing="1" w:after="100" w:afterAutospacing="1"/>
      <w:jc w:val="left"/>
    </w:pPr>
    <w:rPr>
      <w:rFonts w:ascii="Courier New" w:hAnsi="Courier New" w:cs="Courier New"/>
      <w:color w:val="000000"/>
      <w:sz w:val="20"/>
      <w:szCs w:val="20"/>
    </w:rPr>
  </w:style>
  <w:style w:type="paragraph" w:customStyle="1" w:styleId="393">
    <w:name w:val="xl1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94">
    <w:name w:val="xl13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5">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6">
    <w:name w:val="xl15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7">
    <w:name w:val="font19"/>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8">
    <w:name w:val="xl16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b/>
      <w:bCs/>
      <w:sz w:val="20"/>
      <w:szCs w:val="20"/>
    </w:rPr>
  </w:style>
  <w:style w:type="paragraph" w:customStyle="1" w:styleId="399">
    <w:name w:val="xl11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0">
    <w:name w:val="xl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1">
    <w:name w:val="xl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sz w:val="20"/>
      <w:szCs w:val="20"/>
    </w:rPr>
  </w:style>
  <w:style w:type="paragraph" w:customStyle="1" w:styleId="402">
    <w:name w:val="xl1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403">
    <w:name w:val="xl12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404">
    <w:name w:val="xl11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5">
    <w:name w:val="xl1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406">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table" w:customStyle="1" w:styleId="407">
    <w:name w:val="网格型11"/>
    <w:basedOn w:val="56"/>
    <w:qFormat/>
    <w:uiPriority w:val="0"/>
    <w:pPr>
      <w:widowControl w:val="0"/>
      <w:jc w:val="both"/>
    </w:pPr>
    <w:rPr>
      <w:rFonts w:ascii="Calibri" w:hAnsi="Calibri"/>
      <w:sz w:val="21"/>
      <w:szCs w:val="22"/>
    </w:rPr>
    <w:tblPr>
      <w:tblCellMar>
        <w:top w:w="0" w:type="dxa"/>
        <w:left w:w="108" w:type="dxa"/>
        <w:bottom w:w="0" w:type="dxa"/>
        <w:right w:w="108" w:type="dxa"/>
      </w:tblCellMar>
    </w:tblPr>
  </w:style>
  <w:style w:type="character" w:customStyle="1" w:styleId="408">
    <w:name w:val="纯文本 字符"/>
    <w:qFormat/>
    <w:uiPriority w:val="0"/>
    <w:rPr>
      <w:rFonts w:ascii="宋体" w:hAnsi="Courier New" w:eastAsia="楷体_GB2312"/>
      <w:sz w:val="26"/>
      <w:lang w:val="en-US" w:eastAsia="zh-CN" w:bidi="ar-SA"/>
    </w:rPr>
  </w:style>
  <w:style w:type="paragraph" w:customStyle="1" w:styleId="409">
    <w:name w:val="_Style 225"/>
    <w:qFormat/>
    <w:uiPriority w:val="0"/>
    <w:pPr>
      <w:widowControl w:val="0"/>
      <w:spacing w:after="120"/>
      <w:ind w:firstLine="420"/>
      <w:jc w:val="both"/>
    </w:pPr>
    <w:rPr>
      <w:rFonts w:ascii="Calibri" w:hAnsi="Calibri" w:eastAsia="楷体_GB2312" w:cs="Times New Roman"/>
      <w:sz w:val="26"/>
      <w:lang w:val="en-US" w:eastAsia="zh-CN" w:bidi="ar-SA"/>
    </w:rPr>
  </w:style>
  <w:style w:type="character" w:customStyle="1" w:styleId="410">
    <w:name w:val="正文文本 字符"/>
    <w:qFormat/>
    <w:uiPriority w:val="0"/>
    <w:rPr>
      <w:rFonts w:ascii="楷体_GB2312" w:eastAsia="楷体_GB2312"/>
      <w:sz w:val="28"/>
    </w:rPr>
  </w:style>
  <w:style w:type="character" w:customStyle="1" w:styleId="411">
    <w:name w:val="正文文本 字符1"/>
    <w:qFormat/>
    <w:uiPriority w:val="0"/>
    <w:rPr>
      <w:rFonts w:ascii="楷体_GB2312" w:eastAsia="楷体_GB2312"/>
      <w:sz w:val="28"/>
    </w:rPr>
  </w:style>
  <w:style w:type="table" w:customStyle="1" w:styleId="412">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3">
    <w:name w:val="Table Normal1"/>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4">
    <w:name w:val="Table Normal2"/>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5">
    <w:name w:val="Table Normal3"/>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416">
    <w:name w:val="正文首行缩进 2 Char1"/>
    <w:link w:val="2"/>
    <w:semiHidden/>
    <w:qFormat/>
    <w:uiPriority w:val="99"/>
    <w:rPr>
      <w:rFonts w:ascii="Calibri" w:hAnsi="Calibri"/>
      <w:sz w:val="21"/>
      <w:szCs w:val="22"/>
    </w:rPr>
  </w:style>
  <w:style w:type="table" w:customStyle="1" w:styleId="417">
    <w:name w:val="Table Normal4"/>
    <w:unhideWhenUsed/>
    <w:qFormat/>
    <w:uiPriority w:val="0"/>
    <w:rPr>
      <w:rFonts w:ascii="Arial" w:hAnsi="Arial" w:eastAsia="等线" w:cs="Arial"/>
      <w:snapToGrid w:val="0"/>
      <w:color w:val="000000"/>
      <w:sz w:val="21"/>
      <w:szCs w:val="21"/>
      <w:lang w:eastAsia="en-US"/>
    </w:rPr>
    <w:tblPr>
      <w:tblCellMar>
        <w:top w:w="0" w:type="dxa"/>
        <w:left w:w="0" w:type="dxa"/>
        <w:bottom w:w="0" w:type="dxa"/>
        <w:right w:w="0" w:type="dxa"/>
      </w:tblCellMar>
    </w:tblPr>
  </w:style>
  <w:style w:type="paragraph" w:customStyle="1" w:styleId="418">
    <w:name w:val="图例"/>
    <w:basedOn w:val="1"/>
    <w:qFormat/>
    <w:uiPriority w:val="0"/>
    <w:pPr>
      <w:spacing w:before="120" w:after="120" w:line="360" w:lineRule="auto"/>
      <w:jc w:val="center"/>
    </w:pPr>
    <w:rPr>
      <w:rFonts w:eastAsia="仿宋_GB2312"/>
      <w:b/>
      <w:sz w:val="24"/>
      <w:szCs w:val="20"/>
    </w:rPr>
  </w:style>
  <w:style w:type="paragraph" w:customStyle="1" w:styleId="419">
    <w:name w:val="Heading 4"/>
    <w:basedOn w:val="1"/>
    <w:next w:val="1"/>
    <w:qFormat/>
    <w:uiPriority w:val="0"/>
    <w:pPr>
      <w:keepNext/>
      <w:jc w:val="center"/>
      <w:outlineLvl w:val="3"/>
    </w:pPr>
    <w:rPr>
      <w:rFonts w:eastAsia="新宋体"/>
      <w:sz w:val="3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900D-2350-4AFA-8B09-8F5B551DB99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23921</Words>
  <Characters>24911</Characters>
  <Lines>239</Lines>
  <Paragraphs>67</Paragraphs>
  <TotalTime>86</TotalTime>
  <ScaleCrop>false</ScaleCrop>
  <LinksUpToDate>false</LinksUpToDate>
  <CharactersWithSpaces>25486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2024-08-02T18:32:00Z</dcterms:created>
  <dc:creator>佳得乐</dc:creator>
  <cp:lastModifiedBy>大吃一鲸</cp:lastModifiedBy>
  <dcterms:modified xsi:type="dcterms:W3CDTF">2025-07-18T09:13:13Z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44230D3DAF954B768D77453FC63B05FB_13</vt:lpwstr>
  </property>
  <property fmtid="{D5CDD505-2E9C-101B-9397-08002B2CF9AE}" pid="4" name="KSOTemplateDocerSaveRecord">
    <vt:lpwstr>eyJoZGlkIjoiYjc0OGVhMjFiNTJiMjFiZDViOGQxODQ2NGM1NTU4ZGIiLCJ1c2VySWQiOiI1MTE1OTYzNzUifQ==</vt:lpwstr>
  </property>
</Properties>
</file>