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FAF3B">
      <w:pPr>
        <w:spacing w:line="600" w:lineRule="exact"/>
        <w:jc w:val="center"/>
        <w:rPr>
          <w:rFonts w:ascii="宋体" w:hAnsi="宋体" w:cs="宋体"/>
          <w:b/>
          <w:bCs/>
          <w:color w:val="auto"/>
          <w:sz w:val="44"/>
          <w:szCs w:val="44"/>
        </w:rPr>
      </w:pPr>
      <w:r>
        <w:rPr>
          <w:rFonts w:hint="eastAsia" w:ascii="宋体" w:hAnsi="宋体" w:cs="宋体"/>
          <w:b/>
          <w:bCs/>
          <w:color w:val="auto"/>
          <w:sz w:val="44"/>
          <w:szCs w:val="44"/>
        </w:rPr>
        <w:t>南通新通安投资开发有限公司如东小洋口考训场食堂改造装修、供水管道维修更新、大型汽车科目三考场升级改造（基建部分）勘察设计服务项目</w:t>
      </w:r>
    </w:p>
    <w:p w14:paraId="01E39D07">
      <w:pPr>
        <w:spacing w:line="360" w:lineRule="auto"/>
        <w:jc w:val="center"/>
        <w:rPr>
          <w:rFonts w:ascii="仿宋" w:hAnsi="仿宋" w:eastAsia="仿宋" w:cs="仿宋"/>
          <w:b/>
          <w:color w:val="auto"/>
          <w:sz w:val="100"/>
          <w:szCs w:val="100"/>
        </w:rPr>
      </w:pPr>
    </w:p>
    <w:p w14:paraId="6196C06D">
      <w:pPr>
        <w:spacing w:line="360" w:lineRule="auto"/>
        <w:jc w:val="center"/>
        <w:rPr>
          <w:rFonts w:ascii="仿宋" w:hAnsi="仿宋" w:eastAsia="仿宋" w:cs="仿宋"/>
          <w:b/>
          <w:color w:val="auto"/>
          <w:sz w:val="100"/>
          <w:szCs w:val="100"/>
        </w:rPr>
      </w:pPr>
      <w:r>
        <w:rPr>
          <w:rFonts w:hint="eastAsia" w:ascii="仿宋" w:hAnsi="仿宋" w:eastAsia="仿宋" w:cs="仿宋"/>
          <w:b/>
          <w:color w:val="auto"/>
          <w:sz w:val="100"/>
          <w:szCs w:val="100"/>
        </w:rPr>
        <w:t>磋商采购文件</w:t>
      </w:r>
    </w:p>
    <w:p w14:paraId="23FF55A4">
      <w:pPr>
        <w:keepNext/>
        <w:spacing w:line="360" w:lineRule="auto"/>
        <w:jc w:val="center"/>
        <w:rPr>
          <w:rFonts w:ascii="仿宋" w:hAnsi="仿宋" w:eastAsia="仿宋" w:cs="仿宋"/>
          <w:b/>
          <w:color w:val="auto"/>
          <w:kern w:val="0"/>
          <w:sz w:val="36"/>
          <w:szCs w:val="36"/>
        </w:rPr>
      </w:pPr>
    </w:p>
    <w:p w14:paraId="52C9676D">
      <w:pPr>
        <w:keepNext/>
        <w:spacing w:line="600" w:lineRule="exact"/>
        <w:jc w:val="center"/>
        <w:rPr>
          <w:rFonts w:ascii="仿宋" w:hAnsi="仿宋" w:eastAsia="仿宋" w:cs="仿宋"/>
          <w:b/>
          <w:color w:val="auto"/>
          <w:kern w:val="0"/>
          <w:sz w:val="36"/>
          <w:szCs w:val="36"/>
        </w:rPr>
      </w:pPr>
      <w:r>
        <w:rPr>
          <w:rFonts w:hint="eastAsia" w:ascii="仿宋" w:hAnsi="仿宋" w:eastAsia="仿宋" w:cs="仿宋"/>
          <w:b/>
          <w:color w:val="auto"/>
          <w:kern w:val="0"/>
          <w:sz w:val="36"/>
          <w:szCs w:val="36"/>
        </w:rPr>
        <w:t>采购文件编号：ZRNT20250130</w:t>
      </w:r>
    </w:p>
    <w:p w14:paraId="481253C8">
      <w:pPr>
        <w:spacing w:line="360" w:lineRule="auto"/>
        <w:jc w:val="center"/>
        <w:rPr>
          <w:rFonts w:ascii="仿宋" w:hAnsi="仿宋" w:eastAsia="仿宋" w:cs="仿宋"/>
          <w:b/>
          <w:color w:val="auto"/>
          <w:sz w:val="36"/>
        </w:rPr>
      </w:pPr>
    </w:p>
    <w:p w14:paraId="7E0B68A0">
      <w:pPr>
        <w:spacing w:line="360" w:lineRule="auto"/>
        <w:jc w:val="center"/>
        <w:rPr>
          <w:rFonts w:ascii="仿宋" w:hAnsi="仿宋" w:eastAsia="仿宋" w:cs="仿宋"/>
          <w:b/>
          <w:color w:val="auto"/>
          <w:sz w:val="36"/>
        </w:rPr>
      </w:pPr>
    </w:p>
    <w:p w14:paraId="5B5F1A7B">
      <w:pPr>
        <w:spacing w:line="360" w:lineRule="auto"/>
        <w:jc w:val="center"/>
        <w:rPr>
          <w:rFonts w:ascii="仿宋" w:hAnsi="仿宋" w:eastAsia="仿宋" w:cs="仿宋"/>
          <w:b/>
          <w:color w:val="auto"/>
          <w:sz w:val="36"/>
        </w:rPr>
      </w:pPr>
    </w:p>
    <w:p w14:paraId="7078245A">
      <w:pPr>
        <w:spacing w:line="360" w:lineRule="auto"/>
        <w:jc w:val="center"/>
        <w:rPr>
          <w:rFonts w:ascii="仿宋" w:hAnsi="仿宋" w:eastAsia="仿宋" w:cs="仿宋"/>
          <w:b/>
          <w:color w:val="auto"/>
          <w:sz w:val="36"/>
        </w:rPr>
      </w:pPr>
    </w:p>
    <w:p w14:paraId="1D3940E0">
      <w:pPr>
        <w:spacing w:line="360" w:lineRule="auto"/>
        <w:jc w:val="center"/>
        <w:rPr>
          <w:rFonts w:ascii="仿宋" w:hAnsi="仿宋" w:eastAsia="仿宋" w:cs="仿宋"/>
          <w:b/>
          <w:color w:val="auto"/>
          <w:sz w:val="36"/>
        </w:rPr>
      </w:pPr>
    </w:p>
    <w:p w14:paraId="540CF107">
      <w:pPr>
        <w:adjustRightInd w:val="0"/>
        <w:spacing w:before="120" w:after="120" w:line="360" w:lineRule="auto"/>
        <w:ind w:right="120"/>
        <w:textAlignment w:val="baseline"/>
        <w:rPr>
          <w:rFonts w:ascii="仿宋" w:hAnsi="仿宋" w:eastAsia="仿宋" w:cs="仿宋"/>
          <w:b/>
          <w:color w:val="auto"/>
          <w:spacing w:val="20"/>
          <w:sz w:val="32"/>
          <w:szCs w:val="32"/>
        </w:rPr>
      </w:pPr>
    </w:p>
    <w:p w14:paraId="35165F41">
      <w:pPr>
        <w:adjustRightInd w:val="0"/>
        <w:spacing w:before="120" w:after="120" w:line="360" w:lineRule="auto"/>
        <w:ind w:left="-2" w:right="120"/>
        <w:jc w:val="center"/>
        <w:textAlignment w:val="baseline"/>
        <w:rPr>
          <w:rFonts w:ascii="仿宋" w:hAnsi="仿宋" w:eastAsia="仿宋" w:cs="仿宋"/>
          <w:b/>
          <w:color w:val="auto"/>
          <w:spacing w:val="20"/>
          <w:sz w:val="32"/>
          <w:szCs w:val="32"/>
        </w:rPr>
      </w:pPr>
    </w:p>
    <w:p w14:paraId="14B03A1F">
      <w:pPr>
        <w:adjustRightInd w:val="0"/>
        <w:spacing w:before="120" w:after="120" w:line="360" w:lineRule="auto"/>
        <w:ind w:left="-2" w:right="120"/>
        <w:jc w:val="center"/>
        <w:textAlignment w:val="baseline"/>
        <w:rPr>
          <w:rFonts w:ascii="仿宋" w:hAnsi="仿宋" w:eastAsia="仿宋" w:cs="仿宋"/>
          <w:b/>
          <w:color w:val="auto"/>
          <w:spacing w:val="20"/>
          <w:sz w:val="32"/>
          <w:szCs w:val="32"/>
        </w:rPr>
      </w:pPr>
    </w:p>
    <w:p w14:paraId="3A6EF51A">
      <w:pPr>
        <w:adjustRightInd w:val="0"/>
        <w:spacing w:before="120" w:after="120" w:line="360" w:lineRule="auto"/>
        <w:ind w:left="-2" w:right="120"/>
        <w:jc w:val="center"/>
        <w:textAlignment w:val="baseline"/>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南通新通安投资开发有限公司</w:t>
      </w:r>
    </w:p>
    <w:p w14:paraId="0F147AEF">
      <w:pPr>
        <w:adjustRightInd w:val="0"/>
        <w:spacing w:before="120" w:after="120" w:line="360" w:lineRule="auto"/>
        <w:ind w:left="-2" w:right="120"/>
        <w:jc w:val="center"/>
        <w:textAlignment w:val="baseline"/>
        <w:rPr>
          <w:rFonts w:ascii="仿宋" w:hAnsi="仿宋" w:eastAsia="仿宋" w:cs="仿宋"/>
          <w:b/>
          <w:bCs/>
          <w:color w:val="auto"/>
          <w:kern w:val="0"/>
          <w:sz w:val="32"/>
          <w:szCs w:val="32"/>
        </w:rPr>
      </w:pPr>
      <w:r>
        <w:rPr>
          <w:rFonts w:hint="eastAsia" w:ascii="仿宋" w:hAnsi="仿宋" w:eastAsia="仿宋" w:cs="仿宋"/>
          <w:b/>
          <w:bCs/>
          <w:color w:val="auto"/>
          <w:kern w:val="0"/>
          <w:sz w:val="32"/>
          <w:szCs w:val="32"/>
        </w:rPr>
        <w:t>2025年8月</w:t>
      </w:r>
    </w:p>
    <w:p w14:paraId="1DD41713">
      <w:pPr>
        <w:adjustRightInd w:val="0"/>
        <w:snapToGrid w:val="0"/>
        <w:spacing w:line="360" w:lineRule="auto"/>
        <w:ind w:left="-158" w:leftChars="-75"/>
        <w:jc w:val="center"/>
        <w:rPr>
          <w:rFonts w:ascii="仿宋" w:hAnsi="仿宋" w:eastAsia="仿宋" w:cs="仿宋"/>
          <w:color w:val="auto"/>
          <w:sz w:val="44"/>
          <w:szCs w:val="44"/>
          <w:lang w:val="zh-CN"/>
        </w:rPr>
      </w:pPr>
      <w:r>
        <w:rPr>
          <w:rFonts w:hint="eastAsia" w:ascii="仿宋" w:hAnsi="仿宋" w:eastAsia="仿宋" w:cs="仿宋"/>
          <w:color w:val="auto"/>
          <w:sz w:val="44"/>
          <w:szCs w:val="44"/>
          <w:lang w:val="zh-CN"/>
        </w:rPr>
        <w:br w:type="page"/>
      </w:r>
      <w:r>
        <w:rPr>
          <w:rFonts w:hint="eastAsia" w:ascii="仿宋" w:hAnsi="仿宋" w:eastAsia="仿宋" w:cs="仿宋"/>
          <w:color w:val="auto"/>
          <w:sz w:val="44"/>
          <w:szCs w:val="44"/>
          <w:lang w:val="zh-CN"/>
        </w:rPr>
        <w:t>目 录</w:t>
      </w:r>
    </w:p>
    <w:p w14:paraId="7CF975F5">
      <w:pPr>
        <w:autoSpaceDE w:val="0"/>
        <w:autoSpaceDN w:val="0"/>
        <w:adjustRightInd w:val="0"/>
        <w:snapToGrid w:val="0"/>
        <w:spacing w:line="1000" w:lineRule="exact"/>
        <w:ind w:firstLine="556"/>
        <w:rPr>
          <w:rFonts w:ascii="仿宋" w:hAnsi="仿宋" w:eastAsia="仿宋" w:cs="仿宋"/>
          <w:color w:val="auto"/>
          <w:sz w:val="32"/>
          <w:szCs w:val="32"/>
        </w:rPr>
      </w:pPr>
      <w:r>
        <w:rPr>
          <w:rFonts w:hint="eastAsia" w:ascii="仿宋" w:hAnsi="仿宋" w:eastAsia="仿宋" w:cs="仿宋"/>
          <w:color w:val="auto"/>
          <w:sz w:val="32"/>
          <w:szCs w:val="32"/>
        </w:rPr>
        <w:t>第一部分  磋商公告</w:t>
      </w:r>
    </w:p>
    <w:p w14:paraId="4529CBAB">
      <w:pPr>
        <w:autoSpaceDE w:val="0"/>
        <w:autoSpaceDN w:val="0"/>
        <w:adjustRightInd w:val="0"/>
        <w:snapToGrid w:val="0"/>
        <w:spacing w:line="1000" w:lineRule="exact"/>
        <w:ind w:firstLine="556"/>
        <w:rPr>
          <w:rFonts w:ascii="仿宋" w:hAnsi="仿宋" w:eastAsia="仿宋" w:cs="仿宋"/>
          <w:color w:val="auto"/>
          <w:sz w:val="32"/>
          <w:szCs w:val="32"/>
        </w:rPr>
      </w:pPr>
      <w:r>
        <w:rPr>
          <w:rFonts w:hint="eastAsia" w:ascii="仿宋" w:hAnsi="仿宋" w:eastAsia="仿宋" w:cs="仿宋"/>
          <w:color w:val="auto"/>
          <w:sz w:val="32"/>
          <w:szCs w:val="32"/>
        </w:rPr>
        <w:t>第二部分  磋商须知</w:t>
      </w:r>
    </w:p>
    <w:p w14:paraId="7CAA7E8A">
      <w:pPr>
        <w:autoSpaceDE w:val="0"/>
        <w:autoSpaceDN w:val="0"/>
        <w:adjustRightInd w:val="0"/>
        <w:snapToGrid w:val="0"/>
        <w:spacing w:line="1000" w:lineRule="exact"/>
        <w:ind w:firstLine="537"/>
        <w:rPr>
          <w:rFonts w:ascii="仿宋" w:hAnsi="仿宋" w:eastAsia="仿宋" w:cs="仿宋"/>
          <w:color w:val="auto"/>
          <w:sz w:val="32"/>
          <w:szCs w:val="32"/>
        </w:rPr>
      </w:pPr>
      <w:r>
        <w:rPr>
          <w:rFonts w:hint="eastAsia" w:ascii="仿宋" w:hAnsi="仿宋" w:eastAsia="仿宋" w:cs="仿宋"/>
          <w:color w:val="auto"/>
          <w:sz w:val="32"/>
          <w:szCs w:val="32"/>
        </w:rPr>
        <w:t>第三部分  项目需求</w:t>
      </w:r>
    </w:p>
    <w:p w14:paraId="4141A487">
      <w:pPr>
        <w:autoSpaceDE w:val="0"/>
        <w:autoSpaceDN w:val="0"/>
        <w:adjustRightInd w:val="0"/>
        <w:snapToGrid w:val="0"/>
        <w:spacing w:line="1000" w:lineRule="exact"/>
        <w:ind w:firstLine="537"/>
        <w:rPr>
          <w:rFonts w:ascii="仿宋" w:hAnsi="仿宋" w:eastAsia="仿宋" w:cs="仿宋"/>
          <w:color w:val="auto"/>
          <w:sz w:val="32"/>
          <w:szCs w:val="32"/>
        </w:rPr>
      </w:pPr>
      <w:r>
        <w:rPr>
          <w:rFonts w:hint="eastAsia" w:ascii="仿宋" w:hAnsi="仿宋" w:eastAsia="仿宋" w:cs="仿宋"/>
          <w:color w:val="auto"/>
          <w:sz w:val="32"/>
          <w:szCs w:val="32"/>
        </w:rPr>
        <w:t>第四部分  评审方法和评审标准</w:t>
      </w:r>
    </w:p>
    <w:p w14:paraId="08B5D6CF">
      <w:pPr>
        <w:autoSpaceDE w:val="0"/>
        <w:autoSpaceDN w:val="0"/>
        <w:adjustRightInd w:val="0"/>
        <w:snapToGrid w:val="0"/>
        <w:spacing w:line="1000" w:lineRule="exact"/>
        <w:ind w:firstLine="556"/>
        <w:rPr>
          <w:rFonts w:ascii="仿宋" w:hAnsi="仿宋" w:eastAsia="仿宋" w:cs="仿宋"/>
          <w:color w:val="auto"/>
          <w:sz w:val="32"/>
          <w:szCs w:val="32"/>
        </w:rPr>
      </w:pPr>
      <w:r>
        <w:rPr>
          <w:rFonts w:hint="eastAsia" w:ascii="仿宋" w:hAnsi="仿宋" w:eastAsia="仿宋" w:cs="仿宋"/>
          <w:color w:val="auto"/>
          <w:sz w:val="32"/>
          <w:szCs w:val="32"/>
        </w:rPr>
        <w:t>第五部分  响应文件组成</w:t>
      </w:r>
    </w:p>
    <w:p w14:paraId="2C96A673">
      <w:pPr>
        <w:tabs>
          <w:tab w:val="left" w:pos="7740"/>
        </w:tabs>
        <w:spacing w:line="360" w:lineRule="auto"/>
        <w:rPr>
          <w:rFonts w:ascii="仿宋" w:hAnsi="仿宋" w:eastAsia="仿宋" w:cs="仿宋"/>
          <w:bCs/>
          <w:color w:val="auto"/>
          <w:sz w:val="32"/>
          <w:szCs w:val="32"/>
        </w:rPr>
      </w:pPr>
    </w:p>
    <w:p w14:paraId="3DC3C2E8">
      <w:pPr>
        <w:tabs>
          <w:tab w:val="left" w:pos="7740"/>
        </w:tabs>
        <w:spacing w:line="360" w:lineRule="auto"/>
        <w:rPr>
          <w:rFonts w:ascii="仿宋" w:hAnsi="仿宋" w:eastAsia="仿宋" w:cs="仿宋"/>
          <w:bCs/>
          <w:color w:val="auto"/>
          <w:sz w:val="32"/>
          <w:szCs w:val="32"/>
        </w:rPr>
      </w:pPr>
    </w:p>
    <w:p w14:paraId="71D38901">
      <w:pPr>
        <w:autoSpaceDE w:val="0"/>
        <w:autoSpaceDN w:val="0"/>
        <w:adjustRightInd w:val="0"/>
        <w:spacing w:line="360" w:lineRule="auto"/>
        <w:jc w:val="center"/>
        <w:rPr>
          <w:rFonts w:ascii="仿宋" w:hAnsi="仿宋" w:eastAsia="仿宋" w:cs="仿宋"/>
          <w:b/>
          <w:bCs/>
          <w:color w:val="auto"/>
          <w:sz w:val="36"/>
          <w:szCs w:val="36"/>
          <w:lang w:val="zh-CN"/>
        </w:rPr>
      </w:pPr>
    </w:p>
    <w:p w14:paraId="1216C402">
      <w:pPr>
        <w:autoSpaceDE w:val="0"/>
        <w:autoSpaceDN w:val="0"/>
        <w:adjustRightInd w:val="0"/>
        <w:spacing w:line="360" w:lineRule="auto"/>
        <w:rPr>
          <w:rFonts w:ascii="仿宋" w:hAnsi="仿宋" w:eastAsia="仿宋" w:cs="仿宋"/>
          <w:b/>
          <w:bCs/>
          <w:color w:val="auto"/>
          <w:sz w:val="36"/>
          <w:szCs w:val="36"/>
          <w:lang w:val="zh-CN"/>
        </w:rPr>
      </w:pPr>
    </w:p>
    <w:p w14:paraId="36D779CD">
      <w:pPr>
        <w:autoSpaceDE w:val="0"/>
        <w:autoSpaceDN w:val="0"/>
        <w:adjustRightInd w:val="0"/>
        <w:spacing w:line="360" w:lineRule="auto"/>
        <w:jc w:val="center"/>
        <w:rPr>
          <w:rFonts w:ascii="仿宋" w:hAnsi="仿宋" w:eastAsia="仿宋" w:cs="仿宋"/>
          <w:b/>
          <w:bCs/>
          <w:color w:val="auto"/>
          <w:sz w:val="36"/>
          <w:szCs w:val="36"/>
          <w:lang w:val="zh-CN"/>
        </w:rPr>
      </w:pPr>
    </w:p>
    <w:p w14:paraId="4B68E03F">
      <w:pPr>
        <w:autoSpaceDE w:val="0"/>
        <w:autoSpaceDN w:val="0"/>
        <w:adjustRightInd w:val="0"/>
        <w:spacing w:line="360" w:lineRule="auto"/>
        <w:jc w:val="center"/>
        <w:rPr>
          <w:rFonts w:ascii="仿宋" w:hAnsi="仿宋" w:eastAsia="仿宋" w:cs="仿宋"/>
          <w:b/>
          <w:bCs/>
          <w:color w:val="auto"/>
          <w:sz w:val="36"/>
          <w:szCs w:val="36"/>
          <w:lang w:val="zh-CN"/>
        </w:rPr>
      </w:pPr>
    </w:p>
    <w:p w14:paraId="3C09370C">
      <w:pPr>
        <w:autoSpaceDE w:val="0"/>
        <w:autoSpaceDN w:val="0"/>
        <w:adjustRightInd w:val="0"/>
        <w:spacing w:line="360" w:lineRule="auto"/>
        <w:jc w:val="center"/>
        <w:rPr>
          <w:rFonts w:ascii="仿宋" w:hAnsi="仿宋" w:eastAsia="仿宋" w:cs="仿宋"/>
          <w:b/>
          <w:bCs/>
          <w:color w:val="auto"/>
          <w:sz w:val="36"/>
          <w:szCs w:val="36"/>
          <w:lang w:val="zh-CN"/>
        </w:rPr>
      </w:pPr>
    </w:p>
    <w:p w14:paraId="1779F4A9">
      <w:pPr>
        <w:autoSpaceDE w:val="0"/>
        <w:autoSpaceDN w:val="0"/>
        <w:adjustRightInd w:val="0"/>
        <w:spacing w:line="360" w:lineRule="auto"/>
        <w:jc w:val="center"/>
        <w:rPr>
          <w:rFonts w:ascii="仿宋" w:hAnsi="仿宋" w:eastAsia="仿宋" w:cs="仿宋"/>
          <w:b/>
          <w:bCs/>
          <w:color w:val="auto"/>
          <w:sz w:val="36"/>
          <w:szCs w:val="36"/>
          <w:lang w:val="zh-CN"/>
        </w:rPr>
      </w:pPr>
    </w:p>
    <w:p w14:paraId="311F9373">
      <w:pPr>
        <w:autoSpaceDE w:val="0"/>
        <w:autoSpaceDN w:val="0"/>
        <w:adjustRightInd w:val="0"/>
        <w:spacing w:line="360" w:lineRule="auto"/>
        <w:jc w:val="center"/>
        <w:rPr>
          <w:rFonts w:ascii="仿宋" w:hAnsi="仿宋" w:eastAsia="仿宋" w:cs="仿宋"/>
          <w:b/>
          <w:bCs/>
          <w:color w:val="auto"/>
          <w:sz w:val="36"/>
          <w:szCs w:val="36"/>
          <w:lang w:val="zh-CN"/>
        </w:rPr>
      </w:pPr>
    </w:p>
    <w:p w14:paraId="0F89537E">
      <w:pPr>
        <w:autoSpaceDE w:val="0"/>
        <w:autoSpaceDN w:val="0"/>
        <w:adjustRightInd w:val="0"/>
        <w:spacing w:line="360" w:lineRule="auto"/>
        <w:jc w:val="center"/>
        <w:rPr>
          <w:rFonts w:ascii="仿宋" w:hAnsi="仿宋" w:eastAsia="仿宋" w:cs="仿宋"/>
          <w:b/>
          <w:bCs/>
          <w:color w:val="auto"/>
          <w:sz w:val="36"/>
          <w:szCs w:val="36"/>
          <w:lang w:val="zh-CN"/>
        </w:rPr>
      </w:pPr>
    </w:p>
    <w:p w14:paraId="2312DD1C">
      <w:pPr>
        <w:autoSpaceDE w:val="0"/>
        <w:autoSpaceDN w:val="0"/>
        <w:adjustRightInd w:val="0"/>
        <w:spacing w:line="360" w:lineRule="auto"/>
        <w:jc w:val="center"/>
        <w:rPr>
          <w:rFonts w:ascii="仿宋" w:hAnsi="仿宋" w:eastAsia="仿宋" w:cs="仿宋"/>
          <w:b/>
          <w:bCs/>
          <w:color w:val="auto"/>
          <w:sz w:val="36"/>
          <w:szCs w:val="36"/>
          <w:lang w:val="zh-CN"/>
        </w:rPr>
      </w:pPr>
    </w:p>
    <w:p w14:paraId="33797CD0">
      <w:pPr>
        <w:autoSpaceDE w:val="0"/>
        <w:autoSpaceDN w:val="0"/>
        <w:adjustRightInd w:val="0"/>
        <w:snapToGrid w:val="0"/>
        <w:spacing w:line="360" w:lineRule="auto"/>
        <w:jc w:val="center"/>
        <w:rPr>
          <w:rFonts w:ascii="仿宋" w:hAnsi="仿宋" w:eastAsia="仿宋" w:cs="仿宋"/>
          <w:color w:val="auto"/>
          <w:sz w:val="36"/>
          <w:szCs w:val="36"/>
          <w:lang w:val="zh-CN"/>
        </w:rPr>
      </w:pPr>
    </w:p>
    <w:p w14:paraId="1B0F03C7">
      <w:pPr>
        <w:autoSpaceDE w:val="0"/>
        <w:autoSpaceDN w:val="0"/>
        <w:adjustRightInd w:val="0"/>
        <w:snapToGrid w:val="0"/>
        <w:spacing w:line="360" w:lineRule="auto"/>
        <w:jc w:val="center"/>
        <w:rPr>
          <w:rFonts w:ascii="仿宋" w:hAnsi="仿宋" w:eastAsia="仿宋" w:cs="仿宋"/>
          <w:color w:val="auto"/>
          <w:sz w:val="36"/>
          <w:szCs w:val="36"/>
          <w:lang w:val="zh-CN"/>
        </w:rPr>
      </w:pPr>
    </w:p>
    <w:p w14:paraId="1FD88A48">
      <w:pPr>
        <w:autoSpaceDE w:val="0"/>
        <w:autoSpaceDN w:val="0"/>
        <w:adjustRightInd w:val="0"/>
        <w:snapToGrid w:val="0"/>
        <w:spacing w:line="360" w:lineRule="auto"/>
        <w:jc w:val="center"/>
        <w:rPr>
          <w:rFonts w:ascii="仿宋" w:hAnsi="仿宋" w:eastAsia="仿宋" w:cs="仿宋"/>
          <w:color w:val="auto"/>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2E25410F">
      <w:pPr>
        <w:autoSpaceDE w:val="0"/>
        <w:autoSpaceDN w:val="0"/>
        <w:adjustRightInd w:val="0"/>
        <w:snapToGrid w:val="0"/>
        <w:spacing w:line="600" w:lineRule="exact"/>
        <w:jc w:val="center"/>
        <w:outlineLvl w:val="0"/>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t>第一部分 磋商公告</w:t>
      </w:r>
    </w:p>
    <w:p w14:paraId="047C8413">
      <w:pPr>
        <w:wordWrap w:val="0"/>
        <w:adjustRightInd w:val="0"/>
        <w:snapToGrid w:val="0"/>
        <w:spacing w:line="460" w:lineRule="exact"/>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受[南通新通安投资开发有限公司]的委托，江苏中润工程建设咨询有限公司就[新通安公司食堂改造装修、管道维修更新、大型汽车科目三考场升级改造（基础建设部分）设计服务项目](项目编号:ZRNT20250130)进行磋商采购，欢迎符合条件的供应商参加磋商。</w:t>
      </w:r>
    </w:p>
    <w:p w14:paraId="679B7B59">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14:paraId="68D0E883">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(南通新通安投资开发有限公司）的（南通新通安投资开发有限公司如东小洋口考训场食堂改造装修、供水管道维修更新、大型汽车科目三考场升级改造（基建部分）勘察设计服务项目)的潜在供应商应在</w:t>
      </w:r>
      <w:r>
        <w:rPr>
          <w:rFonts w:hint="eastAsia" w:ascii="仿宋" w:hAnsi="仿宋" w:eastAsia="仿宋" w:cs="仿宋"/>
          <w:b/>
          <w:bCs/>
          <w:color w:val="auto"/>
          <w:sz w:val="28"/>
          <w:szCs w:val="28"/>
          <w:u w:val="single"/>
        </w:rPr>
        <w:t>南通市公安局网站</w:t>
      </w:r>
      <w:r>
        <w:rPr>
          <w:rFonts w:hint="eastAsia" w:ascii="仿宋" w:hAnsi="仿宋" w:eastAsia="仿宋" w:cs="仿宋"/>
          <w:color w:val="auto"/>
          <w:sz w:val="28"/>
          <w:szCs w:val="28"/>
        </w:rPr>
        <w:t>获取采购文件，并于2025年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日14点00分（北京时间）前提交响应文件。</w:t>
      </w:r>
    </w:p>
    <w:p w14:paraId="52CBAED8">
      <w:pPr>
        <w:widowControl/>
        <w:shd w:val="clear" w:color="auto" w:fill="FFFFFF"/>
        <w:adjustRightInd w:val="0"/>
        <w:snapToGrid w:val="0"/>
        <w:spacing w:line="460" w:lineRule="exact"/>
        <w:ind w:firstLine="590" w:firstLineChars="200"/>
        <w:outlineLvl w:val="1"/>
        <w:rPr>
          <w:rFonts w:ascii="仿宋" w:hAnsi="仿宋" w:eastAsia="仿宋" w:cs="仿宋"/>
          <w:b/>
          <w:color w:val="auto"/>
          <w:spacing w:val="7"/>
          <w:kern w:val="0"/>
          <w:sz w:val="28"/>
          <w:szCs w:val="28"/>
        </w:rPr>
      </w:pPr>
      <w:r>
        <w:rPr>
          <w:rFonts w:hint="eastAsia" w:ascii="仿宋" w:hAnsi="仿宋" w:eastAsia="仿宋" w:cs="仿宋"/>
          <w:b/>
          <w:color w:val="auto"/>
          <w:spacing w:val="7"/>
          <w:kern w:val="0"/>
          <w:sz w:val="28"/>
          <w:szCs w:val="28"/>
        </w:rPr>
        <w:t>一、项目基本情况</w:t>
      </w:r>
    </w:p>
    <w:p w14:paraId="7B88DE1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项目编号：ZRNT20250130</w:t>
      </w:r>
    </w:p>
    <w:p w14:paraId="76AEBFA8">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项目名称：南通新通安投资开发有限公司如东小洋口考训场食堂改造装修、管道维修更新、大型汽车科目三考场升级改造（基建部分）勘察设计服务项目</w:t>
      </w:r>
    </w:p>
    <w:p w14:paraId="5211863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项目类型：服务</w:t>
      </w:r>
    </w:p>
    <w:p w14:paraId="530AA0DD">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所属行业：其他未列明行业 </w:t>
      </w:r>
    </w:p>
    <w:p w14:paraId="3722416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预算金额：22.1万元</w:t>
      </w:r>
    </w:p>
    <w:p w14:paraId="685FD0B9">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最高限价：22.1万元，投标报价超过最高限价按无效标处理。</w:t>
      </w:r>
    </w:p>
    <w:p w14:paraId="701015A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采购需求：具体需求详见本项目磋商文件第三部分。</w:t>
      </w:r>
    </w:p>
    <w:p w14:paraId="7465500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合同履行期限：详见采购文件。</w:t>
      </w:r>
    </w:p>
    <w:p w14:paraId="714E9F52">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本项目是否接受联合体投标：否。</w:t>
      </w:r>
    </w:p>
    <w:p w14:paraId="338996E7">
      <w:pPr>
        <w:adjustRightInd w:val="0"/>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二、供应商的资格要求：</w:t>
      </w:r>
    </w:p>
    <w:p w14:paraId="6A482F15">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1.具有独立承担民事责任的能力；具有良好的商业信誉和健全的财务会计制度；具有履行合同所必需的设备和专业</w:t>
      </w:r>
      <w:r>
        <w:rPr>
          <w:rFonts w:hint="eastAsia" w:ascii="仿宋" w:hAnsi="仿宋" w:eastAsia="仿宋" w:cs="仿宋"/>
          <w:color w:val="auto"/>
          <w:sz w:val="28"/>
          <w:szCs w:val="28"/>
          <w:lang w:val="zh-CN"/>
        </w:rPr>
        <w:t>技术能力；</w:t>
      </w:r>
      <w:r>
        <w:rPr>
          <w:rFonts w:hint="eastAsia" w:ascii="仿宋" w:hAnsi="仿宋" w:eastAsia="仿宋" w:cs="仿宋"/>
          <w:color w:val="auto"/>
          <w:sz w:val="28"/>
          <w:szCs w:val="28"/>
        </w:rPr>
        <w:t>具</w:t>
      </w:r>
      <w:r>
        <w:rPr>
          <w:rFonts w:hint="eastAsia" w:ascii="仿宋" w:hAnsi="仿宋" w:eastAsia="仿宋" w:cs="仿宋"/>
          <w:color w:val="auto"/>
          <w:sz w:val="28"/>
          <w:szCs w:val="28"/>
          <w:lang w:val="zh-CN"/>
        </w:rPr>
        <w:t>有依法缴纳税收和社会保障资金的良好记录；参加本次采购活动前三年内，在经营活动中没有重大违法记录；</w:t>
      </w:r>
    </w:p>
    <w:p w14:paraId="5C7F08F1">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2.未被“信用中国”网站列入失信被执行人、重大税收违法案件当事人名单、严重违法失信行为记录名单；</w:t>
      </w:r>
    </w:p>
    <w:p w14:paraId="7CA7B282">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3.提供有效的营业执照复印件加盖公章；</w:t>
      </w:r>
    </w:p>
    <w:p w14:paraId="7FC11CD4">
      <w:pPr>
        <w:adjustRightInd w:val="0"/>
        <w:snapToGrid w:val="0"/>
        <w:spacing w:line="460" w:lineRule="exact"/>
        <w:ind w:firstLine="560" w:firstLineChars="200"/>
        <w:outlineLvl w:val="1"/>
        <w:rPr>
          <w:rFonts w:ascii="仿宋" w:hAnsi="仿宋" w:eastAsia="仿宋" w:cs="仿宋"/>
          <w:color w:val="auto"/>
          <w:sz w:val="28"/>
          <w:szCs w:val="28"/>
          <w:u w:val="single"/>
        </w:rPr>
      </w:pPr>
      <w:r>
        <w:rPr>
          <w:rFonts w:hint="eastAsia" w:ascii="仿宋" w:hAnsi="仿宋" w:eastAsia="仿宋" w:cs="仿宋"/>
          <w:color w:val="auto"/>
          <w:sz w:val="28"/>
          <w:szCs w:val="28"/>
        </w:rPr>
        <w:t>4.落实政府采购政策需满足的资格要求：</w:t>
      </w:r>
      <w:r>
        <w:rPr>
          <w:rFonts w:hint="eastAsia" w:ascii="仿宋" w:hAnsi="仿宋" w:eastAsia="仿宋" w:cs="仿宋"/>
          <w:color w:val="auto"/>
          <w:sz w:val="28"/>
          <w:szCs w:val="28"/>
          <w:u w:val="single"/>
        </w:rPr>
        <w:t>本项目为专门面向中小企业（含残疾人福利性单位、监狱企业）采购的项目。供应商应为中小微企业或残疾人福利性单位或监狱企业，并按照采购文件要求提供《中小企业声明函》或《残疾人福利性单位声明函》或监狱和戒毒企业证明材料。</w:t>
      </w:r>
    </w:p>
    <w:p w14:paraId="002DA7D2">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5.本项目的特定资格要求：</w:t>
      </w:r>
    </w:p>
    <w:p w14:paraId="46CD1889">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（1）磋商供应商须具备工程设计市政行业（道路工程、给水工程）专业乙级及建筑行业（建筑工程）乙级及以上资质。（提供相应证书）</w:t>
      </w:r>
    </w:p>
    <w:p w14:paraId="475AB824">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拟派项目负责人须具备给排水相关专业中级工程师及以上职称（提供职称证书及2025年任意月份单位为其缴纳的基本养老保险证明材料。若职称证书中未体现专业的，须另行提供毕业证书或职称评审表，提供的前述资料中仍不能体现专业或体现的专业不符合资格要求的，不予认可。）</w:t>
      </w:r>
    </w:p>
    <w:p w14:paraId="6698AAA0">
      <w:pPr>
        <w:adjustRightInd w:val="0"/>
        <w:snapToGrid w:val="0"/>
        <w:spacing w:line="46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6.已列入公安局（含各分局）自行采购项目失信人名单的，在不良记录有效期内，禁止参与公安局（含各分局）自行组织的采购活动。</w:t>
      </w:r>
    </w:p>
    <w:p w14:paraId="62C9E0E9">
      <w:pPr>
        <w:adjustRightInd w:val="0"/>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三、获取采购文件</w:t>
      </w:r>
    </w:p>
    <w:p w14:paraId="263B3E49">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1.获取采购文件：</w:t>
      </w:r>
    </w:p>
    <w:p w14:paraId="044ED141">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时间：2025年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日至2025年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日</w:t>
      </w:r>
    </w:p>
    <w:p w14:paraId="157B9DD4">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地点：南通市公安局网站。</w:t>
      </w:r>
      <w:bookmarkStart w:id="86" w:name="_GoBack"/>
      <w:bookmarkEnd w:id="86"/>
    </w:p>
    <w:p w14:paraId="737ADF6D">
      <w:pPr>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方式：自行下载。</w:t>
      </w:r>
    </w:p>
    <w:p w14:paraId="2BE23682">
      <w:pPr>
        <w:adjustRightInd w:val="0"/>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四、提交响应文件截止时间、磋商时间和地点</w:t>
      </w:r>
    </w:p>
    <w:p w14:paraId="5A9822C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2025年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日14点00分（北京时间），逾时，采购人将拒绝接受磋商响应文件。</w:t>
      </w:r>
    </w:p>
    <w:p w14:paraId="4E427F44">
      <w:pPr>
        <w:adjustRightInd w:val="0"/>
        <w:snapToGrid w:val="0"/>
        <w:spacing w:line="460" w:lineRule="exact"/>
        <w:ind w:firstLine="560" w:firstLineChars="200"/>
        <w:rPr>
          <w:rFonts w:ascii="仿宋" w:hAnsi="仿宋" w:eastAsia="仿宋" w:cs="仿宋"/>
          <w:i/>
          <w:color w:val="auto"/>
          <w:sz w:val="28"/>
          <w:szCs w:val="28"/>
          <w:u w:val="single"/>
        </w:rPr>
      </w:pPr>
      <w:r>
        <w:rPr>
          <w:rFonts w:hint="eastAsia" w:ascii="仿宋" w:hAnsi="仿宋" w:eastAsia="仿宋" w:cs="仿宋"/>
          <w:color w:val="auto"/>
          <w:sz w:val="28"/>
          <w:szCs w:val="28"/>
        </w:rPr>
        <w:t>地点：南通市公安局南门开标室（青年东路99号），如有变动另行通知。</w:t>
      </w:r>
    </w:p>
    <w:p w14:paraId="7116DD26">
      <w:pPr>
        <w:adjustRightInd w:val="0"/>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五、公告期限</w:t>
      </w:r>
    </w:p>
    <w:p w14:paraId="177EAEC9">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自本公告发布之日起3个工作日。</w:t>
      </w:r>
    </w:p>
    <w:p w14:paraId="06A4F473">
      <w:pPr>
        <w:adjustRightInd w:val="0"/>
        <w:snapToGrid w:val="0"/>
        <w:spacing w:line="46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六、其他补充事宜</w:t>
      </w:r>
    </w:p>
    <w:p w14:paraId="7B30B61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1.投标保证金：免收</w:t>
      </w:r>
    </w:p>
    <w:p w14:paraId="6F482AA9">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2.项目磋商活动模式：见面磋商模式，供应商在南通市公安局南门开标室（青年东路99号）参加磋商活动。</w:t>
      </w:r>
    </w:p>
    <w:p w14:paraId="5CD490CB">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3.项目演示、样品：详见采购文件。</w:t>
      </w:r>
    </w:p>
    <w:p w14:paraId="6F58A80E">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285530C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532442EA">
      <w:pPr>
        <w:widowControl/>
        <w:shd w:val="clear" w:color="auto" w:fill="FFFFFF"/>
        <w:adjustRightInd w:val="0"/>
        <w:snapToGrid w:val="0"/>
        <w:spacing w:line="460" w:lineRule="exact"/>
        <w:ind w:firstLine="590" w:firstLineChars="200"/>
        <w:outlineLvl w:val="1"/>
        <w:rPr>
          <w:rFonts w:ascii="仿宋" w:hAnsi="仿宋" w:eastAsia="仿宋" w:cs="仿宋"/>
          <w:b/>
          <w:color w:val="auto"/>
          <w:spacing w:val="7"/>
          <w:kern w:val="0"/>
          <w:sz w:val="28"/>
          <w:szCs w:val="28"/>
        </w:rPr>
      </w:pPr>
      <w:r>
        <w:rPr>
          <w:rFonts w:hint="eastAsia" w:ascii="仿宋" w:hAnsi="仿宋" w:eastAsia="仿宋" w:cs="仿宋"/>
          <w:b/>
          <w:color w:val="auto"/>
          <w:spacing w:val="7"/>
          <w:kern w:val="0"/>
          <w:sz w:val="28"/>
          <w:szCs w:val="28"/>
        </w:rPr>
        <w:t>七、凡对本次采购提出询问，请按以下方式联系。</w:t>
      </w:r>
    </w:p>
    <w:p w14:paraId="4407575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1.采购人信息</w:t>
      </w:r>
    </w:p>
    <w:p w14:paraId="6E42CA58">
      <w:pPr>
        <w:widowControl/>
        <w:shd w:val="clear" w:color="auto" w:fill="FFFFFF"/>
        <w:adjustRightInd w:val="0"/>
        <w:snapToGrid w:val="0"/>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名称：南通新通安投资开发有限公司　　　　　　　　　　　　</w:t>
      </w:r>
    </w:p>
    <w:p w14:paraId="4E68B609">
      <w:pPr>
        <w:shd w:val="clear" w:color="auto" w:fill="FFFFFF"/>
        <w:spacing w:line="460" w:lineRule="exact"/>
        <w:ind w:firstLine="588" w:firstLineChars="200"/>
        <w:rPr>
          <w:rFonts w:ascii="仿宋" w:hAnsi="仿宋" w:eastAsia="仿宋" w:cs="仿宋"/>
          <w:color w:val="auto"/>
          <w:spacing w:val="7"/>
          <w:sz w:val="28"/>
          <w:szCs w:val="28"/>
        </w:rPr>
      </w:pPr>
      <w:r>
        <w:rPr>
          <w:rFonts w:hint="eastAsia" w:ascii="仿宋" w:hAnsi="仿宋" w:eastAsia="仿宋" w:cs="仿宋"/>
          <w:color w:val="auto"/>
          <w:spacing w:val="7"/>
          <w:sz w:val="28"/>
          <w:szCs w:val="28"/>
        </w:rPr>
        <w:t>地址：如东县小洋口金蛤大道</w:t>
      </w:r>
    </w:p>
    <w:p w14:paraId="57BDEBA0">
      <w:pPr>
        <w:widowControl/>
        <w:shd w:val="clear" w:color="auto" w:fill="FFFFFF"/>
        <w:adjustRightInd w:val="0"/>
        <w:snapToGrid w:val="0"/>
        <w:spacing w:line="460" w:lineRule="exact"/>
        <w:ind w:firstLine="588" w:firstLineChars="200"/>
        <w:jc w:val="left"/>
        <w:rPr>
          <w:rFonts w:ascii="仿宋" w:hAnsi="仿宋" w:eastAsia="仿宋" w:cs="仿宋"/>
          <w:color w:val="auto"/>
          <w:spacing w:val="7"/>
          <w:sz w:val="28"/>
          <w:szCs w:val="28"/>
        </w:rPr>
      </w:pPr>
      <w:r>
        <w:rPr>
          <w:rFonts w:hint="eastAsia" w:ascii="仿宋" w:hAnsi="仿宋" w:eastAsia="仿宋" w:cs="仿宋"/>
          <w:color w:val="auto"/>
          <w:spacing w:val="7"/>
          <w:sz w:val="28"/>
          <w:szCs w:val="28"/>
        </w:rPr>
        <w:t xml:space="preserve">联系人：张先生 </w:t>
      </w:r>
    </w:p>
    <w:p w14:paraId="1743010E">
      <w:pPr>
        <w:widowControl/>
        <w:shd w:val="clear" w:color="auto" w:fill="FFFFFF"/>
        <w:adjustRightInd w:val="0"/>
        <w:snapToGrid w:val="0"/>
        <w:spacing w:line="460" w:lineRule="exact"/>
        <w:ind w:firstLine="588" w:firstLineChars="200"/>
        <w:jc w:val="left"/>
        <w:rPr>
          <w:rFonts w:ascii="仿宋" w:hAnsi="仿宋" w:eastAsia="仿宋" w:cs="仿宋"/>
          <w:color w:val="auto"/>
          <w:sz w:val="28"/>
          <w:szCs w:val="28"/>
        </w:rPr>
      </w:pPr>
      <w:r>
        <w:rPr>
          <w:rFonts w:hint="eastAsia" w:ascii="仿宋" w:hAnsi="仿宋" w:eastAsia="仿宋" w:cs="仿宋"/>
          <w:color w:val="auto"/>
          <w:spacing w:val="7"/>
          <w:sz w:val="28"/>
          <w:szCs w:val="28"/>
        </w:rPr>
        <w:t>联系方式：18816262852</w:t>
      </w:r>
    </w:p>
    <w:p w14:paraId="5123BC4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2.采购代理机构信息</w:t>
      </w:r>
    </w:p>
    <w:p w14:paraId="1B298EE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名称：江苏中润工程建设咨询有限公司</w:t>
      </w:r>
    </w:p>
    <w:p w14:paraId="1D9D2EB9">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地址：南通市崇川路58号南通产业技术研究院9号楼1004室</w:t>
      </w:r>
    </w:p>
    <w:p w14:paraId="5E731DC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联系方式：王  工 0513-55887688   13906272111</w:t>
      </w:r>
    </w:p>
    <w:p w14:paraId="50CDD939">
      <w:pPr>
        <w:adjustRightInd w:val="0"/>
        <w:snapToGrid w:val="0"/>
        <w:spacing w:line="360" w:lineRule="auto"/>
        <w:jc w:val="center"/>
        <w:outlineLvl w:val="0"/>
        <w:rPr>
          <w:rFonts w:ascii="仿宋" w:hAnsi="仿宋" w:eastAsia="仿宋" w:cs="仿宋"/>
          <w:bCs/>
          <w:color w:val="auto"/>
          <w:sz w:val="36"/>
          <w:szCs w:val="36"/>
        </w:rPr>
      </w:pPr>
    </w:p>
    <w:p w14:paraId="2ECBC3CD">
      <w:pPr>
        <w:adjustRightInd w:val="0"/>
        <w:snapToGrid w:val="0"/>
        <w:spacing w:line="360" w:lineRule="auto"/>
        <w:jc w:val="center"/>
        <w:outlineLvl w:val="0"/>
        <w:rPr>
          <w:rFonts w:ascii="仿宋" w:hAnsi="仿宋" w:eastAsia="仿宋" w:cs="仿宋"/>
          <w:bCs/>
          <w:color w:val="auto"/>
          <w:sz w:val="36"/>
          <w:szCs w:val="36"/>
        </w:rPr>
      </w:pPr>
    </w:p>
    <w:p w14:paraId="7EE37AFC">
      <w:pPr>
        <w:adjustRightInd w:val="0"/>
        <w:snapToGrid w:val="0"/>
        <w:spacing w:line="360" w:lineRule="auto"/>
        <w:jc w:val="center"/>
        <w:outlineLvl w:val="0"/>
        <w:rPr>
          <w:rFonts w:ascii="仿宋" w:hAnsi="仿宋" w:eastAsia="仿宋" w:cs="仿宋"/>
          <w:bCs/>
          <w:color w:val="auto"/>
          <w:sz w:val="36"/>
          <w:szCs w:val="36"/>
        </w:rPr>
      </w:pPr>
    </w:p>
    <w:p w14:paraId="7EDC8509">
      <w:pPr>
        <w:adjustRightInd w:val="0"/>
        <w:snapToGrid w:val="0"/>
        <w:spacing w:line="360" w:lineRule="auto"/>
        <w:jc w:val="center"/>
        <w:outlineLvl w:val="0"/>
        <w:rPr>
          <w:rFonts w:ascii="仿宋" w:hAnsi="仿宋" w:eastAsia="仿宋" w:cs="仿宋"/>
          <w:bCs/>
          <w:color w:val="auto"/>
          <w:sz w:val="36"/>
          <w:szCs w:val="36"/>
        </w:rPr>
      </w:pPr>
    </w:p>
    <w:p w14:paraId="6007E40C">
      <w:pPr>
        <w:adjustRightInd w:val="0"/>
        <w:snapToGrid w:val="0"/>
        <w:spacing w:line="360" w:lineRule="auto"/>
        <w:outlineLvl w:val="0"/>
        <w:rPr>
          <w:rFonts w:ascii="仿宋" w:hAnsi="仿宋" w:eastAsia="仿宋" w:cs="仿宋"/>
          <w:bCs/>
          <w:color w:val="auto"/>
          <w:sz w:val="36"/>
          <w:szCs w:val="36"/>
        </w:rPr>
      </w:pPr>
    </w:p>
    <w:p w14:paraId="723077E7">
      <w:pPr>
        <w:adjustRightInd w:val="0"/>
        <w:snapToGrid w:val="0"/>
        <w:spacing w:line="360" w:lineRule="auto"/>
        <w:outlineLvl w:val="0"/>
        <w:rPr>
          <w:rFonts w:ascii="仿宋" w:hAnsi="仿宋" w:eastAsia="仿宋" w:cs="仿宋"/>
          <w:bCs/>
          <w:color w:val="auto"/>
          <w:sz w:val="36"/>
          <w:szCs w:val="36"/>
        </w:rPr>
      </w:pPr>
    </w:p>
    <w:p w14:paraId="7B909DFE">
      <w:pPr>
        <w:adjustRightInd w:val="0"/>
        <w:snapToGrid w:val="0"/>
        <w:spacing w:line="600" w:lineRule="exact"/>
        <w:jc w:val="center"/>
        <w:outlineLvl w:val="0"/>
        <w:rPr>
          <w:rFonts w:ascii="仿宋" w:hAnsi="仿宋" w:eastAsia="仿宋" w:cs="仿宋"/>
          <w:bCs/>
          <w:color w:val="auto"/>
          <w:sz w:val="36"/>
          <w:szCs w:val="36"/>
        </w:rPr>
      </w:pPr>
      <w:r>
        <w:rPr>
          <w:rFonts w:hint="eastAsia" w:ascii="仿宋" w:hAnsi="仿宋" w:eastAsia="仿宋" w:cs="仿宋"/>
          <w:b/>
          <w:color w:val="auto"/>
          <w:sz w:val="36"/>
          <w:szCs w:val="36"/>
        </w:rPr>
        <w:t>第二部分 磋商须知</w:t>
      </w:r>
    </w:p>
    <w:p w14:paraId="2EB37D14">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0" w:name="_Toc513029203"/>
      <w:bookmarkStart w:id="1" w:name="_Toc120614214"/>
      <w:bookmarkStart w:id="2" w:name="_Toc16938519"/>
      <w:bookmarkStart w:id="3" w:name="_Toc20823275"/>
      <w:r>
        <w:rPr>
          <w:rFonts w:hint="eastAsia" w:ascii="仿宋" w:hAnsi="仿宋" w:eastAsia="仿宋" w:cs="仿宋"/>
          <w:b/>
          <w:bCs/>
          <w:color w:val="auto"/>
          <w:kern w:val="0"/>
          <w:sz w:val="28"/>
          <w:szCs w:val="28"/>
        </w:rPr>
        <w:t>一、总则</w:t>
      </w:r>
      <w:bookmarkEnd w:id="0"/>
      <w:bookmarkEnd w:id="1"/>
      <w:bookmarkEnd w:id="2"/>
      <w:bookmarkEnd w:id="3"/>
    </w:p>
    <w:p w14:paraId="2EBEF868">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4" w:name="_Hlt16619475"/>
      <w:bookmarkEnd w:id="4"/>
      <w:bookmarkStart w:id="5" w:name="_Toc458694821"/>
      <w:bookmarkStart w:id="6" w:name="_Toc16938520"/>
      <w:bookmarkStart w:id="7" w:name="_Toc513029204"/>
      <w:bookmarkStart w:id="8" w:name="_Toc20823276"/>
      <w:r>
        <w:rPr>
          <w:rFonts w:hint="eastAsia" w:ascii="仿宋" w:hAnsi="仿宋" w:eastAsia="仿宋" w:cs="仿宋"/>
          <w:color w:val="auto"/>
          <w:kern w:val="0"/>
          <w:sz w:val="28"/>
          <w:szCs w:val="28"/>
        </w:rPr>
        <w:t>1</w:t>
      </w:r>
      <w:bookmarkEnd w:id="5"/>
      <w:r>
        <w:rPr>
          <w:rFonts w:hint="eastAsia" w:ascii="仿宋" w:hAnsi="仿宋" w:eastAsia="仿宋" w:cs="仿宋"/>
          <w:color w:val="auto"/>
          <w:kern w:val="0"/>
          <w:sz w:val="28"/>
          <w:szCs w:val="28"/>
        </w:rPr>
        <w:t>.采购方式</w:t>
      </w:r>
      <w:bookmarkEnd w:id="6"/>
      <w:bookmarkEnd w:id="7"/>
      <w:bookmarkEnd w:id="8"/>
    </w:p>
    <w:p w14:paraId="5A0ADC3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 本次采取磋商方式，本磋商文件仅适用于磋商公告中所述项目。</w:t>
      </w:r>
    </w:p>
    <w:p w14:paraId="1110D886">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9" w:name="_Toc513029205"/>
      <w:bookmarkStart w:id="10" w:name="_Toc16938521"/>
      <w:bookmarkStart w:id="11" w:name="_Toc20823277"/>
      <w:r>
        <w:rPr>
          <w:rFonts w:hint="eastAsia" w:ascii="仿宋" w:hAnsi="仿宋" w:eastAsia="仿宋" w:cs="仿宋"/>
          <w:color w:val="auto"/>
          <w:kern w:val="0"/>
          <w:sz w:val="28"/>
          <w:szCs w:val="28"/>
        </w:rPr>
        <w:t>2.合格的</w:t>
      </w:r>
      <w:bookmarkEnd w:id="9"/>
      <w:bookmarkEnd w:id="10"/>
      <w:bookmarkEnd w:id="11"/>
      <w:r>
        <w:rPr>
          <w:rFonts w:hint="eastAsia" w:ascii="仿宋" w:hAnsi="仿宋" w:eastAsia="仿宋" w:cs="仿宋"/>
          <w:color w:val="auto"/>
          <w:kern w:val="0"/>
          <w:sz w:val="28"/>
          <w:szCs w:val="28"/>
        </w:rPr>
        <w:t>供应商</w:t>
      </w:r>
    </w:p>
    <w:p w14:paraId="28F15A0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2.1满足磋商公告中供应商的资格要求的规定。</w:t>
      </w:r>
    </w:p>
    <w:p w14:paraId="58F2E970">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 满足本文件实质性条款的规定。</w:t>
      </w:r>
    </w:p>
    <w:p w14:paraId="482881DE">
      <w:pPr>
        <w:keepNext/>
        <w:adjustRightInd w:val="0"/>
        <w:snapToGrid w:val="0"/>
        <w:spacing w:line="460" w:lineRule="exact"/>
        <w:ind w:firstLine="562" w:firstLineChars="200"/>
        <w:rPr>
          <w:rFonts w:ascii="仿宋" w:hAnsi="仿宋" w:eastAsia="仿宋" w:cs="仿宋"/>
          <w:b/>
          <w:bCs/>
          <w:color w:val="auto"/>
          <w:kern w:val="0"/>
          <w:sz w:val="28"/>
          <w:szCs w:val="28"/>
        </w:rPr>
      </w:pPr>
      <w:bookmarkStart w:id="12" w:name="_Toc16938522"/>
      <w:bookmarkStart w:id="13" w:name="_Toc20823278"/>
      <w:bookmarkStart w:id="14" w:name="_Toc513029206"/>
      <w:r>
        <w:rPr>
          <w:rFonts w:hint="eastAsia" w:ascii="仿宋" w:hAnsi="仿宋" w:eastAsia="仿宋" w:cs="仿宋"/>
          <w:b/>
          <w:bCs/>
          <w:color w:val="auto"/>
          <w:kern w:val="0"/>
          <w:sz w:val="28"/>
          <w:szCs w:val="28"/>
        </w:rPr>
        <w:t>采购项目磋商开始后，不再接受供应商对采购文件（含更正通告等）内容的异议或质询（质疑）。</w:t>
      </w:r>
    </w:p>
    <w:p w14:paraId="20FE4830">
      <w:pPr>
        <w:keepNext/>
        <w:adjustRightInd w:val="0"/>
        <w:snapToGrid w:val="0"/>
        <w:spacing w:line="460" w:lineRule="exact"/>
        <w:ind w:firstLine="560" w:firstLineChars="200"/>
        <w:rPr>
          <w:rFonts w:ascii="仿宋" w:hAnsi="仿宋" w:eastAsia="仿宋" w:cs="仿宋"/>
          <w:b/>
          <w:bCs/>
          <w:color w:val="auto"/>
          <w:kern w:val="0"/>
          <w:sz w:val="28"/>
          <w:szCs w:val="28"/>
        </w:rPr>
      </w:pPr>
      <w:r>
        <w:rPr>
          <w:rFonts w:hint="eastAsia" w:ascii="仿宋" w:hAnsi="仿宋" w:eastAsia="仿宋" w:cs="仿宋"/>
          <w:color w:val="auto"/>
          <w:kern w:val="0"/>
          <w:sz w:val="28"/>
          <w:szCs w:val="28"/>
        </w:rPr>
        <w:t>3.适用法律</w:t>
      </w:r>
      <w:bookmarkEnd w:id="12"/>
      <w:bookmarkEnd w:id="13"/>
      <w:bookmarkEnd w:id="14"/>
    </w:p>
    <w:p w14:paraId="683015A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 本次采购及由此产生的合同受中华人民共和国有关的法律法规制约和保护。</w:t>
      </w:r>
    </w:p>
    <w:p w14:paraId="2B5F92EC">
      <w:pPr>
        <w:keepNext/>
        <w:adjustRightInd w:val="0"/>
        <w:snapToGrid w:val="0"/>
        <w:spacing w:line="460" w:lineRule="exact"/>
        <w:ind w:firstLine="560" w:firstLineChars="200"/>
        <w:rPr>
          <w:rFonts w:ascii="仿宋" w:hAnsi="仿宋" w:eastAsia="仿宋" w:cs="仿宋"/>
          <w:color w:val="auto"/>
          <w:kern w:val="0"/>
          <w:sz w:val="28"/>
          <w:szCs w:val="28"/>
        </w:rPr>
      </w:pPr>
      <w:bookmarkStart w:id="15" w:name="_Toc513029207"/>
      <w:bookmarkStart w:id="16" w:name="_Toc20823279"/>
      <w:bookmarkStart w:id="17" w:name="_Toc16938523"/>
      <w:bookmarkStart w:id="18" w:name="_Toc462564067"/>
      <w:r>
        <w:rPr>
          <w:rFonts w:hint="eastAsia" w:ascii="仿宋" w:hAnsi="仿宋" w:eastAsia="仿宋" w:cs="仿宋"/>
          <w:color w:val="auto"/>
          <w:kern w:val="0"/>
          <w:sz w:val="28"/>
          <w:szCs w:val="28"/>
        </w:rPr>
        <w:t>4.磋商费用</w:t>
      </w:r>
      <w:bookmarkEnd w:id="15"/>
      <w:bookmarkEnd w:id="16"/>
      <w:bookmarkEnd w:id="17"/>
      <w:bookmarkEnd w:id="18"/>
    </w:p>
    <w:p w14:paraId="76204CD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708F779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4.2本项目招标代理费按照发改价格[2011]534号文标准50%计收，不足2000元的按2000元计取，供应商报价时应综合考虑（不单列）。</w:t>
      </w:r>
    </w:p>
    <w:p w14:paraId="65C6E1E0">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代理费等费用定标后由成交候选人支付给代理机构。因成交人原因导致成交结果变更或取消成交资格等，代理费不予退还。</w:t>
      </w:r>
    </w:p>
    <w:p w14:paraId="0CFCA037">
      <w:pPr>
        <w:keepNext/>
        <w:adjustRightInd w:val="0"/>
        <w:snapToGrid w:val="0"/>
        <w:spacing w:line="460" w:lineRule="exact"/>
        <w:ind w:firstLine="560" w:firstLineChars="200"/>
        <w:rPr>
          <w:rFonts w:ascii="仿宋" w:hAnsi="仿宋" w:eastAsia="仿宋" w:cs="仿宋"/>
          <w:b/>
          <w:bCs/>
          <w:color w:val="auto"/>
          <w:kern w:val="0"/>
          <w:sz w:val="28"/>
          <w:szCs w:val="28"/>
        </w:rPr>
      </w:pPr>
      <w:r>
        <w:rPr>
          <w:rFonts w:hint="eastAsia" w:ascii="仿宋" w:hAnsi="仿宋" w:eastAsia="仿宋" w:cs="仿宋"/>
          <w:color w:val="auto"/>
          <w:kern w:val="0"/>
          <w:sz w:val="28"/>
          <w:szCs w:val="28"/>
        </w:rPr>
        <w:t>5.磋商文件的约束力</w:t>
      </w:r>
    </w:p>
    <w:p w14:paraId="320D09AE">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5.1</w:t>
      </w:r>
      <w:r>
        <w:rPr>
          <w:rFonts w:hint="eastAsia" w:ascii="仿宋" w:hAnsi="仿宋" w:eastAsia="仿宋" w:cs="仿宋"/>
          <w:color w:val="auto"/>
          <w:sz w:val="28"/>
          <w:szCs w:val="28"/>
        </w:rPr>
        <w:t xml:space="preserve"> 供应商一旦参加本项目采购活动，即被认为接受了本磋商文件的规定和约束。</w:t>
      </w:r>
    </w:p>
    <w:p w14:paraId="5C8D4039">
      <w:pPr>
        <w:keepNext/>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6.磋商文件的解释</w:t>
      </w:r>
    </w:p>
    <w:p w14:paraId="72BF160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6.1</w:t>
      </w:r>
      <w:r>
        <w:rPr>
          <w:rFonts w:hint="eastAsia" w:ascii="仿宋" w:hAnsi="仿宋" w:eastAsia="仿宋" w:cs="仿宋"/>
          <w:color w:val="auto"/>
          <w:sz w:val="28"/>
          <w:szCs w:val="28"/>
        </w:rPr>
        <w:t>磋商文件需求部分（供应商资格要求、项目需求、商务技术评分标准）由采购人解释，其它部分由采购代理机构解释。</w:t>
      </w:r>
    </w:p>
    <w:p w14:paraId="10658F1B">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19" w:name="_Toc20823281"/>
      <w:bookmarkStart w:id="20" w:name="_Toc16938525"/>
      <w:bookmarkStart w:id="21" w:name="_Toc120614215"/>
      <w:bookmarkStart w:id="22" w:name="_Toc513029209"/>
      <w:r>
        <w:rPr>
          <w:rFonts w:hint="eastAsia" w:ascii="仿宋" w:hAnsi="仿宋" w:eastAsia="仿宋" w:cs="仿宋"/>
          <w:b/>
          <w:bCs/>
          <w:color w:val="auto"/>
          <w:kern w:val="0"/>
          <w:sz w:val="28"/>
          <w:szCs w:val="28"/>
        </w:rPr>
        <w:t>二、磋商文件</w:t>
      </w:r>
      <w:bookmarkEnd w:id="19"/>
      <w:bookmarkEnd w:id="20"/>
      <w:bookmarkEnd w:id="21"/>
      <w:bookmarkEnd w:id="22"/>
    </w:p>
    <w:p w14:paraId="0A5F279A">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23" w:name="_Toc16938526"/>
      <w:bookmarkStart w:id="24" w:name="_Toc513029210"/>
      <w:bookmarkStart w:id="25" w:name="_Toc20823282"/>
      <w:r>
        <w:rPr>
          <w:rFonts w:hint="eastAsia" w:ascii="仿宋" w:hAnsi="仿宋" w:eastAsia="仿宋" w:cs="仿宋"/>
          <w:color w:val="auto"/>
          <w:kern w:val="0"/>
          <w:sz w:val="28"/>
          <w:szCs w:val="28"/>
        </w:rPr>
        <w:t>1.磋商文件构成</w:t>
      </w:r>
      <w:bookmarkEnd w:id="23"/>
      <w:bookmarkEnd w:id="24"/>
      <w:bookmarkEnd w:id="25"/>
    </w:p>
    <w:p w14:paraId="201BFA5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1.1</w:t>
      </w:r>
      <w:r>
        <w:rPr>
          <w:rFonts w:hint="eastAsia" w:ascii="仿宋" w:hAnsi="仿宋" w:eastAsia="仿宋" w:cs="仿宋"/>
          <w:color w:val="auto"/>
          <w:sz w:val="28"/>
          <w:szCs w:val="28"/>
        </w:rPr>
        <w:t xml:space="preserve"> 磋商文件由以下部分组成：</w:t>
      </w:r>
    </w:p>
    <w:p w14:paraId="0A67B72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（1）磋商公告</w:t>
      </w:r>
    </w:p>
    <w:p w14:paraId="0A541868">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（2）磋商须知</w:t>
      </w:r>
    </w:p>
    <w:p w14:paraId="47D717E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（3）项目需求</w:t>
      </w:r>
    </w:p>
    <w:p w14:paraId="04B1468A">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（4）评审方法和评审标准</w:t>
      </w:r>
    </w:p>
    <w:p w14:paraId="318B041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（5）响应文件组成</w:t>
      </w:r>
    </w:p>
    <w:p w14:paraId="28E98BD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（6）附件</w:t>
      </w:r>
    </w:p>
    <w:p w14:paraId="1E25035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请仔细检查磋商文件是否齐全，如有缺漏请立即与采购代理机构联系解决。</w:t>
      </w:r>
    </w:p>
    <w:p w14:paraId="3FC16A68">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1.2</w:t>
      </w:r>
      <w:r>
        <w:rPr>
          <w:rFonts w:hint="eastAsia" w:ascii="仿宋" w:hAnsi="仿宋" w:eastAsia="仿宋" w:cs="仿宋"/>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3478D9A">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26" w:name="_Toc513029211"/>
      <w:bookmarkStart w:id="27" w:name="_Toc16938527"/>
      <w:bookmarkStart w:id="28" w:name="_Toc462564070"/>
      <w:bookmarkStart w:id="29" w:name="_Toc20823283"/>
      <w:r>
        <w:rPr>
          <w:rFonts w:hint="eastAsia" w:ascii="仿宋" w:hAnsi="仿宋" w:eastAsia="仿宋" w:cs="仿宋"/>
          <w:color w:val="auto"/>
          <w:kern w:val="0"/>
          <w:sz w:val="28"/>
          <w:szCs w:val="28"/>
        </w:rPr>
        <w:t>2.磋商文件的澄清</w:t>
      </w:r>
      <w:bookmarkEnd w:id="26"/>
      <w:bookmarkEnd w:id="27"/>
      <w:bookmarkEnd w:id="28"/>
      <w:bookmarkEnd w:id="29"/>
    </w:p>
    <w:p w14:paraId="78C202AA">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2.1</w:t>
      </w:r>
      <w:r>
        <w:rPr>
          <w:rFonts w:hint="eastAsia" w:ascii="仿宋" w:hAnsi="仿宋" w:eastAsia="仿宋" w:cs="仿宋"/>
          <w:color w:val="auto"/>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14:paraId="683B9A1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2.2采购人视情组织答疑会</w:t>
      </w:r>
    </w:p>
    <w:p w14:paraId="6AC4A087">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30" w:name="_Toc513029212"/>
      <w:bookmarkStart w:id="31" w:name="_Toc16938528"/>
      <w:bookmarkStart w:id="32" w:name="_Toc20823284"/>
      <w:bookmarkStart w:id="33" w:name="_Toc462564071"/>
      <w:r>
        <w:rPr>
          <w:rFonts w:hint="eastAsia" w:ascii="仿宋" w:hAnsi="仿宋" w:eastAsia="仿宋" w:cs="仿宋"/>
          <w:color w:val="auto"/>
          <w:kern w:val="0"/>
          <w:sz w:val="28"/>
          <w:szCs w:val="28"/>
        </w:rPr>
        <w:t>3.磋商文件的修改</w:t>
      </w:r>
      <w:bookmarkEnd w:id="30"/>
      <w:bookmarkEnd w:id="31"/>
      <w:bookmarkEnd w:id="32"/>
      <w:bookmarkEnd w:id="33"/>
    </w:p>
    <w:p w14:paraId="3CC5ABA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3.1</w:t>
      </w:r>
      <w:r>
        <w:rPr>
          <w:rFonts w:hint="eastAsia" w:ascii="仿宋" w:hAnsi="仿宋" w:eastAsia="仿宋" w:cs="仿宋"/>
          <w:color w:val="auto"/>
          <w:sz w:val="28"/>
          <w:szCs w:val="28"/>
        </w:rPr>
        <w:t xml:space="preserve"> 在响应文件提交截止时间前，采购代理机构可以对磋商文件进行修改。</w:t>
      </w:r>
    </w:p>
    <w:p w14:paraId="6201D21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 xml:space="preserve">3.2 </w:t>
      </w:r>
      <w:r>
        <w:rPr>
          <w:rFonts w:hint="eastAsia" w:ascii="仿宋" w:hAnsi="仿宋" w:eastAsia="仿宋" w:cs="仿宋"/>
          <w:color w:val="auto"/>
          <w:sz w:val="28"/>
          <w:szCs w:val="28"/>
        </w:rPr>
        <w:t>采购代理机构有权按照法定的要求推迟响应文件提交截止日期和磋商日期。</w:t>
      </w:r>
    </w:p>
    <w:p w14:paraId="5E8D910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 xml:space="preserve">3.3 </w:t>
      </w:r>
      <w:r>
        <w:rPr>
          <w:rFonts w:hint="eastAsia" w:ascii="仿宋" w:hAnsi="仿宋" w:eastAsia="仿宋" w:cs="仿宋"/>
          <w:color w:val="auto"/>
          <w:sz w:val="28"/>
          <w:szCs w:val="28"/>
        </w:rPr>
        <w:t>磋商文件的修改将在南通市公安局网站公布，补充文件将作为磋商文件的组成部分，并对供应商具有约束力。</w:t>
      </w:r>
    </w:p>
    <w:p w14:paraId="0596835E">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34" w:name="_Toc513029213"/>
      <w:bookmarkStart w:id="35" w:name="_Toc20823285"/>
      <w:bookmarkStart w:id="36" w:name="_Toc16938529"/>
      <w:bookmarkStart w:id="37" w:name="_Toc462564072"/>
      <w:bookmarkStart w:id="38" w:name="_Toc120614216"/>
      <w:r>
        <w:rPr>
          <w:rFonts w:hint="eastAsia" w:ascii="仿宋" w:hAnsi="仿宋" w:eastAsia="仿宋" w:cs="仿宋"/>
          <w:b/>
          <w:bCs/>
          <w:color w:val="auto"/>
          <w:kern w:val="0"/>
          <w:sz w:val="28"/>
          <w:szCs w:val="28"/>
        </w:rPr>
        <w:t>三、响应文件的编制</w:t>
      </w:r>
      <w:bookmarkEnd w:id="34"/>
      <w:bookmarkEnd w:id="35"/>
      <w:bookmarkEnd w:id="36"/>
      <w:bookmarkEnd w:id="37"/>
      <w:bookmarkEnd w:id="38"/>
    </w:p>
    <w:p w14:paraId="74AA0797">
      <w:pPr>
        <w:keepNext/>
        <w:adjustRightInd w:val="0"/>
        <w:snapToGrid w:val="0"/>
        <w:spacing w:line="460" w:lineRule="exact"/>
        <w:ind w:firstLine="560" w:firstLineChars="200"/>
        <w:rPr>
          <w:rFonts w:ascii="仿宋" w:hAnsi="仿宋" w:eastAsia="仿宋" w:cs="仿宋"/>
          <w:bCs/>
          <w:color w:val="auto"/>
          <w:kern w:val="0"/>
          <w:sz w:val="28"/>
          <w:szCs w:val="28"/>
        </w:rPr>
      </w:pPr>
      <w:bookmarkStart w:id="39" w:name="_Toc20823286"/>
      <w:bookmarkStart w:id="40" w:name="_Toc513029214"/>
      <w:bookmarkStart w:id="41" w:name="_Toc462564073"/>
      <w:bookmarkStart w:id="42" w:name="_Toc16938530"/>
      <w:r>
        <w:rPr>
          <w:rFonts w:hint="eastAsia" w:ascii="仿宋" w:hAnsi="仿宋" w:eastAsia="仿宋" w:cs="仿宋"/>
          <w:color w:val="auto"/>
          <w:kern w:val="0"/>
          <w:sz w:val="28"/>
          <w:szCs w:val="28"/>
        </w:rPr>
        <w:t>1.响应文件的语言及度量衡单位</w:t>
      </w:r>
      <w:bookmarkEnd w:id="39"/>
      <w:bookmarkEnd w:id="40"/>
      <w:bookmarkEnd w:id="41"/>
      <w:bookmarkEnd w:id="42"/>
    </w:p>
    <w:p w14:paraId="5BF818F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1.1</w:t>
      </w:r>
      <w:r>
        <w:rPr>
          <w:rFonts w:hint="eastAsia" w:ascii="仿宋" w:hAnsi="仿宋" w:eastAsia="仿宋" w:cs="仿宋"/>
          <w:color w:val="auto"/>
          <w:sz w:val="28"/>
          <w:szCs w:val="28"/>
        </w:rPr>
        <w:t>供应商提交的响应文件以及供应商与采购代理机构及采购人就有关磋商的所有来往通知、函件和文件均应使用</w:t>
      </w:r>
      <w:r>
        <w:rPr>
          <w:rFonts w:hint="eastAsia" w:ascii="仿宋" w:hAnsi="仿宋" w:eastAsia="仿宋" w:cs="仿宋"/>
          <w:bCs/>
          <w:color w:val="auto"/>
          <w:sz w:val="28"/>
          <w:szCs w:val="28"/>
        </w:rPr>
        <w:t>简体中文</w:t>
      </w:r>
      <w:r>
        <w:rPr>
          <w:rFonts w:hint="eastAsia" w:ascii="仿宋" w:hAnsi="仿宋" w:eastAsia="仿宋" w:cs="仿宋"/>
          <w:color w:val="auto"/>
          <w:sz w:val="28"/>
          <w:szCs w:val="28"/>
        </w:rPr>
        <w:t>。</w:t>
      </w:r>
    </w:p>
    <w:p w14:paraId="79197A9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1.2</w:t>
      </w:r>
      <w:r>
        <w:rPr>
          <w:rFonts w:hint="eastAsia" w:ascii="仿宋" w:hAnsi="仿宋" w:eastAsia="仿宋" w:cs="仿宋"/>
          <w:color w:val="auto"/>
          <w:sz w:val="28"/>
          <w:szCs w:val="28"/>
        </w:rPr>
        <w:t xml:space="preserve"> 除技术性能另有规定外，响应文件所使用的度量衡单位，均须采用国家法定计量单位。</w:t>
      </w:r>
    </w:p>
    <w:p w14:paraId="39FA8835">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43" w:name="_Toc513029215"/>
      <w:bookmarkStart w:id="44" w:name="_Toc462564074"/>
      <w:bookmarkStart w:id="45" w:name="_Toc16938531"/>
      <w:bookmarkStart w:id="46" w:name="_Toc20823287"/>
      <w:r>
        <w:rPr>
          <w:rFonts w:hint="eastAsia" w:ascii="仿宋" w:hAnsi="仿宋" w:eastAsia="仿宋" w:cs="仿宋"/>
          <w:color w:val="auto"/>
          <w:kern w:val="0"/>
          <w:sz w:val="28"/>
          <w:szCs w:val="28"/>
        </w:rPr>
        <w:t>2.响应文件构成</w:t>
      </w:r>
      <w:bookmarkEnd w:id="43"/>
      <w:bookmarkEnd w:id="44"/>
      <w:bookmarkEnd w:id="45"/>
      <w:bookmarkEnd w:id="46"/>
    </w:p>
    <w:p w14:paraId="75F024C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2.1</w:t>
      </w:r>
      <w:r>
        <w:rPr>
          <w:rFonts w:hint="eastAsia" w:ascii="仿宋" w:hAnsi="仿宋" w:eastAsia="仿宋" w:cs="仿宋"/>
          <w:color w:val="auto"/>
          <w:sz w:val="28"/>
          <w:szCs w:val="28"/>
        </w:rPr>
        <w:t xml:space="preserve"> 供应商编写的响应文件应包括资格审查文件、商务技术文件、价格文件。供应商按“第五部分 响应文件组成”要求编写响应文件。</w:t>
      </w:r>
    </w:p>
    <w:p w14:paraId="040B1713">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47" w:name="_Hlt26670360"/>
      <w:bookmarkEnd w:id="47"/>
      <w:bookmarkStart w:id="48" w:name="_Hlt26668975"/>
      <w:bookmarkEnd w:id="48"/>
      <w:bookmarkStart w:id="49" w:name="_Hlt26954838"/>
      <w:bookmarkEnd w:id="49"/>
      <w:bookmarkStart w:id="50" w:name="_Toc49090511"/>
      <w:bookmarkStart w:id="51" w:name="_Toc14577360"/>
      <w:r>
        <w:rPr>
          <w:rFonts w:hint="eastAsia" w:ascii="仿宋" w:hAnsi="仿宋" w:eastAsia="仿宋" w:cs="仿宋"/>
          <w:color w:val="auto"/>
          <w:kern w:val="0"/>
          <w:sz w:val="28"/>
          <w:szCs w:val="28"/>
        </w:rPr>
        <w:t>3.</w:t>
      </w:r>
      <w:bookmarkEnd w:id="50"/>
      <w:bookmarkEnd w:id="51"/>
      <w:r>
        <w:rPr>
          <w:rFonts w:hint="eastAsia" w:ascii="仿宋" w:hAnsi="仿宋" w:eastAsia="仿宋" w:cs="仿宋"/>
          <w:color w:val="auto"/>
          <w:kern w:val="0"/>
          <w:sz w:val="28"/>
          <w:szCs w:val="28"/>
        </w:rPr>
        <w:t>磋商响应有效期</w:t>
      </w:r>
    </w:p>
    <w:p w14:paraId="0BBDED29">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3.1磋商响应有效期为采购代理机构规定的响应文件</w:t>
      </w:r>
      <w:r>
        <w:rPr>
          <w:rFonts w:hint="eastAsia" w:ascii="仿宋" w:hAnsi="仿宋" w:eastAsia="仿宋" w:cs="仿宋"/>
          <w:color w:val="auto"/>
          <w:sz w:val="28"/>
          <w:szCs w:val="28"/>
        </w:rPr>
        <w:t>提交</w:t>
      </w:r>
      <w:r>
        <w:rPr>
          <w:rFonts w:hint="eastAsia" w:ascii="仿宋" w:hAnsi="仿宋" w:eastAsia="仿宋" w:cs="仿宋"/>
          <w:bCs/>
          <w:color w:val="auto"/>
          <w:sz w:val="28"/>
          <w:szCs w:val="28"/>
        </w:rPr>
        <w:t>截止时间后</w:t>
      </w:r>
      <w:r>
        <w:rPr>
          <w:rFonts w:hint="eastAsia" w:ascii="仿宋" w:hAnsi="仿宋" w:eastAsia="仿宋" w:cs="仿宋"/>
          <w:b/>
          <w:color w:val="auto"/>
          <w:sz w:val="28"/>
          <w:szCs w:val="28"/>
          <w:u w:val="single"/>
        </w:rPr>
        <w:t>六十（60）天</w:t>
      </w:r>
      <w:r>
        <w:rPr>
          <w:rFonts w:hint="eastAsia" w:ascii="仿宋" w:hAnsi="仿宋" w:eastAsia="仿宋" w:cs="仿宋"/>
          <w:bCs/>
          <w:color w:val="auto"/>
          <w:sz w:val="28"/>
          <w:szCs w:val="28"/>
        </w:rPr>
        <w:t>。磋商响应有效期比规定短的将被视为非实质性响应而予以拒绝。</w:t>
      </w:r>
    </w:p>
    <w:p w14:paraId="439E2C47">
      <w:pPr>
        <w:keepNext/>
        <w:adjustRightInd w:val="0"/>
        <w:snapToGrid w:val="0"/>
        <w:spacing w:line="460" w:lineRule="exact"/>
        <w:ind w:firstLine="560" w:firstLineChars="200"/>
        <w:rPr>
          <w:rFonts w:ascii="仿宋" w:hAnsi="仿宋" w:eastAsia="仿宋" w:cs="仿宋"/>
          <w:b/>
          <w:bCs/>
          <w:color w:val="auto"/>
          <w:kern w:val="0"/>
          <w:sz w:val="28"/>
          <w:szCs w:val="28"/>
        </w:rPr>
      </w:pPr>
      <w:r>
        <w:rPr>
          <w:rFonts w:hint="eastAsia" w:ascii="仿宋" w:hAnsi="仿宋" w:eastAsia="仿宋" w:cs="仿宋"/>
          <w:color w:val="auto"/>
          <w:kern w:val="0"/>
          <w:sz w:val="28"/>
          <w:szCs w:val="28"/>
        </w:rPr>
        <w:t>4. 磋商响应有效期的延长</w:t>
      </w:r>
    </w:p>
    <w:p w14:paraId="363F91BB">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cs="仿宋"/>
          <w:color w:val="auto"/>
          <w:sz w:val="28"/>
          <w:szCs w:val="28"/>
        </w:rPr>
        <w:t>受磋商响应有效期约束的所有权利与义务均延长至新的有效期</w:t>
      </w:r>
      <w:r>
        <w:rPr>
          <w:rFonts w:hint="eastAsia" w:ascii="仿宋" w:hAnsi="仿宋" w:eastAsia="仿宋" w:cs="仿宋"/>
          <w:bCs/>
          <w:color w:val="auto"/>
          <w:sz w:val="28"/>
          <w:szCs w:val="28"/>
        </w:rPr>
        <w:t>。</w:t>
      </w:r>
    </w:p>
    <w:p w14:paraId="5C4419F7">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52" w:name="_Hlt26954739"/>
      <w:bookmarkEnd w:id="52"/>
      <w:bookmarkStart w:id="53" w:name="_Hlt26954852"/>
      <w:bookmarkEnd w:id="53"/>
      <w:bookmarkStart w:id="54" w:name="_Toc20823296"/>
      <w:bookmarkStart w:id="55" w:name="_Toc120614217"/>
      <w:bookmarkStart w:id="56" w:name="_Toc513029224"/>
      <w:bookmarkStart w:id="57" w:name="_Toc16938540"/>
      <w:r>
        <w:rPr>
          <w:rFonts w:hint="eastAsia" w:ascii="仿宋" w:hAnsi="仿宋" w:eastAsia="仿宋" w:cs="仿宋"/>
          <w:b/>
          <w:bCs/>
          <w:color w:val="auto"/>
          <w:kern w:val="0"/>
          <w:sz w:val="28"/>
          <w:szCs w:val="28"/>
        </w:rPr>
        <w:t>四、响应文件的提交</w:t>
      </w:r>
      <w:bookmarkEnd w:id="54"/>
      <w:bookmarkEnd w:id="55"/>
      <w:bookmarkEnd w:id="56"/>
      <w:bookmarkEnd w:id="57"/>
    </w:p>
    <w:p w14:paraId="5792F34B">
      <w:pPr>
        <w:adjustRightInd w:val="0"/>
        <w:snapToGrid w:val="0"/>
        <w:spacing w:line="460" w:lineRule="exact"/>
        <w:ind w:firstLine="560" w:firstLineChars="200"/>
        <w:rPr>
          <w:rFonts w:ascii="仿宋" w:hAnsi="仿宋" w:eastAsia="仿宋" w:cs="仿宋"/>
          <w:color w:val="auto"/>
          <w:kern w:val="0"/>
          <w:sz w:val="28"/>
          <w:szCs w:val="28"/>
        </w:rPr>
      </w:pPr>
      <w:bookmarkStart w:id="58" w:name="_Toc16938542"/>
      <w:bookmarkStart w:id="59" w:name="_Toc20823298"/>
      <w:bookmarkStart w:id="60" w:name="_Toc513029226"/>
      <w:r>
        <w:rPr>
          <w:rFonts w:hint="eastAsia" w:ascii="仿宋" w:hAnsi="仿宋" w:eastAsia="仿宋" w:cs="仿宋"/>
          <w:color w:val="auto"/>
          <w:kern w:val="0"/>
          <w:sz w:val="28"/>
          <w:szCs w:val="28"/>
        </w:rPr>
        <w:t>1.响应文件的提交</w:t>
      </w:r>
    </w:p>
    <w:p w14:paraId="593EA155">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773D4851">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1.2纸质响应文件须提供“正本一份、副本一份”，可以合并在一个密封袋或密封箱内提交,也可以分别密封提交；如有A3大小的图纸类，可单独密封。密封完好以不泄露投标文件内容为主要判断依据（是否严格按照采购文件装袋提交不作为无效标判定依据）。</w:t>
      </w:r>
    </w:p>
    <w:p w14:paraId="6FACAED1">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1.3纸质响应文件须采用A4纸（图纸等除外）打印并由法定代表人或授权人签字并加盖单位印章。文件内容中不得行间插字、涂改、增删；如修补错漏处，须由响应文件签署人签字并加盖公章。</w:t>
      </w:r>
    </w:p>
    <w:p w14:paraId="013E47FD">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1.4提交电子响应文件一份，电子响应文件的内容为磋商响应文件（含资格审查文件、商务技术文件、价格文件）的打印盖章或电子签章后的扫描件，采取U盘方式单独密封提交。</w:t>
      </w:r>
    </w:p>
    <w:p w14:paraId="36E9335F">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1.5递交时间：供应商须在规定的响应文件接收截止时间前送达指定地点。供应商提交磋商文件，即视为已响应参加磋商活动。</w:t>
      </w:r>
    </w:p>
    <w:p w14:paraId="7785CE4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color w:val="auto"/>
          <w:kern w:val="0"/>
          <w:sz w:val="28"/>
          <w:szCs w:val="28"/>
        </w:rPr>
        <w:t>友情提醒：代理机构将拒绝接收未按照磋商文件要求密封的响应文件，拒绝接收在响应文件接收截止时间后递交的响应文件。</w:t>
      </w:r>
    </w:p>
    <w:p w14:paraId="3BD474F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2.响应文件截止日期</w:t>
      </w:r>
      <w:bookmarkEnd w:id="58"/>
      <w:bookmarkEnd w:id="59"/>
      <w:bookmarkEnd w:id="60"/>
    </w:p>
    <w:p w14:paraId="216FD6BD">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2.1 供应商提交响应文件的时间不得迟于磋商公告中规定的响应文件提交截止时间。</w:t>
      </w:r>
    </w:p>
    <w:p w14:paraId="0329B665">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供应商应充分考虑到交通路况、停车等风险因素，如因供应商自身原因造成的磋商响应文件提交不成功由供应商自行承担全部责任。</w:t>
      </w:r>
    </w:p>
    <w:p w14:paraId="64D65ED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2.2</w:t>
      </w:r>
      <w:r>
        <w:rPr>
          <w:rFonts w:hint="eastAsia" w:ascii="仿宋" w:hAnsi="仿宋" w:eastAsia="仿宋" w:cs="仿宋"/>
          <w:bCs/>
          <w:color w:val="auto"/>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4B252588">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61" w:name="_Toc513029227"/>
      <w:bookmarkStart w:id="62" w:name="_Toc16938543"/>
      <w:bookmarkStart w:id="63" w:name="_Toc20823299"/>
      <w:r>
        <w:rPr>
          <w:rFonts w:hint="eastAsia" w:ascii="仿宋" w:hAnsi="仿宋" w:eastAsia="仿宋" w:cs="仿宋"/>
          <w:color w:val="auto"/>
          <w:kern w:val="0"/>
          <w:sz w:val="28"/>
          <w:szCs w:val="28"/>
        </w:rPr>
        <w:t>3.响应文件</w:t>
      </w:r>
      <w:bookmarkEnd w:id="61"/>
      <w:bookmarkEnd w:id="62"/>
      <w:bookmarkEnd w:id="63"/>
      <w:r>
        <w:rPr>
          <w:rFonts w:hint="eastAsia" w:ascii="仿宋" w:hAnsi="仿宋" w:eastAsia="仿宋" w:cs="仿宋"/>
          <w:color w:val="auto"/>
          <w:kern w:val="0"/>
          <w:sz w:val="28"/>
          <w:szCs w:val="28"/>
        </w:rPr>
        <w:t>的拒收</w:t>
      </w:r>
    </w:p>
    <w:p w14:paraId="086CF2B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3.1 采购代理机构拒绝接收在其规定的响应文件提交截止时间后提交的任何响应文件。</w:t>
      </w:r>
    </w:p>
    <w:p w14:paraId="50A6A1DE">
      <w:pPr>
        <w:keepNext/>
        <w:adjustRightInd w:val="0"/>
        <w:snapToGrid w:val="0"/>
        <w:spacing w:line="460" w:lineRule="exact"/>
        <w:ind w:firstLine="560" w:firstLineChars="200"/>
        <w:rPr>
          <w:rFonts w:ascii="仿宋" w:hAnsi="仿宋" w:eastAsia="仿宋" w:cs="仿宋"/>
          <w:b/>
          <w:bCs/>
          <w:color w:val="auto"/>
          <w:kern w:val="0"/>
          <w:sz w:val="28"/>
          <w:szCs w:val="28"/>
        </w:rPr>
      </w:pPr>
      <w:bookmarkStart w:id="64" w:name="_Toc16938544"/>
      <w:bookmarkStart w:id="65" w:name="_Toc20823300"/>
      <w:bookmarkStart w:id="66" w:name="_Toc513029228"/>
      <w:r>
        <w:rPr>
          <w:rFonts w:hint="eastAsia" w:ascii="仿宋" w:hAnsi="仿宋" w:eastAsia="仿宋" w:cs="仿宋"/>
          <w:color w:val="auto"/>
          <w:kern w:val="0"/>
          <w:sz w:val="28"/>
          <w:szCs w:val="28"/>
        </w:rPr>
        <w:t>4. 响应文件的撤回和修改</w:t>
      </w:r>
      <w:bookmarkEnd w:id="64"/>
      <w:bookmarkEnd w:id="65"/>
      <w:bookmarkEnd w:id="66"/>
    </w:p>
    <w:p w14:paraId="5F617C09">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4.1 响应文件的撤回</w:t>
      </w:r>
    </w:p>
    <w:p w14:paraId="3290416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4.1.1 响应文件的撤回</w:t>
      </w:r>
    </w:p>
    <w:p w14:paraId="7252D4C6">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供应商可在响应文件提交截止时间前，书面撤回其磋商响应文件。</w:t>
      </w:r>
    </w:p>
    <w:p w14:paraId="0444311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4.1.2 供应商撤回磋商响应文件，则认为其不再参与本项目磋商活动。</w:t>
      </w:r>
    </w:p>
    <w:p w14:paraId="6883454E">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4.2 响应文件的修改</w:t>
      </w:r>
    </w:p>
    <w:p w14:paraId="11839A9A">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在响应文件提交截止时间之后，供应商不得再对其提交的响应文件进行修改。</w:t>
      </w:r>
    </w:p>
    <w:p w14:paraId="1DA3A29A">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67" w:name="_Toc20823301"/>
      <w:bookmarkStart w:id="68" w:name="_Toc120614218"/>
      <w:bookmarkStart w:id="69" w:name="_Toc513029229"/>
      <w:bookmarkStart w:id="70" w:name="_Toc16938545"/>
      <w:r>
        <w:rPr>
          <w:rFonts w:hint="eastAsia" w:ascii="仿宋" w:hAnsi="仿宋" w:eastAsia="仿宋" w:cs="仿宋"/>
          <w:b/>
          <w:bCs/>
          <w:color w:val="auto"/>
          <w:kern w:val="0"/>
          <w:sz w:val="28"/>
          <w:szCs w:val="28"/>
        </w:rPr>
        <w:t>五</w:t>
      </w:r>
      <w:bookmarkEnd w:id="67"/>
      <w:bookmarkEnd w:id="68"/>
      <w:bookmarkEnd w:id="69"/>
      <w:bookmarkEnd w:id="70"/>
      <w:bookmarkStart w:id="71" w:name="_Toc16938546"/>
      <w:bookmarkStart w:id="72" w:name="_Toc20823302"/>
      <w:bookmarkStart w:id="73" w:name="_Toc513029230"/>
      <w:r>
        <w:rPr>
          <w:rFonts w:hint="eastAsia" w:ascii="仿宋" w:hAnsi="仿宋" w:eastAsia="仿宋" w:cs="仿宋"/>
          <w:b/>
          <w:bCs/>
          <w:color w:val="auto"/>
          <w:kern w:val="0"/>
          <w:sz w:val="28"/>
          <w:szCs w:val="28"/>
        </w:rPr>
        <w:t>、磋商与评审</w:t>
      </w:r>
    </w:p>
    <w:p w14:paraId="4168EEB6">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1.磋商仪式</w:t>
      </w:r>
    </w:p>
    <w:p w14:paraId="5B29B2FC">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1.1采购代理机构将在磋商公告中规定的时间和地点组织磋商开始仪式。供应商应当在磋商公告中规定的时间和地点参加磋商活动。</w:t>
      </w:r>
    </w:p>
    <w:p w14:paraId="0726E1F7">
      <w:pPr>
        <w:adjustRightInd w:val="0"/>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bCs/>
          <w:color w:val="auto"/>
          <w:sz w:val="28"/>
          <w:szCs w:val="28"/>
        </w:rPr>
        <w:t>1.2 磋商活动的文件密封性检查工作</w:t>
      </w:r>
      <w:r>
        <w:rPr>
          <w:rFonts w:hint="eastAsia" w:ascii="仿宋" w:hAnsi="仿宋" w:eastAsia="仿宋" w:cs="仿宋"/>
          <w:color w:val="auto"/>
          <w:sz w:val="28"/>
          <w:szCs w:val="28"/>
        </w:rPr>
        <w:t>由采购代理机构组织。</w:t>
      </w:r>
    </w:p>
    <w:p w14:paraId="3C61382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1.3供应商在磋商过程中涉及到的磋商文件密封性检查、磋商结果确认等工作，按照采购代理机构指引进行。</w:t>
      </w:r>
    </w:p>
    <w:p w14:paraId="127F470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2.磋商小组</w:t>
      </w:r>
    </w:p>
    <w:p w14:paraId="38022E2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2.1磋商开始仪式结束后，采购代理机构将立即组织磋商小组进行评审。</w:t>
      </w:r>
    </w:p>
    <w:p w14:paraId="6B0852D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4F8E715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2.3磋商小组独立工作，负责评审所有响应文件并确定成交候选人。</w:t>
      </w:r>
    </w:p>
    <w:p w14:paraId="6E5F74D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 磋商评审过程的保密与公正</w:t>
      </w:r>
    </w:p>
    <w:p w14:paraId="73C574EC">
      <w:pPr>
        <w:tabs>
          <w:tab w:val="left" w:pos="900"/>
        </w:tabs>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3.1磋商小组、采购人和采购代理机构工作人员、相关监督人员等与评审工作有关的人员，对评审情况以及在评审过程中获悉的国家秘密、商业秘密负有保密责任。</w:t>
      </w:r>
    </w:p>
    <w:p w14:paraId="377A7B89">
      <w:pPr>
        <w:tabs>
          <w:tab w:val="left" w:pos="900"/>
        </w:tabs>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3.2在磋商评审过程中，磋商供应商不得以任何行为影响磋商评审过程，否则其响应文件将被作为无效响应文件。</w:t>
      </w:r>
    </w:p>
    <w:p w14:paraId="4E812752">
      <w:pPr>
        <w:tabs>
          <w:tab w:val="left" w:pos="900"/>
        </w:tabs>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DBB6946">
      <w:pPr>
        <w:tabs>
          <w:tab w:val="left" w:pos="900"/>
        </w:tabs>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3.4</w:t>
      </w:r>
      <w:r>
        <w:rPr>
          <w:rFonts w:hint="eastAsia" w:ascii="仿宋" w:hAnsi="仿宋" w:eastAsia="仿宋" w:cs="仿宋"/>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554C2C4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3.5在评审期间，采购代理机构将设专门人员与供应商联系。</w:t>
      </w:r>
    </w:p>
    <w:p w14:paraId="6BA5D1F2">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3.6采购代理机构和评审小组不向未成交的供应商解释未成交原因，也不公布评审过程中的相关细节。</w:t>
      </w:r>
    </w:p>
    <w:p w14:paraId="79AF80DC">
      <w:pPr>
        <w:tabs>
          <w:tab w:val="left" w:pos="900"/>
        </w:tabs>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4.评审过程的澄清</w:t>
      </w:r>
    </w:p>
    <w:p w14:paraId="47C9C02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4.1评审期间，为有助于对响应文件的审查、评价和比较，磋商小组有权要求响应人对其响应文件进行澄清，但并非对每个供应商都作澄清要求。</w:t>
      </w:r>
    </w:p>
    <w:p w14:paraId="28AB843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4.2接到磋商小组澄清要求的供应商应按磋商小组规定的时间和格式做出澄清，澄清的内容作为响应文件的补充部分，但实质性的内容不得做任何更改。</w:t>
      </w:r>
    </w:p>
    <w:p w14:paraId="20D0BEAE">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4.3 接到磋商小组澄清要求的供应商如未按规定做出澄清，其风</w:t>
      </w:r>
      <w:r>
        <w:rPr>
          <w:rFonts w:hint="eastAsia" w:ascii="仿宋" w:hAnsi="仿宋" w:eastAsia="仿宋" w:cs="仿宋"/>
          <w:bCs/>
          <w:color w:val="auto"/>
          <w:sz w:val="28"/>
          <w:szCs w:val="28"/>
        </w:rPr>
        <w:t>险由供应商自行承担。</w:t>
      </w:r>
    </w:p>
    <w:p w14:paraId="4F240A60">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5.对响应文件的初审</w:t>
      </w:r>
    </w:p>
    <w:p w14:paraId="6E6F0750">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5.1响应文件初审分为资格性审查和符合性审查。</w:t>
      </w:r>
    </w:p>
    <w:p w14:paraId="1D4DBD8E">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5.1.1资格性检查：依据法律法规和磋商文件的规定，由采购人对响应文件中的资格审查文件进行审查。</w:t>
      </w:r>
    </w:p>
    <w:p w14:paraId="22355CF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5.1.2符合性审查：依据磋商文件的规定，由磋商小组从响应文件的有效性、完整性和对磋商文件的响应程度进行审查，以确定是否对磋商文件的实质性要求作出响应。</w:t>
      </w:r>
    </w:p>
    <w:p w14:paraId="11B82F6D">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5.1.3未通过资格审查或符合性审查的供应商人，采购代理机构将告知未通过资格审查或符合性审查的原因，并记录存档。</w:t>
      </w:r>
    </w:p>
    <w:p w14:paraId="3B937FC3">
      <w:pPr>
        <w:tabs>
          <w:tab w:val="left" w:pos="900"/>
        </w:tabs>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71D3FC28">
      <w:pPr>
        <w:tabs>
          <w:tab w:val="left" w:pos="900"/>
        </w:tabs>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61A336BF">
      <w:pPr>
        <w:tabs>
          <w:tab w:val="left" w:pos="900"/>
        </w:tabs>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5A436E40">
      <w:pPr>
        <w:tabs>
          <w:tab w:val="left" w:pos="900"/>
        </w:tabs>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5.4磋商小组将对确定为实质性响应的文件进行进一步审核，看其是否有计算上或累加上的算术错误，修正错误的原则如下：</w:t>
      </w:r>
    </w:p>
    <w:p w14:paraId="04F4C5E9">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（1）响应文件中</w:t>
      </w:r>
      <w:r>
        <w:rPr>
          <w:rFonts w:hint="eastAsia" w:ascii="仿宋" w:hAnsi="仿宋" w:eastAsia="仿宋" w:cs="仿宋"/>
          <w:color w:val="auto"/>
          <w:kern w:val="0"/>
          <w:sz w:val="28"/>
          <w:szCs w:val="28"/>
        </w:rPr>
        <w:t>报价总表</w:t>
      </w:r>
      <w:r>
        <w:rPr>
          <w:rFonts w:hint="eastAsia" w:ascii="仿宋" w:hAnsi="仿宋" w:eastAsia="仿宋" w:cs="仿宋"/>
          <w:bCs/>
          <w:color w:val="auto"/>
          <w:sz w:val="28"/>
          <w:szCs w:val="28"/>
        </w:rPr>
        <w:t>内容与响应文件中相应内容不一致的，以</w:t>
      </w:r>
      <w:r>
        <w:rPr>
          <w:rFonts w:hint="eastAsia" w:ascii="仿宋" w:hAnsi="仿宋" w:eastAsia="仿宋" w:cs="仿宋"/>
          <w:color w:val="auto"/>
          <w:kern w:val="0"/>
          <w:sz w:val="28"/>
          <w:szCs w:val="28"/>
        </w:rPr>
        <w:t>报价总表</w:t>
      </w:r>
      <w:r>
        <w:rPr>
          <w:rFonts w:hint="eastAsia" w:ascii="仿宋" w:hAnsi="仿宋" w:eastAsia="仿宋" w:cs="仿宋"/>
          <w:bCs/>
          <w:color w:val="auto"/>
          <w:sz w:val="28"/>
          <w:szCs w:val="28"/>
        </w:rPr>
        <w:t>为准。</w:t>
      </w:r>
    </w:p>
    <w:p w14:paraId="083301D5">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（2）大写金额和小写金额不一致的，以大写金额为准。</w:t>
      </w:r>
    </w:p>
    <w:p w14:paraId="2B788C30">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（3）单价金额小数点或者百分比有明显错位的，以</w:t>
      </w:r>
      <w:r>
        <w:rPr>
          <w:rFonts w:hint="eastAsia" w:ascii="仿宋" w:hAnsi="仿宋" w:eastAsia="仿宋" w:cs="仿宋"/>
          <w:color w:val="auto"/>
          <w:kern w:val="0"/>
          <w:sz w:val="28"/>
          <w:szCs w:val="28"/>
        </w:rPr>
        <w:t>报价总表</w:t>
      </w:r>
      <w:r>
        <w:rPr>
          <w:rFonts w:hint="eastAsia" w:ascii="仿宋" w:hAnsi="仿宋" w:eastAsia="仿宋" w:cs="仿宋"/>
          <w:bCs/>
          <w:color w:val="auto"/>
          <w:sz w:val="28"/>
          <w:szCs w:val="28"/>
        </w:rPr>
        <w:t>的总价为准，并修改单价。</w:t>
      </w:r>
    </w:p>
    <w:p w14:paraId="3C6E2C45">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（4）总价金额与按单价汇总金额不一致的，以单价金额计算结果为准。</w:t>
      </w:r>
    </w:p>
    <w:p w14:paraId="5DEBFD30">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同时出现两种以上错误的，按照前款规定的顺序修正。</w:t>
      </w:r>
    </w:p>
    <w:p w14:paraId="1AE8B1BB">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5</w:t>
      </w:r>
      <w:r>
        <w:rPr>
          <w:rFonts w:hint="eastAsia" w:ascii="仿宋" w:hAnsi="仿宋" w:eastAsia="仿宋" w:cs="仿宋"/>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46726E3E">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5.6磋商小组将允许修正响应文件中不构成重大偏离的、微小的、非正规的、不一致的或不规则的地方，但这些修改不能影响任何供应商相应的名次排列。</w:t>
      </w:r>
    </w:p>
    <w:p w14:paraId="76DADDEF">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5.7</w:t>
      </w:r>
      <w:r>
        <w:rPr>
          <w:rFonts w:hint="eastAsia" w:ascii="仿宋" w:hAnsi="仿宋" w:eastAsia="仿宋" w:cs="仿宋"/>
          <w:color w:val="auto"/>
          <w:sz w:val="28"/>
          <w:szCs w:val="28"/>
        </w:rPr>
        <w:t>供应商在评审全过程中应保持通讯畅通，并安排专人与采购代理机构及磋商小组联系（适用于不见面磋商模式）。</w:t>
      </w:r>
    </w:p>
    <w:p w14:paraId="29AD6A8D">
      <w:pPr>
        <w:pStyle w:val="26"/>
        <w:ind w:firstLine="560" w:firstLineChars="200"/>
        <w:rPr>
          <w:rFonts w:ascii="仿宋" w:hAnsi="仿宋" w:eastAsia="仿宋" w:cs="仿宋"/>
          <w:color w:val="auto"/>
          <w:szCs w:val="28"/>
        </w:rPr>
      </w:pPr>
      <w:r>
        <w:rPr>
          <w:rFonts w:hint="eastAsia" w:ascii="仿宋" w:hAnsi="仿宋" w:eastAsia="仿宋" w:cs="仿宋"/>
          <w:bCs/>
          <w:color w:val="auto"/>
          <w:szCs w:val="28"/>
        </w:rPr>
        <w:t>5.8</w:t>
      </w:r>
      <w:r>
        <w:rPr>
          <w:rFonts w:hint="eastAsia" w:ascii="仿宋" w:hAnsi="仿宋" w:eastAsia="仿宋" w:cs="仿宋"/>
          <w:color w:val="auto"/>
          <w:szCs w:val="28"/>
        </w:rPr>
        <w:t>异常低价审查</w:t>
      </w:r>
    </w:p>
    <w:p w14:paraId="64C4FE33">
      <w:pPr>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5.8.1</w:t>
      </w:r>
      <w:r>
        <w:rPr>
          <w:rFonts w:hint="eastAsia" w:ascii="仿宋" w:hAnsi="仿宋" w:eastAsia="仿宋" w:cs="仿宋"/>
          <w:color w:val="auto"/>
          <w:sz w:val="28"/>
          <w:szCs w:val="28"/>
        </w:rPr>
        <w:t>根据省财政厅《关于推动解决政府采购异常低价问题相关工作的通知》（苏财购〔2025〕62号）要求，评审过程中出现下列情形之一的，评审委员会应当启动异常低价投标（响应）审查程序：</w:t>
      </w:r>
    </w:p>
    <w:p w14:paraId="567FB2A0">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（1）投标(响应)报价低于采购项目预算50%的，即投标(响应)报价&lt;采购项目预算×50%;</w:t>
      </w:r>
    </w:p>
    <w:p w14:paraId="6643518C">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（2）投标(响应)报价低于采购项目最高限价45%的，即投标(响应)报价&lt;采购项目最高限价×45%;</w:t>
      </w:r>
    </w:p>
    <w:p w14:paraId="287D035E">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（3）评审委员会认定的供应商报价过低、有可能影响产品质量或者不能诚信履约的其他情形。</w:t>
      </w:r>
    </w:p>
    <w:p w14:paraId="2AC617EE">
      <w:pPr>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5.8.2</w:t>
      </w:r>
      <w:r>
        <w:rPr>
          <w:rFonts w:hint="eastAsia" w:ascii="仿宋" w:hAnsi="仿宋" w:eastAsia="仿宋" w:cs="仿宋"/>
          <w:color w:val="auto"/>
          <w:sz w:val="28"/>
          <w:szCs w:val="28"/>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17B8CC8B">
      <w:pPr>
        <w:tabs>
          <w:tab w:val="left" w:pos="6555"/>
          <w:tab w:val="right" w:pos="8306"/>
        </w:tabs>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6.被认定为未实质性响应磋商文件的响应文件的情形。</w:t>
      </w:r>
    </w:p>
    <w:p w14:paraId="3F3DF385">
      <w:pPr>
        <w:tabs>
          <w:tab w:val="left" w:pos="6555"/>
          <w:tab w:val="right" w:pos="8306"/>
        </w:tabs>
        <w:adjustRightInd w:val="0"/>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bCs/>
          <w:color w:val="auto"/>
          <w:sz w:val="28"/>
          <w:szCs w:val="28"/>
        </w:rPr>
        <w:t>6.1出现下列情形之一的，作无效响应处理。</w:t>
      </w:r>
      <w:r>
        <w:rPr>
          <w:rFonts w:hint="eastAsia" w:ascii="仿宋" w:hAnsi="仿宋" w:eastAsia="仿宋" w:cs="仿宋"/>
          <w:bCs/>
          <w:color w:val="auto"/>
          <w:sz w:val="28"/>
          <w:szCs w:val="28"/>
        </w:rPr>
        <w:tab/>
      </w:r>
      <w:r>
        <w:rPr>
          <w:rFonts w:hint="eastAsia" w:ascii="仿宋" w:hAnsi="仿宋" w:eastAsia="仿宋" w:cs="仿宋"/>
          <w:b/>
          <w:color w:val="auto"/>
          <w:sz w:val="28"/>
          <w:szCs w:val="28"/>
        </w:rPr>
        <w:tab/>
      </w:r>
    </w:p>
    <w:p w14:paraId="58C1E4A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6.1.1供应商在规定的时间内未成功提交磋商响应文件的。</w:t>
      </w:r>
    </w:p>
    <w:p w14:paraId="467DDD0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6.1.2未完整提交响应文件的。</w:t>
      </w:r>
    </w:p>
    <w:p w14:paraId="3D03BC02">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6.1.3同一供应商提交两个（含两个）以上不同的响应报价的。</w:t>
      </w:r>
    </w:p>
    <w:p w14:paraId="08611DAA">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 xml:space="preserve">6.1.4不具备磋商文件中规定的资格要求的。 </w:t>
      </w:r>
    </w:p>
    <w:p w14:paraId="7B7204A4">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 xml:space="preserve">6.1.5响应报价超过了采购预算或最高限价的。 </w:t>
      </w:r>
    </w:p>
    <w:p w14:paraId="433AFE92">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6.1.6未通过符合性检查的。</w:t>
      </w:r>
    </w:p>
    <w:p w14:paraId="56FB9CF5">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6.1.7不符合法律、法规和磋商文件中规定的其他实质性要求的。</w:t>
      </w:r>
    </w:p>
    <w:p w14:paraId="4C83DC58">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6.1.8供应商被 “信用中国”网站（www.creditchina.gov.cn）列入失信被执行人或重大税收违法案件当事人名单，或查询“信用中国”网站后发现供应商存在其他不符合法律法规的信用记录。</w:t>
      </w:r>
    </w:p>
    <w:p w14:paraId="23917168">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6.1.9 响应文件含有采购人不能接受的附加条件的。</w:t>
      </w:r>
    </w:p>
    <w:p w14:paraId="660007BD">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6.1.10</w:t>
      </w:r>
      <w:r>
        <w:rPr>
          <w:rFonts w:hint="eastAsia" w:ascii="仿宋" w:hAnsi="仿宋" w:eastAsia="仿宋" w:cs="仿宋"/>
          <w:color w:val="auto"/>
          <w:sz w:val="28"/>
          <w:szCs w:val="28"/>
        </w:rPr>
        <w:t>启动异常低价响应审查后，供应商不提供书面说明、证明材料，或者提供的书面说明、证明材料不能证明其报价合理性的。</w:t>
      </w:r>
    </w:p>
    <w:p w14:paraId="442F1983">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6.1.11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5DDFDBBA">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6.1.12响应文件未按照采购文件要求盖章、密封的。</w:t>
      </w:r>
    </w:p>
    <w:p w14:paraId="7AE02029">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6.1.13供应商的商务技术部分得分相差悬殊，评标委员会认为得分畸低者没有实质性响应的。</w:t>
      </w:r>
    </w:p>
    <w:p w14:paraId="3B2594A8">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6.1.14其他法律、法规及本磋商文件规定的属无效响应的情形。</w:t>
      </w:r>
    </w:p>
    <w:p w14:paraId="572E63D4">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6.2出现下列情形之一的，磋商失败。</w:t>
      </w:r>
    </w:p>
    <w:p w14:paraId="0447AC4B">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6.2.1符合条件的供应商或者对磋商文件作实质响应的供应商不足3家的（市场竞争不充分的科研项目，以及需要扶持的科技成果转化项目可以是2家）；</w:t>
      </w:r>
    </w:p>
    <w:p w14:paraId="75B38629">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6.2.2出现影响采购公正的违法违规行为的；</w:t>
      </w:r>
    </w:p>
    <w:p w14:paraId="734844E4">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6.2.3因重大变故，采购任务取消的。</w:t>
      </w:r>
    </w:p>
    <w:p w14:paraId="3A4F1766">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6.2.4磋商小组认定磋商文件存在歧义、重大缺陷导致评审工作无法进行。</w:t>
      </w:r>
    </w:p>
    <w:p w14:paraId="0BC2DC8B">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6.2.5 因系统故障原因造成磋商无法继续进行的</w:t>
      </w:r>
      <w:r>
        <w:rPr>
          <w:rFonts w:hint="eastAsia" w:ascii="仿宋" w:hAnsi="仿宋" w:eastAsia="仿宋" w:cs="仿宋"/>
          <w:color w:val="auto"/>
          <w:sz w:val="28"/>
          <w:szCs w:val="28"/>
        </w:rPr>
        <w:t>（适用于不见面磋商模式）</w:t>
      </w:r>
      <w:r>
        <w:rPr>
          <w:rFonts w:hint="eastAsia" w:ascii="仿宋" w:hAnsi="仿宋" w:eastAsia="仿宋" w:cs="仿宋"/>
          <w:bCs/>
          <w:color w:val="auto"/>
          <w:sz w:val="28"/>
          <w:szCs w:val="28"/>
        </w:rPr>
        <w:t>。</w:t>
      </w:r>
    </w:p>
    <w:p w14:paraId="2483537F">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6.3 响应</w:t>
      </w:r>
      <w:r>
        <w:rPr>
          <w:rFonts w:hint="eastAsia" w:ascii="仿宋" w:hAnsi="仿宋" w:eastAsia="仿宋" w:cs="仿宋"/>
          <w:color w:val="auto"/>
          <w:sz w:val="28"/>
          <w:szCs w:val="28"/>
        </w:rPr>
        <w:t>文件提交</w:t>
      </w:r>
      <w:r>
        <w:rPr>
          <w:rFonts w:hint="eastAsia" w:ascii="仿宋" w:hAnsi="仿宋" w:eastAsia="仿宋" w:cs="仿宋"/>
          <w:bCs/>
          <w:color w:val="auto"/>
          <w:sz w:val="28"/>
          <w:szCs w:val="28"/>
        </w:rPr>
        <w:t>截止时间结束后参加磋商的供应商不足三家的处理：</w:t>
      </w:r>
    </w:p>
    <w:p w14:paraId="651AFED0">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6.3.1如出现响应</w:t>
      </w:r>
      <w:r>
        <w:rPr>
          <w:rFonts w:hint="eastAsia" w:ascii="仿宋" w:hAnsi="仿宋" w:eastAsia="仿宋" w:cs="仿宋"/>
          <w:color w:val="auto"/>
          <w:sz w:val="28"/>
          <w:szCs w:val="28"/>
        </w:rPr>
        <w:t>文件提交</w:t>
      </w:r>
      <w:r>
        <w:rPr>
          <w:rFonts w:hint="eastAsia" w:ascii="仿宋" w:hAnsi="仿宋" w:eastAsia="仿宋" w:cs="仿宋"/>
          <w:bCs/>
          <w:color w:val="auto"/>
          <w:sz w:val="28"/>
          <w:szCs w:val="28"/>
        </w:rPr>
        <w:t>截止时间结束后参加磋商的供应商或者在评审期间对磋商文件做出实质响应的供应商不足三家情况，除采购任务取消情形外，按照以下方式处理：</w:t>
      </w:r>
    </w:p>
    <w:p w14:paraId="52E85400">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1.采购文件存在不合理条款或者招标程序不符合规定的，采购人、采购代理机构改正后依法重新招标采购；</w:t>
      </w:r>
    </w:p>
    <w:p w14:paraId="4CADA52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2采购文件没有不合理条款、采购程序符合规定，需要采用其他采购人式采购的，采购人应当依法报采购监管部门批准。</w:t>
      </w:r>
    </w:p>
    <w:bookmarkEnd w:id="71"/>
    <w:bookmarkEnd w:id="72"/>
    <w:bookmarkEnd w:id="73"/>
    <w:p w14:paraId="4530E49C">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74" w:name="_Toc120614219"/>
      <w:r>
        <w:rPr>
          <w:rFonts w:hint="eastAsia" w:ascii="仿宋" w:hAnsi="仿宋" w:eastAsia="仿宋" w:cs="仿宋"/>
          <w:b/>
          <w:bCs/>
          <w:color w:val="auto"/>
          <w:kern w:val="0"/>
          <w:sz w:val="28"/>
          <w:szCs w:val="28"/>
        </w:rPr>
        <w:t>六</w:t>
      </w:r>
      <w:bookmarkEnd w:id="74"/>
      <w:r>
        <w:rPr>
          <w:rFonts w:hint="eastAsia" w:ascii="仿宋" w:hAnsi="仿宋" w:eastAsia="仿宋" w:cs="仿宋"/>
          <w:b/>
          <w:bCs/>
          <w:color w:val="auto"/>
          <w:kern w:val="0"/>
          <w:sz w:val="28"/>
          <w:szCs w:val="28"/>
        </w:rPr>
        <w:t>、成交</w:t>
      </w:r>
    </w:p>
    <w:p w14:paraId="7910A61B">
      <w:pPr>
        <w:keepNext/>
        <w:adjustRightInd w:val="0"/>
        <w:snapToGrid w:val="0"/>
        <w:spacing w:line="460" w:lineRule="exact"/>
        <w:ind w:firstLine="560" w:firstLineChars="200"/>
        <w:rPr>
          <w:rFonts w:ascii="仿宋" w:hAnsi="仿宋" w:eastAsia="仿宋" w:cs="仿宋"/>
          <w:b/>
          <w:color w:val="auto"/>
          <w:kern w:val="0"/>
          <w:sz w:val="28"/>
          <w:szCs w:val="28"/>
        </w:rPr>
      </w:pPr>
      <w:bookmarkStart w:id="75" w:name="_Toc20823310"/>
      <w:bookmarkStart w:id="76" w:name="_Toc16938554"/>
      <w:r>
        <w:rPr>
          <w:rFonts w:hint="eastAsia" w:ascii="仿宋" w:hAnsi="仿宋" w:eastAsia="仿宋" w:cs="仿宋"/>
          <w:color w:val="auto"/>
          <w:kern w:val="0"/>
          <w:sz w:val="28"/>
          <w:szCs w:val="28"/>
        </w:rPr>
        <w:t>1.确定</w:t>
      </w:r>
      <w:bookmarkEnd w:id="75"/>
      <w:bookmarkEnd w:id="76"/>
      <w:r>
        <w:rPr>
          <w:rFonts w:hint="eastAsia" w:ascii="仿宋" w:hAnsi="仿宋" w:eastAsia="仿宋" w:cs="仿宋"/>
          <w:color w:val="auto"/>
          <w:kern w:val="0"/>
          <w:sz w:val="28"/>
          <w:szCs w:val="28"/>
        </w:rPr>
        <w:t>成交单位</w:t>
      </w:r>
    </w:p>
    <w:p w14:paraId="1FFA0DCE">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 xml:space="preserve">1.1成交候选供应商的选取原则和数量见磋商文件第四部分规定。 </w:t>
      </w:r>
    </w:p>
    <w:p w14:paraId="02D29828">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1.2 采购人授权磋商小组在成交候选供应商中直接确定成交供应商。</w:t>
      </w:r>
    </w:p>
    <w:p w14:paraId="5B22071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 xml:space="preserve">1.3 </w:t>
      </w:r>
      <w:r>
        <w:rPr>
          <w:rFonts w:hint="eastAsia" w:ascii="仿宋" w:hAnsi="仿宋" w:eastAsia="仿宋" w:cs="仿宋"/>
          <w:color w:val="auto"/>
          <w:sz w:val="28"/>
          <w:szCs w:val="28"/>
        </w:rPr>
        <w:t>采购代理机构将在“南通市公安局网站”发布成交结果公告，公告期限为1个工作日。</w:t>
      </w:r>
    </w:p>
    <w:p w14:paraId="081F209B">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1.4若有充分证据证明，成交供应商出现下列情况之一的，一经查实，将被取消成交资格：</w:t>
      </w:r>
    </w:p>
    <w:p w14:paraId="50D8CBC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1.4.1提供虚假材料谋取成交的。</w:t>
      </w:r>
    </w:p>
    <w:p w14:paraId="093D598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1.4.2向采购人、采购代理机构行贿或者评审专家提供其他不正当利益的。</w:t>
      </w:r>
    </w:p>
    <w:p w14:paraId="697EB30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1.4.3恶意竞争，最终总报价明显低于其自身合理成本且又无法提供证明的。</w:t>
      </w:r>
    </w:p>
    <w:p w14:paraId="66FBC0DE">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1.4.4属于本文件规定的无效条件，但在评审过程中又未被磋商小组发现的。</w:t>
      </w:r>
    </w:p>
    <w:p w14:paraId="34369C78">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1.4.5与采购人或者其他供应商恶意串通的。</w:t>
      </w:r>
    </w:p>
    <w:p w14:paraId="682707F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1.4.6采取不正当手段诋毁、排挤其他供应商的。</w:t>
      </w:r>
    </w:p>
    <w:p w14:paraId="469EDE17">
      <w:pPr>
        <w:adjustRightInd w:val="0"/>
        <w:snapToGrid w:val="0"/>
        <w:spacing w:line="460" w:lineRule="exact"/>
        <w:ind w:firstLine="560" w:firstLineChars="200"/>
        <w:rPr>
          <w:rFonts w:ascii="仿宋" w:hAnsi="仿宋" w:eastAsia="仿宋" w:cs="仿宋"/>
          <w:color w:val="auto"/>
          <w:sz w:val="28"/>
          <w:szCs w:val="28"/>
        </w:rPr>
      </w:pPr>
      <w:bookmarkStart w:id="77" w:name="_Toc200451960"/>
      <w:r>
        <w:rPr>
          <w:rFonts w:hint="eastAsia" w:ascii="仿宋" w:hAnsi="仿宋" w:eastAsia="仿宋" w:cs="仿宋"/>
          <w:color w:val="auto"/>
          <w:sz w:val="28"/>
          <w:szCs w:val="28"/>
        </w:rPr>
        <w:t>1.5.</w:t>
      </w:r>
      <w:r>
        <w:rPr>
          <w:rFonts w:hint="eastAsia" w:ascii="仿宋" w:hAnsi="仿宋" w:eastAsia="仿宋" w:cs="仿宋"/>
          <w:color w:val="auto"/>
          <w:kern w:val="0"/>
          <w:sz w:val="28"/>
          <w:szCs w:val="28"/>
        </w:rPr>
        <w:t>有下列情形之一的，视为供应商串通参与磋商，响应无效：</w:t>
      </w:r>
    </w:p>
    <w:p w14:paraId="5EC867F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1.5.1不同供应商的响应文件由同一单位或者个人编制；</w:t>
      </w:r>
    </w:p>
    <w:p w14:paraId="1AC148E0">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1.5.2不同供应商委托同一单位或者个人办理磋商事宜；</w:t>
      </w:r>
    </w:p>
    <w:p w14:paraId="338E3AB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1.5.3不同供应商的响应文件载明的项目管理成员或者联系人员为同一人；</w:t>
      </w:r>
    </w:p>
    <w:p w14:paraId="625D944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1.5.4不同供应商的响应文件异常一致或者响应报价呈规律性差异。</w:t>
      </w:r>
    </w:p>
    <w:p w14:paraId="535939E1">
      <w:pPr>
        <w:keepNext/>
        <w:adjustRightInd w:val="0"/>
        <w:snapToGrid w:val="0"/>
        <w:spacing w:line="460" w:lineRule="exact"/>
        <w:ind w:firstLine="560" w:firstLineChars="200"/>
        <w:rPr>
          <w:rFonts w:ascii="仿宋" w:hAnsi="仿宋" w:eastAsia="仿宋" w:cs="仿宋"/>
          <w:b/>
          <w:color w:val="auto"/>
          <w:kern w:val="0"/>
          <w:sz w:val="28"/>
          <w:szCs w:val="28"/>
        </w:rPr>
      </w:pPr>
      <w:r>
        <w:rPr>
          <w:rFonts w:hint="eastAsia" w:ascii="仿宋" w:hAnsi="仿宋" w:eastAsia="仿宋" w:cs="仿宋"/>
          <w:color w:val="auto"/>
          <w:kern w:val="0"/>
          <w:sz w:val="28"/>
          <w:szCs w:val="28"/>
        </w:rPr>
        <w:t>2.质疑处理</w:t>
      </w:r>
      <w:bookmarkEnd w:id="77"/>
    </w:p>
    <w:p w14:paraId="52E81E4D">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 提出质疑的供应商应当是参与所质疑项目采购活动的供应商。潜在供应商依法获取其可质疑的磋商文件的，可以对磋商文件提出质疑。</w:t>
      </w:r>
    </w:p>
    <w:p w14:paraId="35B09A6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6E065F5E">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2.2.1</w:t>
      </w:r>
      <w:r>
        <w:rPr>
          <w:rFonts w:hint="eastAsia" w:ascii="仿宋" w:hAnsi="仿宋" w:eastAsia="仿宋" w:cs="仿宋"/>
          <w:color w:val="auto"/>
          <w:kern w:val="0"/>
          <w:sz w:val="28"/>
          <w:szCs w:val="28"/>
        </w:rPr>
        <w:t>对可以质疑的磋商文件提出质疑的，为收到磋商文件之日或者磋商文件公告期限届满之日；</w:t>
      </w:r>
    </w:p>
    <w:p w14:paraId="34AE9463">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2.2.2</w:t>
      </w:r>
      <w:r>
        <w:rPr>
          <w:rFonts w:hint="eastAsia" w:ascii="仿宋" w:hAnsi="仿宋" w:eastAsia="仿宋" w:cs="仿宋"/>
          <w:color w:val="auto"/>
          <w:kern w:val="0"/>
          <w:sz w:val="28"/>
          <w:szCs w:val="28"/>
        </w:rPr>
        <w:t>对采购过程提出质疑的，为各采购程序环节结束之日；</w:t>
      </w:r>
    </w:p>
    <w:p w14:paraId="7CC109A3">
      <w:pPr>
        <w:adjustRightInd w:val="0"/>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58C666F8">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2.2.3</w:t>
      </w:r>
      <w:r>
        <w:rPr>
          <w:rFonts w:hint="eastAsia" w:ascii="仿宋" w:hAnsi="仿宋" w:eastAsia="仿宋" w:cs="仿宋"/>
          <w:color w:val="auto"/>
          <w:kern w:val="0"/>
          <w:sz w:val="28"/>
          <w:szCs w:val="28"/>
        </w:rPr>
        <w:t>对成交结果提出质疑的，为成交结果公告期限届满之日。</w:t>
      </w:r>
    </w:p>
    <w:p w14:paraId="19B90320">
      <w:pPr>
        <w:adjustRightInd w:val="0"/>
        <w:snapToGrid w:val="0"/>
        <w:spacing w:line="46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供应商应当在法定质疑期内一次性提出针对同一采购程序环节的质疑。</w:t>
      </w:r>
    </w:p>
    <w:p w14:paraId="3AD2F83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270412E3">
      <w:pPr>
        <w:adjustRightInd w:val="0"/>
        <w:snapToGrid w:val="0"/>
        <w:spacing w:line="46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人或采购代理机构负责答复。</w:t>
      </w:r>
    </w:p>
    <w:p w14:paraId="485D44ED">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供应商提起质疑采取书面形式，可以现场送达，也可以邮寄。</w:t>
      </w:r>
    </w:p>
    <w:p w14:paraId="5B87B4A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采购人质疑接收人及联系方式，见磋商文件第一部分。</w:t>
      </w:r>
    </w:p>
    <w:p w14:paraId="3E4993DD">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 以下情形的质疑不予受理</w:t>
      </w:r>
    </w:p>
    <w:p w14:paraId="4FCBF130">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2.5.1 内容不符合法律法规的质疑。</w:t>
      </w:r>
    </w:p>
    <w:p w14:paraId="66D93F7A">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2.5.2 超出法定期限的质疑。</w:t>
      </w:r>
    </w:p>
    <w:p w14:paraId="57D98822">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2.5.3 未参加磋商活动的供应商或在磋商活动中自身权益未受到损害的供应商所提出的质疑。</w:t>
      </w:r>
    </w:p>
    <w:p w14:paraId="158EBC5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2.5.4供应商组成联合体参加磋商，联合体中任何一方或多方未按要求签字、盖章、加盖公章的质疑。</w:t>
      </w:r>
    </w:p>
    <w:p w14:paraId="5CE1941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450DAD7F">
      <w:pPr>
        <w:keepNext/>
        <w:adjustRightInd w:val="0"/>
        <w:snapToGrid w:val="0"/>
        <w:spacing w:line="460" w:lineRule="exact"/>
        <w:ind w:firstLine="560" w:firstLineChars="200"/>
        <w:rPr>
          <w:rFonts w:ascii="仿宋" w:hAnsi="仿宋" w:eastAsia="仿宋" w:cs="仿宋"/>
          <w:b/>
          <w:color w:val="auto"/>
          <w:kern w:val="0"/>
          <w:sz w:val="28"/>
          <w:szCs w:val="28"/>
        </w:rPr>
      </w:pPr>
      <w:r>
        <w:rPr>
          <w:rFonts w:hint="eastAsia" w:ascii="仿宋" w:hAnsi="仿宋" w:eastAsia="仿宋" w:cs="仿宋"/>
          <w:color w:val="auto"/>
          <w:kern w:val="0"/>
          <w:sz w:val="28"/>
          <w:szCs w:val="28"/>
        </w:rPr>
        <w:t>3．成交通知书</w:t>
      </w:r>
    </w:p>
    <w:p w14:paraId="1F27A75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3.l成交结果确定后，采购人将向成交供应商发出成交通知书。成交供应商应在成交结果公告期满后5个工作日内到采购代理机构办理领取成交通知书手续，否则，由此产生的后果供应商自负。</w:t>
      </w:r>
    </w:p>
    <w:p w14:paraId="41F23E6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0B62FB02">
      <w:pPr>
        <w:keepNext/>
        <w:keepLines/>
        <w:adjustRightInd w:val="0"/>
        <w:snapToGrid w:val="0"/>
        <w:spacing w:line="460" w:lineRule="exact"/>
        <w:ind w:firstLine="562" w:firstLineChars="200"/>
        <w:outlineLvl w:val="1"/>
        <w:rPr>
          <w:rFonts w:ascii="仿宋" w:hAnsi="仿宋" w:eastAsia="仿宋" w:cs="仿宋"/>
          <w:b/>
          <w:bCs/>
          <w:color w:val="auto"/>
          <w:kern w:val="0"/>
          <w:sz w:val="28"/>
          <w:szCs w:val="28"/>
        </w:rPr>
      </w:pPr>
      <w:bookmarkStart w:id="78" w:name="_Toc120614220"/>
      <w:bookmarkStart w:id="79" w:name="_Toc513029236"/>
      <w:bookmarkStart w:id="80" w:name="_Toc20823308"/>
      <w:bookmarkStart w:id="81" w:name="_Toc16938552"/>
      <w:r>
        <w:rPr>
          <w:rFonts w:hint="eastAsia" w:ascii="仿宋" w:hAnsi="仿宋" w:eastAsia="仿宋" w:cs="仿宋"/>
          <w:b/>
          <w:bCs/>
          <w:color w:val="auto"/>
          <w:kern w:val="0"/>
          <w:sz w:val="28"/>
          <w:szCs w:val="28"/>
        </w:rPr>
        <w:t>七、授予合同</w:t>
      </w:r>
      <w:bookmarkEnd w:id="78"/>
    </w:p>
    <w:bookmarkEnd w:id="79"/>
    <w:bookmarkEnd w:id="80"/>
    <w:bookmarkEnd w:id="81"/>
    <w:p w14:paraId="51D6AD04">
      <w:pPr>
        <w:keepNext/>
        <w:adjustRightInd w:val="0"/>
        <w:snapToGrid w:val="0"/>
        <w:spacing w:line="460" w:lineRule="exact"/>
        <w:ind w:firstLine="560" w:firstLineChars="200"/>
        <w:rPr>
          <w:rFonts w:ascii="仿宋" w:hAnsi="仿宋" w:eastAsia="仿宋" w:cs="仿宋"/>
          <w:b/>
          <w:color w:val="auto"/>
          <w:kern w:val="0"/>
          <w:sz w:val="28"/>
          <w:szCs w:val="28"/>
        </w:rPr>
      </w:pPr>
      <w:bookmarkStart w:id="82" w:name="_Toc16938553"/>
      <w:bookmarkStart w:id="83" w:name="_Toc20823309"/>
      <w:bookmarkStart w:id="84" w:name="_Toc513029237"/>
      <w:r>
        <w:rPr>
          <w:rFonts w:hint="eastAsia" w:ascii="仿宋" w:hAnsi="仿宋" w:eastAsia="仿宋" w:cs="仿宋"/>
          <w:color w:val="auto"/>
          <w:kern w:val="0"/>
          <w:sz w:val="28"/>
          <w:szCs w:val="28"/>
        </w:rPr>
        <w:t>1.签订合同</w:t>
      </w:r>
    </w:p>
    <w:p w14:paraId="68D82095">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.l成交供应商应当在成交通知书发出之日起三十日内，按照磋商文件确定的事项与采购人签订采购合同。</w:t>
      </w:r>
    </w:p>
    <w:p w14:paraId="7AF31CBC">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1.2磋商文件、成交供应商的响应文件及磋商过程中有关澄清、承诺文件均应作为合同附件。</w:t>
      </w:r>
    </w:p>
    <w:p w14:paraId="06D0D9D2">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签订合同后，成交供应商不得将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bookmarkEnd w:id="82"/>
    <w:bookmarkEnd w:id="83"/>
    <w:bookmarkEnd w:id="84"/>
    <w:p w14:paraId="472D75F8">
      <w:pPr>
        <w:adjustRightInd w:val="0"/>
        <w:snapToGrid w:val="0"/>
        <w:spacing w:line="600" w:lineRule="exact"/>
        <w:jc w:val="center"/>
        <w:outlineLvl w:val="0"/>
        <w:rPr>
          <w:rFonts w:ascii="仿宋" w:hAnsi="仿宋" w:eastAsia="仿宋" w:cs="仿宋"/>
          <w:color w:val="auto"/>
          <w:sz w:val="28"/>
          <w:szCs w:val="28"/>
        </w:rPr>
      </w:pPr>
      <w:r>
        <w:rPr>
          <w:rFonts w:hint="eastAsia" w:ascii="仿宋" w:hAnsi="仿宋" w:eastAsia="仿宋" w:cs="仿宋"/>
          <w:bCs/>
          <w:color w:val="auto"/>
          <w:sz w:val="36"/>
          <w:szCs w:val="36"/>
        </w:rPr>
        <w:br w:type="page"/>
      </w:r>
      <w:r>
        <w:rPr>
          <w:rFonts w:hint="eastAsia" w:ascii="仿宋" w:hAnsi="仿宋" w:eastAsia="仿宋" w:cs="仿宋"/>
          <w:b/>
          <w:color w:val="auto"/>
          <w:sz w:val="36"/>
          <w:szCs w:val="36"/>
        </w:rPr>
        <w:t>第三部分 项目需求</w:t>
      </w:r>
    </w:p>
    <w:p w14:paraId="45F8EA2D">
      <w:pPr>
        <w:adjustRightInd w:val="0"/>
        <w:snapToGrid w:val="0"/>
        <w:spacing w:line="4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B1C24E6">
      <w:pPr>
        <w:widowControl/>
        <w:shd w:val="clear" w:color="auto" w:fill="FFFFFF"/>
        <w:adjustRightInd w:val="0"/>
        <w:snapToGrid w:val="0"/>
        <w:spacing w:line="520" w:lineRule="exact"/>
        <w:ind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一、项目背景</w:t>
      </w:r>
    </w:p>
    <w:p w14:paraId="6A4CD25A">
      <w:pPr>
        <w:widowControl/>
        <w:shd w:val="clear" w:color="auto" w:fill="FFFFFF"/>
        <w:spacing w:line="520" w:lineRule="exact"/>
        <w:ind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1、项目简介：为提升如东小洋口考训场综合服务能力和规范化管理水平，对食堂、供水管道、大型汽车科目三考场等进行改造升级。</w:t>
      </w:r>
    </w:p>
    <w:p w14:paraId="2745CCFE">
      <w:pPr>
        <w:widowControl/>
        <w:shd w:val="clear" w:color="auto" w:fill="FFFFFF"/>
        <w:spacing w:line="520" w:lineRule="exact"/>
        <w:ind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项目招标内容：项目范围内的地形勘察测量、管线物探；考场范围内的供水管道维修更新、食堂（厨房餐厅）的改造装修、大型汽车科目三考场候考区域的改造装修等工程的方案设计、施工图设计；施工阶段设计服务及后续服务等。</w:t>
      </w:r>
    </w:p>
    <w:p w14:paraId="57B3DE00">
      <w:pPr>
        <w:widowControl/>
        <w:shd w:val="clear" w:color="auto" w:fill="FFFFFF"/>
        <w:spacing w:line="520" w:lineRule="exact"/>
        <w:ind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3、工程规模：总投资约366万元，其中，食堂改造装修约9万元，考场候区改造装修约55万元，供水管道维修更新约302万元。</w:t>
      </w:r>
    </w:p>
    <w:p w14:paraId="676A0C0F">
      <w:pPr>
        <w:widowControl/>
        <w:shd w:val="clear" w:color="auto" w:fill="FFFFFF"/>
        <w:adjustRightInd w:val="0"/>
        <w:snapToGrid w:val="0"/>
        <w:spacing w:line="520" w:lineRule="exact"/>
        <w:ind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二、工程范围</w:t>
      </w:r>
    </w:p>
    <w:p w14:paraId="05F22E78">
      <w:pPr>
        <w:widowControl/>
        <w:shd w:val="clear" w:color="auto" w:fill="FFFFFF"/>
        <w:spacing w:line="520" w:lineRule="exact"/>
        <w:ind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考场范围内的供水管道提升改造、厨房餐厅的改造与装修、候考区域的改造与装修。</w:t>
      </w:r>
    </w:p>
    <w:p w14:paraId="14F68054">
      <w:pPr>
        <w:widowControl/>
        <w:shd w:val="clear" w:color="auto" w:fill="FFFFFF"/>
        <w:spacing w:line="520" w:lineRule="exact"/>
        <w:ind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kern w:val="0"/>
          <w:sz w:val="28"/>
          <w:szCs w:val="28"/>
        </w:rPr>
        <w:t>三、设计内容及要求</w:t>
      </w:r>
    </w:p>
    <w:p w14:paraId="24E48693">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1、设计内容包括项目的前期勘察测量、必要的地下管线物探。</w:t>
      </w:r>
    </w:p>
    <w:p w14:paraId="7036C046">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2、针对招标内容制定有针对性的生活以及消防供水管道提升改造方案、厨房、餐厅、候考室的改造与装修方案。</w:t>
      </w:r>
    </w:p>
    <w:p w14:paraId="656F0CB6">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3、供水管道更新区域道路路面恢复等相关设计。</w:t>
      </w:r>
    </w:p>
    <w:p w14:paraId="71C22D9E">
      <w:pPr>
        <w:widowControl/>
        <w:shd w:val="clear" w:color="auto" w:fill="FFFFFF"/>
        <w:spacing w:line="520" w:lineRule="exact"/>
        <w:ind w:firstLineChars="200"/>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四、设计深度要求</w:t>
      </w:r>
    </w:p>
    <w:p w14:paraId="45DFF26F">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设计按现行有关专业规范、强制性条文及建设单位提供的有关文件精神执行。</w:t>
      </w:r>
    </w:p>
    <w:p w14:paraId="527E6F1E">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所有设计文件应保证质量合格，符合国家及行业现行规范要求，设计成果必须通过建设单位审查。</w:t>
      </w:r>
    </w:p>
    <w:p w14:paraId="12312C5A">
      <w:pPr>
        <w:widowControl/>
        <w:shd w:val="clear" w:color="auto" w:fill="FFFFFF"/>
        <w:spacing w:line="520" w:lineRule="exact"/>
        <w:ind w:firstLineChars="200"/>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五、设计周期</w:t>
      </w:r>
    </w:p>
    <w:p w14:paraId="2DD90E44">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1、中标后，根据发包人提出的方案设计开始起，20日历天内向发包人提交方案成果及相关所需材料，其中包括完成测量、物探等所需前期工作；</w:t>
      </w:r>
    </w:p>
    <w:p w14:paraId="5BCF384E">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2、施工图设计阶段：方案通过后20日历天内向发包人提交施工图设计等所需材料；</w:t>
      </w:r>
    </w:p>
    <w:p w14:paraId="45614524">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3、后续服务：施工开始至工程竣工验收止，施工图设计文件应满足施工图设计深度及进度要求。此外，乙方负责设计文件审查期间、施工招标期间、施工期间、完工验收及后评价等各阶段的服务工作。</w:t>
      </w:r>
    </w:p>
    <w:p w14:paraId="58DB796A">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注：专家及相关部门审查时间另算，评审之后中标人调整时间不得超过7日历天，对于调整的大方案，调整时间可以另行协商。</w:t>
      </w:r>
    </w:p>
    <w:p w14:paraId="0270721C">
      <w:pPr>
        <w:widowControl/>
        <w:shd w:val="clear" w:color="auto" w:fill="FFFFFF"/>
        <w:spacing w:line="520" w:lineRule="exact"/>
        <w:ind w:firstLineChars="200"/>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六、成果要求</w:t>
      </w:r>
    </w:p>
    <w:p w14:paraId="2966749B">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设计成果包含但不限于以下内容：</w:t>
      </w:r>
    </w:p>
    <w:p w14:paraId="46739F27">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（1）方案设计</w:t>
      </w:r>
    </w:p>
    <w:p w14:paraId="4470A7CE">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（2）施工图设计</w:t>
      </w:r>
    </w:p>
    <w:p w14:paraId="6C3BEC44">
      <w:pPr>
        <w:widowControl/>
        <w:spacing w:line="520" w:lineRule="exact"/>
        <w:ind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纸质文件：各阶段设计成果文本8套，施工图成果文本8套，工程勘察测量等报告各8套。</w:t>
      </w:r>
    </w:p>
    <w:p w14:paraId="54D41947">
      <w:pPr>
        <w:widowControl/>
        <w:spacing w:line="520" w:lineRule="exact"/>
        <w:ind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电子文件：提交的设计成果应提供相应的电子版文件。图纸文件使用AutoCAD格式（未加密）的DWG文件（同步提交PDF格式文件）；图像文件使用PSD或JPG格式；文本文件使用Microsoft WORD格式；计算机多媒体汇报演示文件应使用常见格式。</w:t>
      </w:r>
    </w:p>
    <w:p w14:paraId="24FB708B">
      <w:pPr>
        <w:widowControl/>
        <w:spacing w:line="520" w:lineRule="exact"/>
        <w:ind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七、付款方式</w:t>
      </w:r>
    </w:p>
    <w:p w14:paraId="2E03213A">
      <w:pPr>
        <w:widowControl/>
        <w:spacing w:line="520" w:lineRule="exact"/>
        <w:ind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设计成果提交经采购人确定，并验收合格后支付合同价的 50%，施工项目竣工验收合格后付至该项目合同价的100%。</w:t>
      </w:r>
    </w:p>
    <w:p w14:paraId="7E02E530">
      <w:pPr>
        <w:widowControl/>
        <w:spacing w:line="520" w:lineRule="exact"/>
        <w:ind w:firstLine="560" w:firstLineChars="200"/>
        <w:jc w:val="center"/>
        <w:rPr>
          <w:rFonts w:ascii="仿宋" w:hAnsi="仿宋" w:eastAsia="仿宋" w:cs="仿宋"/>
          <w:b/>
          <w:color w:val="auto"/>
          <w:sz w:val="32"/>
          <w:szCs w:val="32"/>
        </w:rPr>
      </w:pPr>
      <w:r>
        <w:rPr>
          <w:rFonts w:hint="eastAsia" w:ascii="仿宋" w:hAnsi="仿宋" w:eastAsia="仿宋" w:cs="仿宋"/>
          <w:color w:val="auto"/>
          <w:kern w:val="0"/>
          <w:sz w:val="28"/>
          <w:szCs w:val="28"/>
        </w:rPr>
        <w:br w:type="page"/>
      </w:r>
      <w:r>
        <w:rPr>
          <w:rFonts w:hint="eastAsia" w:ascii="仿宋" w:hAnsi="仿宋" w:eastAsia="仿宋" w:cs="仿宋"/>
          <w:b/>
          <w:color w:val="auto"/>
          <w:sz w:val="36"/>
          <w:szCs w:val="36"/>
        </w:rPr>
        <w:t>第四部分 评审方法和评审标准</w:t>
      </w:r>
    </w:p>
    <w:p w14:paraId="545556FC">
      <w:pPr>
        <w:adjustRightInd w:val="0"/>
        <w:snapToGrid w:val="0"/>
        <w:spacing w:line="460" w:lineRule="exact"/>
        <w:ind w:firstLine="562" w:firstLineChars="200"/>
        <w:jc w:val="left"/>
        <w:textAlignment w:val="baseline"/>
        <w:outlineLvl w:val="1"/>
        <w:rPr>
          <w:rFonts w:ascii="仿宋" w:hAnsi="仿宋" w:eastAsia="仿宋" w:cs="仿宋"/>
          <w:b/>
          <w:color w:val="auto"/>
          <w:sz w:val="28"/>
          <w:szCs w:val="28"/>
        </w:rPr>
      </w:pPr>
      <w:r>
        <w:rPr>
          <w:rFonts w:hint="eastAsia" w:ascii="仿宋" w:hAnsi="仿宋" w:eastAsia="仿宋" w:cs="仿宋"/>
          <w:b/>
          <w:color w:val="auto"/>
          <w:sz w:val="28"/>
          <w:szCs w:val="28"/>
        </w:rPr>
        <w:t>一、</w:t>
      </w:r>
      <w:r>
        <w:rPr>
          <w:rFonts w:hint="eastAsia" w:ascii="仿宋" w:hAnsi="仿宋" w:eastAsia="仿宋" w:cs="仿宋"/>
          <w:bCs/>
          <w:color w:val="auto"/>
          <w:sz w:val="28"/>
          <w:szCs w:val="28"/>
        </w:rPr>
        <w:t>磋商方式</w:t>
      </w:r>
    </w:p>
    <w:p w14:paraId="65B2074E">
      <w:pPr>
        <w:tabs>
          <w:tab w:val="left" w:pos="3585"/>
        </w:tabs>
        <w:adjustRightInd w:val="0"/>
        <w:snapToGrid w:val="0"/>
        <w:spacing w:line="460" w:lineRule="exact"/>
        <w:ind w:firstLine="537" w:firstLineChars="192"/>
        <w:rPr>
          <w:rFonts w:ascii="仿宋" w:hAnsi="仿宋" w:eastAsia="仿宋" w:cs="仿宋"/>
          <w:color w:val="auto"/>
          <w:sz w:val="28"/>
          <w:szCs w:val="28"/>
        </w:rPr>
      </w:pPr>
      <w:r>
        <w:rPr>
          <w:rFonts w:hint="eastAsia" w:ascii="仿宋" w:hAnsi="仿宋" w:eastAsia="仿宋" w:cs="仿宋"/>
          <w:color w:val="auto"/>
          <w:sz w:val="28"/>
          <w:szCs w:val="28"/>
        </w:rPr>
        <w:t>见面磋商模式：供应商在采购文件规定的时间和地点参加磋商活动。</w:t>
      </w:r>
    </w:p>
    <w:p w14:paraId="7CA150AA">
      <w:pPr>
        <w:adjustRightInd w:val="0"/>
        <w:snapToGrid w:val="0"/>
        <w:spacing w:line="460" w:lineRule="exact"/>
        <w:ind w:firstLine="562" w:firstLineChars="200"/>
        <w:jc w:val="left"/>
        <w:textAlignment w:val="baseline"/>
        <w:outlineLvl w:val="1"/>
        <w:rPr>
          <w:rFonts w:ascii="仿宋" w:hAnsi="仿宋" w:eastAsia="仿宋" w:cs="仿宋"/>
          <w:color w:val="auto"/>
          <w:sz w:val="28"/>
          <w:szCs w:val="28"/>
        </w:rPr>
      </w:pPr>
      <w:r>
        <w:rPr>
          <w:rFonts w:hint="eastAsia" w:ascii="仿宋" w:hAnsi="仿宋" w:eastAsia="仿宋" w:cs="仿宋"/>
          <w:b/>
          <w:color w:val="auto"/>
          <w:sz w:val="28"/>
          <w:szCs w:val="28"/>
        </w:rPr>
        <w:t>二、</w:t>
      </w:r>
      <w:r>
        <w:rPr>
          <w:rFonts w:hint="eastAsia" w:ascii="仿宋" w:hAnsi="仿宋" w:eastAsia="仿宋" w:cs="仿宋"/>
          <w:color w:val="auto"/>
          <w:sz w:val="28"/>
          <w:szCs w:val="28"/>
        </w:rPr>
        <w:t>磋商程序及评审方法和标准</w:t>
      </w:r>
    </w:p>
    <w:p w14:paraId="26586997">
      <w:pPr>
        <w:adjustRightInd w:val="0"/>
        <w:snapToGrid w:val="0"/>
        <w:spacing w:line="460" w:lineRule="exact"/>
        <w:ind w:firstLine="691" w:firstLineChars="247"/>
        <w:rPr>
          <w:rFonts w:ascii="仿宋" w:hAnsi="仿宋" w:eastAsia="仿宋" w:cs="仿宋"/>
          <w:bCs/>
          <w:color w:val="auto"/>
          <w:sz w:val="28"/>
          <w:szCs w:val="28"/>
        </w:rPr>
      </w:pPr>
      <w:r>
        <w:rPr>
          <w:rFonts w:hint="eastAsia" w:ascii="仿宋" w:hAnsi="仿宋" w:eastAsia="仿宋" w:cs="仿宋"/>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41E1E455">
      <w:pPr>
        <w:adjustRightInd w:val="0"/>
        <w:snapToGrid w:val="0"/>
        <w:spacing w:line="460" w:lineRule="exact"/>
        <w:ind w:firstLine="700" w:firstLineChars="250"/>
        <w:rPr>
          <w:rFonts w:ascii="仿宋" w:hAnsi="仿宋" w:eastAsia="仿宋" w:cs="仿宋"/>
          <w:bCs/>
          <w:color w:val="auto"/>
          <w:sz w:val="28"/>
          <w:szCs w:val="28"/>
        </w:rPr>
      </w:pPr>
      <w:r>
        <w:rPr>
          <w:rFonts w:hint="eastAsia" w:ascii="仿宋" w:hAnsi="仿宋" w:eastAsia="仿宋" w:cs="仿宋"/>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A9AA5FE">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33884FC8">
      <w:pPr>
        <w:adjustRightInd w:val="0"/>
        <w:snapToGrid w:val="0"/>
        <w:spacing w:line="460" w:lineRule="exact"/>
        <w:ind w:firstLine="555"/>
        <w:rPr>
          <w:rFonts w:ascii="仿宋" w:hAnsi="仿宋" w:eastAsia="仿宋" w:cs="仿宋"/>
          <w:color w:val="auto"/>
          <w:sz w:val="28"/>
          <w:szCs w:val="28"/>
        </w:rPr>
      </w:pPr>
      <w:r>
        <w:rPr>
          <w:rFonts w:hint="eastAsia" w:ascii="仿宋" w:hAnsi="仿宋" w:eastAsia="仿宋" w:cs="仿宋"/>
          <w:color w:val="auto"/>
          <w:sz w:val="28"/>
          <w:szCs w:val="28"/>
        </w:rPr>
        <w:t>供应商商务、技术部分和价格部分的合计分值，为该供应商的评审总得分。</w:t>
      </w:r>
    </w:p>
    <w:p w14:paraId="61BF6189">
      <w:pPr>
        <w:adjustRightInd w:val="0"/>
        <w:snapToGrid w:val="0"/>
        <w:spacing w:line="460" w:lineRule="exact"/>
        <w:ind w:firstLine="555"/>
        <w:rPr>
          <w:rFonts w:ascii="仿宋" w:hAnsi="仿宋" w:eastAsia="仿宋" w:cs="仿宋"/>
          <w:color w:val="auto"/>
          <w:sz w:val="28"/>
          <w:szCs w:val="28"/>
        </w:rPr>
      </w:pPr>
      <w:r>
        <w:rPr>
          <w:rFonts w:hint="eastAsia" w:ascii="仿宋" w:hAnsi="仿宋" w:eastAsia="仿宋" w:cs="仿宋"/>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02240E06">
      <w:pPr>
        <w:adjustRightInd w:val="0"/>
        <w:snapToGrid w:val="0"/>
        <w:spacing w:line="460" w:lineRule="exact"/>
        <w:ind w:firstLine="555"/>
        <w:rPr>
          <w:rFonts w:ascii="仿宋" w:hAnsi="仿宋" w:eastAsia="仿宋" w:cs="仿宋"/>
          <w:color w:val="auto"/>
          <w:sz w:val="28"/>
          <w:szCs w:val="28"/>
        </w:rPr>
      </w:pPr>
      <w:r>
        <w:rPr>
          <w:rFonts w:hint="eastAsia" w:ascii="仿宋" w:hAnsi="仿宋" w:eastAsia="仿宋" w:cs="仿宋"/>
          <w:color w:val="auto"/>
          <w:sz w:val="28"/>
          <w:szCs w:val="28"/>
        </w:rPr>
        <w:t>评委在认真审阅响应文件的基础上，根据各响应文件的响应程度独立评判，不得统一打分。</w:t>
      </w:r>
    </w:p>
    <w:p w14:paraId="544AED47">
      <w:pPr>
        <w:adjustRightInd w:val="0"/>
        <w:snapToGrid w:val="0"/>
        <w:spacing w:line="460" w:lineRule="exact"/>
        <w:ind w:firstLine="555"/>
        <w:rPr>
          <w:rFonts w:ascii="仿宋" w:hAnsi="仿宋" w:eastAsia="仿宋" w:cs="仿宋"/>
          <w:color w:val="auto"/>
          <w:sz w:val="28"/>
          <w:szCs w:val="28"/>
        </w:rPr>
      </w:pPr>
      <w:r>
        <w:rPr>
          <w:rFonts w:hint="eastAsia" w:ascii="仿宋" w:hAnsi="仿宋" w:eastAsia="仿宋" w:cs="仿宋"/>
          <w:color w:val="auto"/>
          <w:sz w:val="28"/>
          <w:szCs w:val="28"/>
        </w:rPr>
        <w:t>技术商务部分评审结束后，再开启最后报价计算分值。总分值为100分，加分和减分因素除外。</w:t>
      </w:r>
    </w:p>
    <w:p w14:paraId="3DAB6460">
      <w:pPr>
        <w:adjustRightInd w:val="0"/>
        <w:snapToGrid w:val="0"/>
        <w:spacing w:line="460" w:lineRule="exact"/>
        <w:ind w:firstLine="579" w:firstLineChars="206"/>
        <w:outlineLvl w:val="2"/>
        <w:rPr>
          <w:rFonts w:ascii="仿宋" w:hAnsi="仿宋" w:eastAsia="仿宋" w:cs="仿宋"/>
          <w:b/>
          <w:color w:val="auto"/>
          <w:sz w:val="28"/>
          <w:szCs w:val="28"/>
        </w:rPr>
      </w:pPr>
      <w:r>
        <w:rPr>
          <w:rFonts w:hint="eastAsia" w:ascii="仿宋" w:hAnsi="仿宋" w:eastAsia="仿宋" w:cs="仿宋"/>
          <w:b/>
          <w:color w:val="auto"/>
          <w:sz w:val="28"/>
          <w:szCs w:val="28"/>
        </w:rPr>
        <w:t>（一）采购人（代表）对供应商资格进行审查。</w:t>
      </w:r>
    </w:p>
    <w:p w14:paraId="3990AB02">
      <w:pPr>
        <w:adjustRightInd w:val="0"/>
        <w:snapToGrid w:val="0"/>
        <w:spacing w:line="460" w:lineRule="exact"/>
        <w:ind w:firstLine="576" w:firstLineChars="206"/>
        <w:rPr>
          <w:rFonts w:ascii="仿宋" w:hAnsi="仿宋" w:eastAsia="仿宋" w:cs="仿宋"/>
          <w:color w:val="auto"/>
          <w:kern w:val="0"/>
          <w:sz w:val="28"/>
          <w:szCs w:val="28"/>
        </w:rPr>
      </w:pPr>
      <w:r>
        <w:rPr>
          <w:rFonts w:hint="eastAsia" w:ascii="仿宋" w:hAnsi="仿宋" w:eastAsia="仿宋" w:cs="仿宋"/>
          <w:color w:val="auto"/>
          <w:kern w:val="0"/>
          <w:sz w:val="28"/>
          <w:szCs w:val="28"/>
        </w:rPr>
        <w:t>供应商资格不合格的，其响应文件判定为无效响应文件。</w:t>
      </w:r>
    </w:p>
    <w:p w14:paraId="689A6EE9">
      <w:pPr>
        <w:adjustRightInd w:val="0"/>
        <w:snapToGrid w:val="0"/>
        <w:spacing w:line="460" w:lineRule="exact"/>
        <w:ind w:firstLine="579" w:firstLineChars="206"/>
        <w:outlineLvl w:val="2"/>
        <w:rPr>
          <w:rFonts w:ascii="仿宋" w:hAnsi="仿宋" w:eastAsia="仿宋" w:cs="仿宋"/>
          <w:b/>
          <w:color w:val="auto"/>
          <w:sz w:val="28"/>
          <w:szCs w:val="28"/>
        </w:rPr>
      </w:pPr>
      <w:r>
        <w:rPr>
          <w:rFonts w:hint="eastAsia" w:ascii="仿宋" w:hAnsi="仿宋" w:eastAsia="仿宋" w:cs="仿宋"/>
          <w:b/>
          <w:color w:val="auto"/>
          <w:sz w:val="28"/>
          <w:szCs w:val="28"/>
        </w:rPr>
        <w:t>（二）磋商小组对符合资格供应商的响应文件进行符合性审查。</w:t>
      </w:r>
    </w:p>
    <w:p w14:paraId="69A8823E">
      <w:pPr>
        <w:adjustRightInd w:val="0"/>
        <w:snapToGrid w:val="0"/>
        <w:spacing w:line="460" w:lineRule="exact"/>
        <w:ind w:firstLine="576" w:firstLineChars="206"/>
        <w:rPr>
          <w:rFonts w:ascii="仿宋" w:hAnsi="仿宋" w:eastAsia="仿宋" w:cs="仿宋"/>
          <w:color w:val="auto"/>
          <w:kern w:val="0"/>
          <w:sz w:val="28"/>
          <w:szCs w:val="28"/>
        </w:rPr>
      </w:pPr>
      <w:r>
        <w:rPr>
          <w:rFonts w:hint="eastAsia" w:ascii="仿宋" w:hAnsi="仿宋" w:eastAsia="仿宋" w:cs="仿宋"/>
          <w:color w:val="auto"/>
          <w:kern w:val="0"/>
          <w:sz w:val="28"/>
          <w:szCs w:val="28"/>
        </w:rPr>
        <w:t xml:space="preserve">未通过符合性审查的响应文件，将被判为不满足磋商文件实质性要求。 </w:t>
      </w:r>
    </w:p>
    <w:p w14:paraId="1B0BBE16">
      <w:pPr>
        <w:adjustRightInd w:val="0"/>
        <w:snapToGrid w:val="0"/>
        <w:spacing w:line="460" w:lineRule="exact"/>
        <w:ind w:firstLine="560" w:firstLineChars="200"/>
        <w:jc w:val="left"/>
        <w:outlineLvl w:val="2"/>
        <w:rPr>
          <w:rFonts w:ascii="仿宋" w:hAnsi="仿宋" w:eastAsia="仿宋" w:cs="仿宋"/>
          <w:color w:val="auto"/>
          <w:sz w:val="28"/>
          <w:szCs w:val="28"/>
          <w:lang w:val="zh-CN"/>
        </w:rPr>
      </w:pPr>
      <w:r>
        <w:rPr>
          <w:rFonts w:hint="eastAsia" w:ascii="仿宋" w:hAnsi="仿宋" w:eastAsia="仿宋" w:cs="仿宋"/>
          <w:color w:val="auto"/>
          <w:sz w:val="28"/>
          <w:szCs w:val="28"/>
          <w:lang w:val="zh-CN"/>
        </w:rPr>
        <w:t>（三）商务技术分：</w:t>
      </w:r>
      <w:r>
        <w:rPr>
          <w:rFonts w:hint="eastAsia" w:ascii="仿宋" w:hAnsi="仿宋" w:eastAsia="仿宋" w:cs="仿宋"/>
          <w:color w:val="auto"/>
          <w:sz w:val="28"/>
          <w:szCs w:val="28"/>
        </w:rPr>
        <w:t>70</w:t>
      </w:r>
      <w:r>
        <w:rPr>
          <w:rFonts w:hint="eastAsia" w:ascii="仿宋" w:hAnsi="仿宋" w:eastAsia="仿宋" w:cs="仿宋"/>
          <w:color w:val="auto"/>
          <w:sz w:val="28"/>
          <w:szCs w:val="28"/>
          <w:lang w:val="zh-CN"/>
        </w:rPr>
        <w:t>分</w:t>
      </w:r>
    </w:p>
    <w:p w14:paraId="0C0F22FB">
      <w:pPr>
        <w:adjustRightInd w:val="0"/>
        <w:snapToGrid w:val="0"/>
        <w:spacing w:line="460" w:lineRule="exact"/>
        <w:ind w:firstLine="700" w:firstLineChars="250"/>
        <w:jc w:val="left"/>
        <w:rPr>
          <w:rFonts w:ascii="仿宋" w:hAnsi="仿宋" w:eastAsia="仿宋" w:cs="仿宋"/>
          <w:color w:val="auto"/>
          <w:sz w:val="28"/>
          <w:szCs w:val="28"/>
        </w:rPr>
      </w:pPr>
      <w:r>
        <w:rPr>
          <w:rFonts w:hint="eastAsia" w:ascii="仿宋" w:hAnsi="仿宋" w:eastAsia="仿宋" w:cs="仿宋"/>
          <w:color w:val="auto"/>
          <w:sz w:val="28"/>
          <w:szCs w:val="28"/>
        </w:rPr>
        <w:t>各供应商得分为磋商小组成员评分的算术平均分，分值保留小数点后两位。</w:t>
      </w:r>
    </w:p>
    <w:tbl>
      <w:tblPr>
        <w:tblStyle w:val="28"/>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020"/>
        <w:gridCol w:w="736"/>
        <w:gridCol w:w="7041"/>
      </w:tblGrid>
      <w:tr w14:paraId="1574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06" w:type="dxa"/>
            <w:vAlign w:val="center"/>
          </w:tcPr>
          <w:p w14:paraId="3B9CE3E8">
            <w:pPr>
              <w:jc w:val="center"/>
              <w:rPr>
                <w:rFonts w:ascii="仿宋" w:hAnsi="仿宋" w:eastAsia="仿宋" w:cs="仿宋"/>
                <w:color w:val="auto"/>
                <w:sz w:val="24"/>
              </w:rPr>
            </w:pPr>
            <w:r>
              <w:rPr>
                <w:rFonts w:hint="eastAsia" w:ascii="仿宋" w:hAnsi="仿宋" w:eastAsia="仿宋" w:cs="仿宋"/>
                <w:color w:val="auto"/>
                <w:sz w:val="24"/>
              </w:rPr>
              <w:t>序号</w:t>
            </w:r>
          </w:p>
        </w:tc>
        <w:tc>
          <w:tcPr>
            <w:tcW w:w="1020" w:type="dxa"/>
            <w:vAlign w:val="center"/>
          </w:tcPr>
          <w:p w14:paraId="2FD13218">
            <w:pPr>
              <w:jc w:val="center"/>
              <w:rPr>
                <w:rFonts w:ascii="仿宋" w:hAnsi="仿宋" w:eastAsia="仿宋" w:cs="仿宋"/>
                <w:color w:val="auto"/>
                <w:sz w:val="24"/>
              </w:rPr>
            </w:pPr>
            <w:r>
              <w:rPr>
                <w:rFonts w:hint="eastAsia" w:ascii="仿宋" w:hAnsi="仿宋" w:eastAsia="仿宋" w:cs="仿宋"/>
                <w:color w:val="auto"/>
                <w:sz w:val="24"/>
              </w:rPr>
              <w:t>评分点名称</w:t>
            </w:r>
          </w:p>
        </w:tc>
        <w:tc>
          <w:tcPr>
            <w:tcW w:w="736" w:type="dxa"/>
            <w:vAlign w:val="center"/>
          </w:tcPr>
          <w:p w14:paraId="403A48B1">
            <w:pPr>
              <w:jc w:val="center"/>
              <w:rPr>
                <w:rFonts w:ascii="仿宋" w:hAnsi="仿宋" w:eastAsia="仿宋" w:cs="仿宋"/>
                <w:color w:val="auto"/>
                <w:sz w:val="24"/>
              </w:rPr>
            </w:pPr>
            <w:r>
              <w:rPr>
                <w:rFonts w:hint="eastAsia" w:ascii="仿宋" w:hAnsi="仿宋" w:eastAsia="仿宋" w:cs="仿宋"/>
                <w:color w:val="auto"/>
                <w:sz w:val="24"/>
              </w:rPr>
              <w:t>分值</w:t>
            </w:r>
          </w:p>
        </w:tc>
        <w:tc>
          <w:tcPr>
            <w:tcW w:w="7041" w:type="dxa"/>
            <w:vAlign w:val="center"/>
          </w:tcPr>
          <w:p w14:paraId="619FAE5E">
            <w:pPr>
              <w:jc w:val="center"/>
              <w:rPr>
                <w:rFonts w:ascii="仿宋" w:hAnsi="仿宋" w:eastAsia="仿宋" w:cs="仿宋"/>
                <w:color w:val="auto"/>
                <w:sz w:val="24"/>
              </w:rPr>
            </w:pPr>
            <w:r>
              <w:rPr>
                <w:rFonts w:hint="eastAsia" w:ascii="仿宋" w:hAnsi="仿宋" w:eastAsia="仿宋" w:cs="仿宋"/>
                <w:color w:val="auto"/>
                <w:sz w:val="24"/>
              </w:rPr>
              <w:t>评审标准</w:t>
            </w:r>
          </w:p>
        </w:tc>
      </w:tr>
      <w:tr w14:paraId="047D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BCFD1B9">
            <w:pPr>
              <w:jc w:val="center"/>
              <w:rPr>
                <w:rFonts w:ascii="仿宋" w:hAnsi="仿宋" w:eastAsia="仿宋" w:cs="仿宋"/>
                <w:color w:val="auto"/>
                <w:sz w:val="24"/>
              </w:rPr>
            </w:pPr>
            <w:r>
              <w:rPr>
                <w:rFonts w:hint="eastAsia" w:ascii="仿宋" w:hAnsi="仿宋" w:eastAsia="仿宋" w:cs="仿宋"/>
                <w:color w:val="auto"/>
                <w:sz w:val="24"/>
              </w:rPr>
              <w:t>1</w:t>
            </w:r>
          </w:p>
        </w:tc>
        <w:tc>
          <w:tcPr>
            <w:tcW w:w="1020" w:type="dxa"/>
            <w:vAlign w:val="center"/>
          </w:tcPr>
          <w:p w14:paraId="1E88BC88">
            <w:pPr>
              <w:jc w:val="center"/>
              <w:rPr>
                <w:rFonts w:ascii="仿宋" w:hAnsi="仿宋" w:eastAsia="仿宋" w:cs="仿宋"/>
                <w:color w:val="auto"/>
                <w:sz w:val="24"/>
              </w:rPr>
            </w:pPr>
            <w:r>
              <w:rPr>
                <w:rFonts w:hint="eastAsia" w:ascii="仿宋" w:hAnsi="仿宋" w:eastAsia="仿宋" w:cs="仿宋"/>
                <w:color w:val="auto"/>
                <w:sz w:val="24"/>
              </w:rPr>
              <w:t>项目设计人员（非项目负责人）</w:t>
            </w:r>
          </w:p>
        </w:tc>
        <w:tc>
          <w:tcPr>
            <w:tcW w:w="736" w:type="dxa"/>
            <w:vAlign w:val="center"/>
          </w:tcPr>
          <w:p w14:paraId="7C73EC53">
            <w:pPr>
              <w:jc w:val="center"/>
              <w:rPr>
                <w:rFonts w:ascii="仿宋" w:hAnsi="仿宋" w:eastAsia="仿宋" w:cs="仿宋"/>
                <w:color w:val="auto"/>
                <w:sz w:val="24"/>
              </w:rPr>
            </w:pPr>
            <w:r>
              <w:rPr>
                <w:rFonts w:hint="eastAsia" w:ascii="仿宋" w:hAnsi="仿宋" w:eastAsia="仿宋" w:cs="仿宋"/>
                <w:color w:val="auto"/>
                <w:sz w:val="24"/>
              </w:rPr>
              <w:t>28</w:t>
            </w:r>
          </w:p>
        </w:tc>
        <w:tc>
          <w:tcPr>
            <w:tcW w:w="7041" w:type="dxa"/>
            <w:vAlign w:val="center"/>
          </w:tcPr>
          <w:p w14:paraId="0770F13C">
            <w:pPr>
              <w:spacing w:line="360" w:lineRule="auto"/>
              <w:rPr>
                <w:rFonts w:ascii="仿宋" w:hAnsi="仿宋" w:eastAsia="仿宋" w:cs="仿宋"/>
                <w:color w:val="auto"/>
                <w:sz w:val="24"/>
              </w:rPr>
            </w:pPr>
            <w:r>
              <w:rPr>
                <w:rFonts w:hint="eastAsia" w:ascii="仿宋" w:hAnsi="仿宋" w:eastAsia="仿宋" w:cs="仿宋"/>
                <w:color w:val="auto"/>
                <w:sz w:val="24"/>
              </w:rPr>
              <w:t>1.给排水专业负责人：具有给排水专业中级及以上工程师技术职称得2分；具有注册公用设备工程师(给水排水)证书的再得2分，本项最多得4分。提供相应执业证书及职称证等证明材料。</w:t>
            </w:r>
          </w:p>
          <w:p w14:paraId="735C9050">
            <w:pPr>
              <w:spacing w:line="360" w:lineRule="auto"/>
              <w:rPr>
                <w:rFonts w:ascii="仿宋" w:hAnsi="仿宋" w:eastAsia="仿宋" w:cs="仿宋"/>
                <w:color w:val="auto"/>
                <w:sz w:val="24"/>
              </w:rPr>
            </w:pPr>
            <w:r>
              <w:rPr>
                <w:rFonts w:hint="eastAsia" w:ascii="仿宋" w:hAnsi="仿宋" w:eastAsia="仿宋" w:cs="仿宋"/>
                <w:color w:val="auto"/>
                <w:sz w:val="24"/>
              </w:rPr>
              <w:t>2.建筑专业负责人：具有建筑相关专业中级及以上工程师技术职称得2分；具有一级注册建筑师执业资格的再得2分，本项最多得4分。提供相应执业证书及职称证等证明材料。</w:t>
            </w:r>
          </w:p>
          <w:p w14:paraId="43216C20">
            <w:pPr>
              <w:spacing w:line="360" w:lineRule="auto"/>
              <w:rPr>
                <w:rFonts w:ascii="仿宋" w:hAnsi="仿宋" w:eastAsia="仿宋" w:cs="仿宋"/>
                <w:color w:val="auto"/>
                <w:sz w:val="24"/>
              </w:rPr>
            </w:pPr>
            <w:r>
              <w:rPr>
                <w:rFonts w:hint="eastAsia" w:ascii="仿宋" w:hAnsi="仿宋" w:eastAsia="仿宋" w:cs="仿宋"/>
                <w:color w:val="auto"/>
                <w:sz w:val="24"/>
              </w:rPr>
              <w:t>3.结构专业负责人：具有结构专业中级及以上工程师技术职称得2分，</w:t>
            </w:r>
            <w:bookmarkStart w:id="85" w:name="OLE_LINK4"/>
            <w:r>
              <w:rPr>
                <w:rFonts w:hint="eastAsia" w:ascii="仿宋" w:hAnsi="仿宋" w:eastAsia="仿宋" w:cs="仿宋"/>
                <w:color w:val="auto"/>
                <w:sz w:val="24"/>
              </w:rPr>
              <w:t>具有一级注册结构工程师执业资格的再得2分</w:t>
            </w:r>
            <w:bookmarkEnd w:id="85"/>
            <w:r>
              <w:rPr>
                <w:rFonts w:hint="eastAsia" w:ascii="仿宋" w:hAnsi="仿宋" w:eastAsia="仿宋" w:cs="仿宋"/>
                <w:color w:val="auto"/>
                <w:sz w:val="24"/>
              </w:rPr>
              <w:t>；本项最多得4分。提供相应执业证书及职称证等证明材料。</w:t>
            </w:r>
          </w:p>
          <w:p w14:paraId="721F2C5E">
            <w:pPr>
              <w:spacing w:line="360" w:lineRule="auto"/>
              <w:rPr>
                <w:rFonts w:ascii="仿宋" w:hAnsi="仿宋" w:eastAsia="仿宋" w:cs="仿宋"/>
                <w:color w:val="auto"/>
                <w:sz w:val="24"/>
              </w:rPr>
            </w:pPr>
            <w:r>
              <w:rPr>
                <w:rFonts w:hint="eastAsia" w:ascii="仿宋" w:hAnsi="仿宋" w:eastAsia="仿宋" w:cs="仿宋"/>
                <w:color w:val="auto"/>
                <w:sz w:val="24"/>
              </w:rPr>
              <w:t>4.道路专业负责人：具有道路专业中级及以上工程师技术职称得2分；具有注册土木工程师(道路工程)执业资格的再得2分，本项最多得4分。提供相应执业证书及职称证等证明材料。</w:t>
            </w:r>
          </w:p>
          <w:p w14:paraId="30F60A78">
            <w:pPr>
              <w:spacing w:line="360" w:lineRule="auto"/>
              <w:rPr>
                <w:rFonts w:ascii="仿宋" w:hAnsi="仿宋" w:eastAsia="仿宋" w:cs="仿宋"/>
                <w:color w:val="auto"/>
                <w:sz w:val="24"/>
              </w:rPr>
            </w:pPr>
            <w:r>
              <w:rPr>
                <w:rFonts w:hint="eastAsia" w:ascii="仿宋" w:hAnsi="仿宋" w:eastAsia="仿宋" w:cs="仿宋"/>
                <w:color w:val="auto"/>
                <w:sz w:val="24"/>
              </w:rPr>
              <w:t>5.电气专业负责人：具有电气专业中级及以上工程师技术职称得2分；具有注册电气工程师(供配电)证书的再得2分，本项最多得4分。提供相应执业证书及职称证等证明材料。</w:t>
            </w:r>
          </w:p>
          <w:p w14:paraId="2680806F">
            <w:pPr>
              <w:spacing w:line="360" w:lineRule="auto"/>
              <w:rPr>
                <w:rFonts w:ascii="仿宋" w:hAnsi="仿宋" w:eastAsia="仿宋" w:cs="仿宋"/>
                <w:color w:val="auto"/>
                <w:sz w:val="24"/>
              </w:rPr>
            </w:pPr>
            <w:r>
              <w:rPr>
                <w:rFonts w:hint="eastAsia" w:ascii="仿宋" w:hAnsi="仿宋" w:eastAsia="仿宋" w:cs="仿宋"/>
                <w:color w:val="auto"/>
                <w:sz w:val="24"/>
              </w:rPr>
              <w:t>6.造价专业负责人：具有造价相关专业中级及以上工程师技术职称得2分；具有一级注册造价师执业资格的再得2分，本项最多得4分。提供相应执业证书及职称证等证明材料。</w:t>
            </w:r>
          </w:p>
          <w:p w14:paraId="36EC63F6">
            <w:pPr>
              <w:spacing w:line="360" w:lineRule="auto"/>
              <w:rPr>
                <w:rFonts w:ascii="仿宋" w:hAnsi="仿宋" w:eastAsia="仿宋" w:cs="仿宋"/>
                <w:color w:val="auto"/>
                <w:sz w:val="24"/>
              </w:rPr>
            </w:pPr>
            <w:r>
              <w:rPr>
                <w:rFonts w:hint="eastAsia" w:ascii="仿宋" w:hAnsi="仿宋" w:eastAsia="仿宋" w:cs="仿宋"/>
                <w:color w:val="auto"/>
                <w:sz w:val="24"/>
              </w:rPr>
              <w:t>7.项目组成员中（项目负责人和各专业负责人除外）每增加一名注册土木工程师（道路工程）的得1分，最高得4分。</w:t>
            </w:r>
          </w:p>
          <w:p w14:paraId="3F65976F">
            <w:pPr>
              <w:spacing w:line="360" w:lineRule="auto"/>
              <w:rPr>
                <w:rFonts w:ascii="仿宋" w:hAnsi="仿宋" w:eastAsia="仿宋" w:cs="仿宋"/>
                <w:color w:val="auto"/>
                <w:sz w:val="24"/>
              </w:rPr>
            </w:pPr>
            <w:r>
              <w:rPr>
                <w:rFonts w:hint="eastAsia" w:ascii="仿宋" w:hAnsi="仿宋" w:eastAsia="仿宋" w:cs="仿宋"/>
                <w:color w:val="auto"/>
                <w:sz w:val="24"/>
              </w:rPr>
              <w:t>注：①项目组成员均为本单位的正式职工，投标时提供2025年任意月份单位为其缴纳的基本养老保险证明材料（退休人员提供人社局发的退休证明及与磋商供应商签订的劳动合同）。</w:t>
            </w:r>
          </w:p>
          <w:p w14:paraId="6619A51F">
            <w:pPr>
              <w:spacing w:line="360" w:lineRule="auto"/>
              <w:rPr>
                <w:rFonts w:ascii="仿宋" w:hAnsi="仿宋" w:eastAsia="仿宋" w:cs="仿宋"/>
                <w:color w:val="auto"/>
                <w:sz w:val="24"/>
              </w:rPr>
            </w:pPr>
            <w:r>
              <w:rPr>
                <w:rFonts w:hint="eastAsia" w:ascii="仿宋" w:hAnsi="仿宋" w:eastAsia="仿宋" w:cs="仿宋"/>
                <w:color w:val="auto"/>
                <w:sz w:val="24"/>
              </w:rPr>
              <w:t>②若职称证书中未体现专业的，须另行提供毕业证书或职称评审表，提供的前述资料中仍不能体现专业或体现的专业不符合评分要求的，不予认可。</w:t>
            </w:r>
          </w:p>
          <w:p w14:paraId="25F0231D">
            <w:pPr>
              <w:spacing w:line="360" w:lineRule="auto"/>
              <w:rPr>
                <w:rFonts w:ascii="仿宋" w:hAnsi="仿宋" w:eastAsia="仿宋" w:cs="仿宋"/>
                <w:color w:val="auto"/>
                <w:sz w:val="24"/>
              </w:rPr>
            </w:pPr>
            <w:r>
              <w:rPr>
                <w:rFonts w:hint="eastAsia" w:ascii="仿宋" w:hAnsi="仿宋" w:eastAsia="仿宋" w:cs="仿宋"/>
                <w:color w:val="auto"/>
                <w:sz w:val="24"/>
              </w:rPr>
              <w:t>③所有专业注册证书都必须注册在投标单位，并提供全国建筑市场监管公共服务平台（四库一平台）网页截图（除注册城乡规划师不需要提供），否则不予计分。</w:t>
            </w:r>
          </w:p>
          <w:p w14:paraId="4389B23B">
            <w:pPr>
              <w:spacing w:line="360" w:lineRule="auto"/>
              <w:rPr>
                <w:rFonts w:ascii="仿宋" w:hAnsi="仿宋" w:eastAsia="仿宋" w:cs="仿宋"/>
                <w:color w:val="auto"/>
                <w:sz w:val="24"/>
              </w:rPr>
            </w:pPr>
            <w:r>
              <w:rPr>
                <w:rFonts w:hint="eastAsia" w:ascii="仿宋" w:hAnsi="仿宋" w:eastAsia="仿宋" w:cs="仿宋"/>
                <w:color w:val="auto"/>
                <w:sz w:val="24"/>
              </w:rPr>
              <w:t>④以上人员不重复计分。</w:t>
            </w:r>
          </w:p>
        </w:tc>
      </w:tr>
      <w:tr w14:paraId="0B5C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5CA63EC0">
            <w:pPr>
              <w:jc w:val="center"/>
              <w:rPr>
                <w:rFonts w:ascii="仿宋" w:hAnsi="仿宋" w:eastAsia="仿宋" w:cs="仿宋"/>
                <w:color w:val="auto"/>
                <w:sz w:val="24"/>
              </w:rPr>
            </w:pPr>
            <w:r>
              <w:rPr>
                <w:rFonts w:hint="eastAsia" w:ascii="仿宋" w:hAnsi="仿宋" w:eastAsia="仿宋" w:cs="仿宋"/>
                <w:color w:val="auto"/>
                <w:sz w:val="24"/>
              </w:rPr>
              <w:t>2</w:t>
            </w:r>
          </w:p>
        </w:tc>
        <w:tc>
          <w:tcPr>
            <w:tcW w:w="1020" w:type="dxa"/>
            <w:vAlign w:val="center"/>
          </w:tcPr>
          <w:p w14:paraId="4892AF71">
            <w:pPr>
              <w:jc w:val="center"/>
              <w:rPr>
                <w:rFonts w:ascii="仿宋" w:hAnsi="仿宋" w:eastAsia="仿宋" w:cs="仿宋"/>
                <w:color w:val="auto"/>
                <w:sz w:val="24"/>
              </w:rPr>
            </w:pPr>
            <w:r>
              <w:rPr>
                <w:rFonts w:hint="eastAsia" w:ascii="仿宋" w:hAnsi="仿宋" w:eastAsia="仿宋" w:cs="仿宋"/>
                <w:color w:val="auto"/>
                <w:sz w:val="24"/>
              </w:rPr>
              <w:t>企业</w:t>
            </w:r>
          </w:p>
          <w:p w14:paraId="5AAB182B">
            <w:pPr>
              <w:jc w:val="center"/>
              <w:rPr>
                <w:rFonts w:ascii="仿宋" w:hAnsi="仿宋" w:eastAsia="仿宋" w:cs="仿宋"/>
                <w:color w:val="auto"/>
                <w:sz w:val="24"/>
              </w:rPr>
            </w:pPr>
            <w:r>
              <w:rPr>
                <w:rFonts w:hint="eastAsia" w:ascii="仿宋" w:hAnsi="仿宋" w:eastAsia="仿宋" w:cs="仿宋"/>
                <w:color w:val="auto"/>
                <w:sz w:val="24"/>
              </w:rPr>
              <w:t>奖项</w:t>
            </w:r>
          </w:p>
        </w:tc>
        <w:tc>
          <w:tcPr>
            <w:tcW w:w="736" w:type="dxa"/>
            <w:vAlign w:val="center"/>
          </w:tcPr>
          <w:p w14:paraId="7FDCC2B9">
            <w:pPr>
              <w:jc w:val="center"/>
              <w:rPr>
                <w:rFonts w:ascii="仿宋" w:hAnsi="仿宋" w:eastAsia="仿宋" w:cs="仿宋"/>
                <w:color w:val="auto"/>
                <w:sz w:val="24"/>
              </w:rPr>
            </w:pPr>
            <w:r>
              <w:rPr>
                <w:rFonts w:hint="eastAsia" w:ascii="仿宋" w:hAnsi="仿宋" w:eastAsia="仿宋" w:cs="仿宋"/>
                <w:color w:val="auto"/>
                <w:sz w:val="24"/>
              </w:rPr>
              <w:t>4</w:t>
            </w:r>
          </w:p>
        </w:tc>
        <w:tc>
          <w:tcPr>
            <w:tcW w:w="7041" w:type="dxa"/>
            <w:vAlign w:val="center"/>
          </w:tcPr>
          <w:p w14:paraId="71513DF4">
            <w:pPr>
              <w:spacing w:line="360" w:lineRule="auto"/>
              <w:rPr>
                <w:rFonts w:ascii="仿宋" w:hAnsi="仿宋" w:eastAsia="仿宋" w:cs="仿宋"/>
                <w:color w:val="auto"/>
                <w:sz w:val="24"/>
              </w:rPr>
            </w:pPr>
            <w:r>
              <w:rPr>
                <w:rFonts w:hint="eastAsia" w:ascii="仿宋" w:hAnsi="仿宋" w:eastAsia="仿宋" w:cs="仿宋"/>
                <w:color w:val="auto"/>
                <w:sz w:val="24"/>
              </w:rPr>
              <w:t>供应商自2022年7月1日以来承担过的市政类设计项目获得过区县建设行政主管部门颁发的设计奖项，有一个得0.5分；获得过市级建设行政主管部门颁发的设计奖项，有一个得1分；获得过省级及以上建设行政主管部门颁发的设计奖项，有一个得2分，此项最多得4分。</w:t>
            </w:r>
          </w:p>
          <w:p w14:paraId="739BCA5B">
            <w:pPr>
              <w:spacing w:line="360" w:lineRule="auto"/>
              <w:rPr>
                <w:rFonts w:ascii="仿宋" w:hAnsi="仿宋" w:eastAsia="仿宋" w:cs="仿宋"/>
                <w:color w:val="auto"/>
                <w:sz w:val="24"/>
              </w:rPr>
            </w:pPr>
            <w:r>
              <w:rPr>
                <w:rFonts w:hint="eastAsia" w:ascii="仿宋" w:hAnsi="仿宋" w:eastAsia="仿宋" w:cs="仿宋"/>
                <w:color w:val="auto"/>
                <w:sz w:val="24"/>
              </w:rPr>
              <w:t>注：提供相应证书或建设行政主管部分的发文，同一项目获奖以最高奖计入，不重复加分。获奖时间以获奖证书或建设行政主管部门的发文为准。</w:t>
            </w:r>
          </w:p>
        </w:tc>
      </w:tr>
      <w:tr w14:paraId="56E6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244D26B">
            <w:pPr>
              <w:jc w:val="center"/>
              <w:rPr>
                <w:rFonts w:ascii="仿宋" w:hAnsi="仿宋" w:eastAsia="仿宋" w:cs="仿宋"/>
                <w:color w:val="auto"/>
                <w:sz w:val="24"/>
              </w:rPr>
            </w:pPr>
            <w:r>
              <w:rPr>
                <w:rFonts w:hint="eastAsia" w:ascii="仿宋" w:hAnsi="仿宋" w:eastAsia="仿宋" w:cs="仿宋"/>
                <w:color w:val="auto"/>
                <w:sz w:val="24"/>
              </w:rPr>
              <w:t>3</w:t>
            </w:r>
          </w:p>
        </w:tc>
        <w:tc>
          <w:tcPr>
            <w:tcW w:w="1020" w:type="dxa"/>
            <w:vAlign w:val="center"/>
          </w:tcPr>
          <w:p w14:paraId="70E7D3B0">
            <w:pPr>
              <w:jc w:val="center"/>
              <w:rPr>
                <w:rFonts w:ascii="仿宋" w:hAnsi="仿宋" w:eastAsia="仿宋" w:cs="仿宋"/>
                <w:color w:val="auto"/>
                <w:sz w:val="24"/>
              </w:rPr>
            </w:pPr>
            <w:r>
              <w:rPr>
                <w:rFonts w:hint="eastAsia" w:ascii="仿宋" w:hAnsi="仿宋" w:eastAsia="仿宋" w:cs="仿宋"/>
                <w:color w:val="auto"/>
                <w:sz w:val="24"/>
              </w:rPr>
              <w:t>类似</w:t>
            </w:r>
          </w:p>
          <w:p w14:paraId="1D18C201">
            <w:pPr>
              <w:jc w:val="center"/>
              <w:rPr>
                <w:rFonts w:ascii="仿宋" w:hAnsi="仿宋" w:eastAsia="仿宋" w:cs="仿宋"/>
                <w:color w:val="auto"/>
                <w:sz w:val="24"/>
              </w:rPr>
            </w:pPr>
            <w:r>
              <w:rPr>
                <w:rFonts w:hint="eastAsia" w:ascii="仿宋" w:hAnsi="仿宋" w:eastAsia="仿宋" w:cs="仿宋"/>
                <w:color w:val="auto"/>
                <w:sz w:val="24"/>
              </w:rPr>
              <w:t>业绩</w:t>
            </w:r>
          </w:p>
        </w:tc>
        <w:tc>
          <w:tcPr>
            <w:tcW w:w="736" w:type="dxa"/>
            <w:vAlign w:val="center"/>
          </w:tcPr>
          <w:p w14:paraId="01101D08">
            <w:pPr>
              <w:jc w:val="center"/>
              <w:rPr>
                <w:rFonts w:ascii="仿宋" w:hAnsi="仿宋" w:eastAsia="仿宋" w:cs="仿宋"/>
                <w:color w:val="auto"/>
                <w:sz w:val="24"/>
              </w:rPr>
            </w:pPr>
            <w:r>
              <w:rPr>
                <w:rFonts w:hint="eastAsia" w:ascii="仿宋" w:hAnsi="仿宋" w:eastAsia="仿宋" w:cs="仿宋"/>
                <w:color w:val="auto"/>
                <w:sz w:val="24"/>
              </w:rPr>
              <w:t>4</w:t>
            </w:r>
          </w:p>
        </w:tc>
        <w:tc>
          <w:tcPr>
            <w:tcW w:w="7041" w:type="dxa"/>
            <w:vAlign w:val="center"/>
          </w:tcPr>
          <w:p w14:paraId="77B7BE16">
            <w:pPr>
              <w:spacing w:line="360" w:lineRule="auto"/>
              <w:rPr>
                <w:rFonts w:ascii="仿宋" w:hAnsi="仿宋" w:eastAsia="仿宋" w:cs="仿宋"/>
                <w:color w:val="auto"/>
                <w:sz w:val="24"/>
              </w:rPr>
            </w:pPr>
            <w:r>
              <w:rPr>
                <w:rFonts w:hint="eastAsia" w:ascii="仿宋" w:hAnsi="仿宋" w:eastAsia="仿宋" w:cs="仿宋"/>
                <w:color w:val="auto"/>
                <w:sz w:val="24"/>
              </w:rPr>
              <w:t>自2022年1月以来（以合同签订日期为准）供应商承担过类似勘察设计服务项目的，每提供一个得1分，本项最高得4分。</w:t>
            </w:r>
          </w:p>
          <w:p w14:paraId="5AD04395">
            <w:pPr>
              <w:spacing w:line="360" w:lineRule="auto"/>
              <w:rPr>
                <w:rFonts w:ascii="仿宋" w:hAnsi="仿宋" w:eastAsia="仿宋" w:cs="仿宋"/>
                <w:color w:val="auto"/>
                <w:sz w:val="24"/>
              </w:rPr>
            </w:pPr>
            <w:r>
              <w:rPr>
                <w:rFonts w:hint="eastAsia" w:ascii="仿宋" w:hAnsi="仿宋" w:eastAsia="仿宋" w:cs="仿宋"/>
                <w:color w:val="auto"/>
                <w:sz w:val="24"/>
              </w:rPr>
              <w:t>投标时提供合同关键页复印件（包括但不限于合同首页、盖章页、服务内容、标的等内容）并加盖供应商公章。</w:t>
            </w:r>
          </w:p>
        </w:tc>
      </w:tr>
      <w:tr w14:paraId="5C80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8EC3C64">
            <w:pPr>
              <w:jc w:val="center"/>
              <w:rPr>
                <w:rFonts w:ascii="仿宋" w:hAnsi="仿宋" w:eastAsia="仿宋" w:cs="仿宋"/>
                <w:color w:val="auto"/>
                <w:sz w:val="24"/>
              </w:rPr>
            </w:pPr>
            <w:r>
              <w:rPr>
                <w:rFonts w:hint="eastAsia" w:ascii="仿宋" w:hAnsi="仿宋" w:eastAsia="仿宋" w:cs="仿宋"/>
                <w:color w:val="auto"/>
                <w:sz w:val="24"/>
              </w:rPr>
              <w:t>4</w:t>
            </w:r>
          </w:p>
        </w:tc>
        <w:tc>
          <w:tcPr>
            <w:tcW w:w="1020" w:type="dxa"/>
            <w:tcBorders>
              <w:top w:val="single" w:color="auto" w:sz="4" w:space="0"/>
              <w:left w:val="single" w:color="auto" w:sz="4" w:space="0"/>
              <w:bottom w:val="single" w:color="auto" w:sz="4" w:space="0"/>
              <w:right w:val="single" w:color="auto" w:sz="4" w:space="0"/>
            </w:tcBorders>
            <w:vAlign w:val="center"/>
          </w:tcPr>
          <w:p w14:paraId="446B1EAC">
            <w:pPr>
              <w:jc w:val="center"/>
              <w:rPr>
                <w:rFonts w:ascii="仿宋" w:hAnsi="仿宋" w:eastAsia="仿宋" w:cs="仿宋"/>
                <w:color w:val="auto"/>
                <w:sz w:val="24"/>
              </w:rPr>
            </w:pPr>
            <w:r>
              <w:rPr>
                <w:rFonts w:hint="eastAsia" w:ascii="仿宋" w:hAnsi="仿宋" w:eastAsia="仿宋" w:cs="仿宋"/>
                <w:color w:val="auto"/>
                <w:sz w:val="24"/>
              </w:rPr>
              <w:t>项目理解、建设现状分析及前期资料收集</w:t>
            </w:r>
          </w:p>
        </w:tc>
        <w:tc>
          <w:tcPr>
            <w:tcW w:w="736" w:type="dxa"/>
            <w:tcBorders>
              <w:top w:val="single" w:color="auto" w:sz="4" w:space="0"/>
              <w:left w:val="single" w:color="auto" w:sz="4" w:space="0"/>
              <w:bottom w:val="single" w:color="auto" w:sz="4" w:space="0"/>
              <w:right w:val="single" w:color="auto" w:sz="4" w:space="0"/>
            </w:tcBorders>
            <w:vAlign w:val="center"/>
          </w:tcPr>
          <w:p w14:paraId="0ACB66B1">
            <w:pPr>
              <w:jc w:val="center"/>
              <w:rPr>
                <w:rFonts w:ascii="仿宋" w:hAnsi="仿宋" w:eastAsia="仿宋" w:cs="仿宋"/>
                <w:color w:val="auto"/>
                <w:sz w:val="24"/>
              </w:rPr>
            </w:pPr>
            <w:r>
              <w:rPr>
                <w:rFonts w:hint="eastAsia" w:ascii="仿宋" w:hAnsi="仿宋" w:eastAsia="仿宋" w:cs="仿宋"/>
                <w:color w:val="auto"/>
                <w:sz w:val="24"/>
              </w:rPr>
              <w:t>5</w:t>
            </w:r>
          </w:p>
        </w:tc>
        <w:tc>
          <w:tcPr>
            <w:tcW w:w="7041" w:type="dxa"/>
            <w:tcBorders>
              <w:top w:val="single" w:color="auto" w:sz="4" w:space="0"/>
              <w:left w:val="single" w:color="auto" w:sz="4" w:space="0"/>
              <w:bottom w:val="single" w:color="auto" w:sz="4" w:space="0"/>
              <w:right w:val="single" w:color="auto" w:sz="4" w:space="0"/>
            </w:tcBorders>
            <w:vAlign w:val="center"/>
          </w:tcPr>
          <w:p w14:paraId="00F78E89">
            <w:pPr>
              <w:spacing w:line="420" w:lineRule="exact"/>
              <w:rPr>
                <w:rFonts w:ascii="仿宋" w:hAnsi="仿宋" w:eastAsia="仿宋" w:cs="仿宋"/>
                <w:color w:val="auto"/>
                <w:sz w:val="24"/>
              </w:rPr>
            </w:pPr>
            <w:r>
              <w:rPr>
                <w:rFonts w:hint="eastAsia" w:ascii="仿宋" w:hAnsi="仿宋" w:eastAsia="仿宋" w:cs="仿宋"/>
                <w:color w:val="auto"/>
                <w:sz w:val="24"/>
              </w:rPr>
              <w:t>从对招标项目的理解、现状分析以及前期资料收集等方面进行综合评分：</w:t>
            </w:r>
          </w:p>
          <w:p w14:paraId="4F9E86B8">
            <w:pPr>
              <w:spacing w:line="420" w:lineRule="exact"/>
              <w:rPr>
                <w:rFonts w:ascii="仿宋" w:hAnsi="仿宋" w:eastAsia="仿宋" w:cs="仿宋"/>
                <w:color w:val="auto"/>
                <w:sz w:val="24"/>
              </w:rPr>
            </w:pPr>
            <w:r>
              <w:rPr>
                <w:rFonts w:hint="eastAsia" w:ascii="仿宋" w:hAnsi="仿宋" w:eastAsia="仿宋" w:cs="仿宋"/>
                <w:color w:val="auto"/>
                <w:sz w:val="24"/>
              </w:rPr>
              <w:t>1.对招标项目的理解透彻，现状分析科学合理，资料收集完整的得5分；</w:t>
            </w:r>
          </w:p>
          <w:p w14:paraId="2DF3DCC7">
            <w:pPr>
              <w:spacing w:line="420" w:lineRule="exact"/>
              <w:rPr>
                <w:rFonts w:ascii="仿宋" w:hAnsi="仿宋" w:eastAsia="仿宋" w:cs="仿宋"/>
                <w:color w:val="auto"/>
                <w:sz w:val="24"/>
              </w:rPr>
            </w:pPr>
            <w:r>
              <w:rPr>
                <w:rFonts w:hint="eastAsia" w:ascii="仿宋" w:hAnsi="仿宋" w:eastAsia="仿宋" w:cs="仿宋"/>
                <w:color w:val="auto"/>
                <w:sz w:val="24"/>
              </w:rPr>
              <w:t>2.对招标项目的理解较好，现状分析较为科学合理，资料收集较为完整的得3分；</w:t>
            </w:r>
          </w:p>
          <w:p w14:paraId="25218BC7">
            <w:pPr>
              <w:spacing w:line="420" w:lineRule="exact"/>
              <w:rPr>
                <w:rFonts w:ascii="仿宋" w:hAnsi="仿宋" w:eastAsia="仿宋" w:cs="仿宋"/>
                <w:color w:val="auto"/>
                <w:sz w:val="24"/>
              </w:rPr>
            </w:pPr>
            <w:r>
              <w:rPr>
                <w:rFonts w:hint="eastAsia" w:ascii="仿宋" w:hAnsi="仿宋" w:eastAsia="仿宋" w:cs="仿宋"/>
                <w:color w:val="auto"/>
                <w:sz w:val="24"/>
              </w:rPr>
              <w:t>3.对招标项目的理解一般，现状分析一般，资料收集一般的得1分。</w:t>
            </w:r>
          </w:p>
          <w:p w14:paraId="68AE2A86">
            <w:pPr>
              <w:pStyle w:val="44"/>
              <w:ind w:firstLine="0"/>
              <w:rPr>
                <w:color w:val="auto"/>
              </w:rPr>
            </w:pPr>
            <w:r>
              <w:rPr>
                <w:rFonts w:hint="eastAsia" w:ascii="仿宋" w:hAnsi="仿宋" w:eastAsia="仿宋" w:cs="仿宋"/>
                <w:color w:val="auto"/>
                <w:sz w:val="24"/>
              </w:rPr>
              <w:t>未提供的不得分。</w:t>
            </w:r>
          </w:p>
        </w:tc>
      </w:tr>
      <w:tr w14:paraId="1D3E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0523514">
            <w:pPr>
              <w:jc w:val="center"/>
              <w:rPr>
                <w:rFonts w:ascii="仿宋" w:hAnsi="仿宋" w:eastAsia="仿宋" w:cs="仿宋"/>
                <w:color w:val="auto"/>
                <w:sz w:val="24"/>
              </w:rPr>
            </w:pPr>
            <w:r>
              <w:rPr>
                <w:rFonts w:hint="eastAsia" w:ascii="仿宋" w:hAnsi="仿宋" w:eastAsia="仿宋" w:cs="仿宋"/>
                <w:color w:val="auto"/>
                <w:sz w:val="24"/>
              </w:rPr>
              <w:t>5</w:t>
            </w:r>
          </w:p>
        </w:tc>
        <w:tc>
          <w:tcPr>
            <w:tcW w:w="1020" w:type="dxa"/>
            <w:tcBorders>
              <w:top w:val="single" w:color="auto" w:sz="4" w:space="0"/>
              <w:left w:val="single" w:color="auto" w:sz="4" w:space="0"/>
              <w:bottom w:val="single" w:color="auto" w:sz="4" w:space="0"/>
              <w:right w:val="single" w:color="auto" w:sz="4" w:space="0"/>
            </w:tcBorders>
            <w:vAlign w:val="center"/>
          </w:tcPr>
          <w:p w14:paraId="0802EA89">
            <w:pPr>
              <w:jc w:val="center"/>
              <w:rPr>
                <w:rFonts w:ascii="仿宋" w:hAnsi="仿宋" w:eastAsia="仿宋" w:cs="仿宋"/>
                <w:color w:val="auto"/>
                <w:sz w:val="24"/>
              </w:rPr>
            </w:pPr>
            <w:r>
              <w:rPr>
                <w:rFonts w:hint="eastAsia" w:ascii="仿宋" w:hAnsi="仿宋" w:eastAsia="仿宋" w:cs="仿宋"/>
                <w:color w:val="auto"/>
                <w:sz w:val="24"/>
              </w:rPr>
              <w:t>设计</w:t>
            </w:r>
          </w:p>
          <w:p w14:paraId="095BBC33">
            <w:pPr>
              <w:jc w:val="center"/>
              <w:rPr>
                <w:rFonts w:ascii="仿宋" w:hAnsi="仿宋" w:eastAsia="仿宋" w:cs="仿宋"/>
                <w:color w:val="auto"/>
                <w:sz w:val="24"/>
              </w:rPr>
            </w:pPr>
            <w:r>
              <w:rPr>
                <w:rFonts w:hint="eastAsia" w:ascii="仿宋" w:hAnsi="仿宋" w:eastAsia="仿宋" w:cs="仿宋"/>
                <w:color w:val="auto"/>
                <w:sz w:val="24"/>
              </w:rPr>
              <w:t>方案</w:t>
            </w:r>
          </w:p>
        </w:tc>
        <w:tc>
          <w:tcPr>
            <w:tcW w:w="736" w:type="dxa"/>
            <w:tcBorders>
              <w:top w:val="single" w:color="auto" w:sz="4" w:space="0"/>
              <w:left w:val="single" w:color="auto" w:sz="4" w:space="0"/>
              <w:bottom w:val="single" w:color="auto" w:sz="4" w:space="0"/>
              <w:right w:val="single" w:color="auto" w:sz="4" w:space="0"/>
            </w:tcBorders>
            <w:vAlign w:val="center"/>
          </w:tcPr>
          <w:p w14:paraId="5B335908">
            <w:pPr>
              <w:jc w:val="center"/>
              <w:rPr>
                <w:rFonts w:ascii="仿宋" w:hAnsi="仿宋" w:eastAsia="仿宋" w:cs="仿宋"/>
                <w:color w:val="auto"/>
                <w:sz w:val="24"/>
              </w:rPr>
            </w:pPr>
            <w:r>
              <w:rPr>
                <w:rFonts w:hint="eastAsia" w:ascii="仿宋" w:hAnsi="仿宋" w:eastAsia="仿宋" w:cs="仿宋"/>
                <w:color w:val="auto"/>
                <w:sz w:val="24"/>
              </w:rPr>
              <w:t>14</w:t>
            </w:r>
          </w:p>
        </w:tc>
        <w:tc>
          <w:tcPr>
            <w:tcW w:w="7041" w:type="dxa"/>
            <w:tcBorders>
              <w:top w:val="single" w:color="auto" w:sz="4" w:space="0"/>
              <w:left w:val="single" w:color="auto" w:sz="4" w:space="0"/>
              <w:bottom w:val="single" w:color="auto" w:sz="4" w:space="0"/>
              <w:right w:val="single" w:color="auto" w:sz="4" w:space="0"/>
            </w:tcBorders>
            <w:vAlign w:val="center"/>
          </w:tcPr>
          <w:p w14:paraId="4DEC2179">
            <w:pPr>
              <w:pStyle w:val="6"/>
              <w:rPr>
                <w:rFonts w:ascii="仿宋" w:hAnsi="仿宋" w:eastAsia="仿宋" w:cs="仿宋"/>
                <w:color w:val="auto"/>
                <w:sz w:val="24"/>
              </w:rPr>
            </w:pPr>
            <w:r>
              <w:rPr>
                <w:rFonts w:hint="eastAsia" w:ascii="仿宋" w:hAnsi="仿宋" w:eastAsia="仿宋" w:cs="仿宋"/>
                <w:color w:val="auto"/>
                <w:sz w:val="24"/>
              </w:rPr>
              <w:t>根据招标人提供的设计方案的全面、合理性等方面进行综合评分：</w:t>
            </w:r>
          </w:p>
          <w:p w14:paraId="7EADAEC7">
            <w:pPr>
              <w:pStyle w:val="6"/>
              <w:rPr>
                <w:rFonts w:ascii="仿宋" w:hAnsi="仿宋" w:eastAsia="仿宋" w:cs="仿宋"/>
                <w:color w:val="auto"/>
                <w:sz w:val="24"/>
              </w:rPr>
            </w:pPr>
            <w:r>
              <w:rPr>
                <w:rFonts w:hint="eastAsia" w:ascii="仿宋" w:hAnsi="仿宋" w:eastAsia="仿宋" w:cs="仿宋"/>
                <w:color w:val="auto"/>
                <w:sz w:val="24"/>
              </w:rPr>
              <w:t>1.投标人提供的设计方案全面、合理的得14分；</w:t>
            </w:r>
          </w:p>
          <w:p w14:paraId="5E85A42A">
            <w:pPr>
              <w:pStyle w:val="6"/>
              <w:rPr>
                <w:rFonts w:ascii="仿宋" w:hAnsi="仿宋" w:eastAsia="仿宋" w:cs="仿宋"/>
                <w:color w:val="auto"/>
                <w:sz w:val="24"/>
              </w:rPr>
            </w:pPr>
            <w:r>
              <w:rPr>
                <w:rFonts w:hint="eastAsia" w:ascii="仿宋" w:hAnsi="仿宋" w:eastAsia="仿宋" w:cs="仿宋"/>
                <w:color w:val="auto"/>
                <w:sz w:val="24"/>
              </w:rPr>
              <w:t>2.投标人提供的设计方案较为全面、合理的得10分；</w:t>
            </w:r>
          </w:p>
          <w:p w14:paraId="0E947CE2">
            <w:pPr>
              <w:pStyle w:val="6"/>
              <w:rPr>
                <w:rFonts w:ascii="仿宋" w:hAnsi="仿宋" w:eastAsia="仿宋" w:cs="仿宋"/>
                <w:color w:val="auto"/>
                <w:sz w:val="24"/>
              </w:rPr>
            </w:pPr>
            <w:r>
              <w:rPr>
                <w:rFonts w:hint="eastAsia" w:ascii="仿宋" w:hAnsi="仿宋" w:eastAsia="仿宋" w:cs="仿宋"/>
                <w:color w:val="auto"/>
                <w:sz w:val="24"/>
              </w:rPr>
              <w:t>3.投标人提供的设计方案全面性、合理性一般的得6分；</w:t>
            </w:r>
          </w:p>
          <w:p w14:paraId="7B014451">
            <w:pPr>
              <w:pStyle w:val="6"/>
              <w:rPr>
                <w:rFonts w:ascii="仿宋" w:hAnsi="仿宋" w:eastAsia="仿宋" w:cs="仿宋"/>
                <w:color w:val="auto"/>
                <w:sz w:val="24"/>
              </w:rPr>
            </w:pPr>
            <w:r>
              <w:rPr>
                <w:rFonts w:hint="eastAsia" w:ascii="仿宋" w:hAnsi="仿宋" w:eastAsia="仿宋" w:cs="仿宋"/>
                <w:color w:val="auto"/>
                <w:sz w:val="24"/>
              </w:rPr>
              <w:t>4.投标人提供的设计方案全面性、合理性较差的得2分；</w:t>
            </w:r>
          </w:p>
          <w:p w14:paraId="1B55B89E">
            <w:pPr>
              <w:pStyle w:val="6"/>
              <w:rPr>
                <w:rFonts w:ascii="仿宋" w:hAnsi="仿宋" w:eastAsia="仿宋" w:cs="仿宋"/>
                <w:color w:val="auto"/>
                <w:sz w:val="24"/>
              </w:rPr>
            </w:pPr>
            <w:r>
              <w:rPr>
                <w:rFonts w:hint="eastAsia" w:ascii="仿宋" w:hAnsi="仿宋" w:eastAsia="仿宋" w:cs="仿宋"/>
                <w:color w:val="auto"/>
                <w:sz w:val="24"/>
              </w:rPr>
              <w:t>5.未提供本项不得分。</w:t>
            </w:r>
          </w:p>
        </w:tc>
      </w:tr>
      <w:tr w14:paraId="2EDA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963656B">
            <w:pPr>
              <w:jc w:val="center"/>
              <w:rPr>
                <w:rFonts w:ascii="仿宋" w:hAnsi="仿宋" w:eastAsia="仿宋" w:cs="仿宋"/>
                <w:color w:val="auto"/>
                <w:sz w:val="24"/>
              </w:rPr>
            </w:pPr>
            <w:r>
              <w:rPr>
                <w:rFonts w:hint="eastAsia" w:ascii="仿宋" w:hAnsi="仿宋" w:eastAsia="仿宋" w:cs="仿宋"/>
                <w:color w:val="auto"/>
                <w:sz w:val="24"/>
              </w:rPr>
              <w:t>6</w:t>
            </w:r>
          </w:p>
        </w:tc>
        <w:tc>
          <w:tcPr>
            <w:tcW w:w="1020" w:type="dxa"/>
            <w:tcBorders>
              <w:top w:val="single" w:color="auto" w:sz="4" w:space="0"/>
              <w:left w:val="single" w:color="auto" w:sz="4" w:space="0"/>
              <w:bottom w:val="single" w:color="auto" w:sz="4" w:space="0"/>
              <w:right w:val="single" w:color="auto" w:sz="4" w:space="0"/>
            </w:tcBorders>
            <w:vAlign w:val="center"/>
          </w:tcPr>
          <w:p w14:paraId="2E2FC7AF">
            <w:pPr>
              <w:jc w:val="center"/>
              <w:rPr>
                <w:rFonts w:ascii="仿宋" w:hAnsi="仿宋" w:eastAsia="仿宋" w:cs="仿宋"/>
                <w:color w:val="auto"/>
                <w:sz w:val="24"/>
              </w:rPr>
            </w:pPr>
            <w:r>
              <w:rPr>
                <w:rFonts w:hint="eastAsia" w:ascii="仿宋" w:hAnsi="仿宋" w:eastAsia="仿宋" w:cs="仿宋"/>
                <w:color w:val="auto"/>
                <w:sz w:val="24"/>
              </w:rPr>
              <w:t>质量控制和保障措施</w:t>
            </w:r>
          </w:p>
        </w:tc>
        <w:tc>
          <w:tcPr>
            <w:tcW w:w="736" w:type="dxa"/>
            <w:tcBorders>
              <w:top w:val="single" w:color="auto" w:sz="4" w:space="0"/>
              <w:left w:val="single" w:color="auto" w:sz="4" w:space="0"/>
              <w:bottom w:val="single" w:color="auto" w:sz="4" w:space="0"/>
              <w:right w:val="single" w:color="auto" w:sz="4" w:space="0"/>
            </w:tcBorders>
            <w:vAlign w:val="center"/>
          </w:tcPr>
          <w:p w14:paraId="5F079009">
            <w:pPr>
              <w:jc w:val="center"/>
              <w:rPr>
                <w:rFonts w:ascii="仿宋" w:hAnsi="仿宋" w:eastAsia="仿宋" w:cs="仿宋"/>
                <w:color w:val="auto"/>
                <w:sz w:val="24"/>
              </w:rPr>
            </w:pPr>
            <w:r>
              <w:rPr>
                <w:rFonts w:hint="eastAsia" w:ascii="仿宋" w:hAnsi="仿宋" w:eastAsia="仿宋" w:cs="仿宋"/>
                <w:color w:val="auto"/>
                <w:sz w:val="24"/>
              </w:rPr>
              <w:t>5</w:t>
            </w:r>
          </w:p>
        </w:tc>
        <w:tc>
          <w:tcPr>
            <w:tcW w:w="7041" w:type="dxa"/>
            <w:tcBorders>
              <w:top w:val="single" w:color="auto" w:sz="4" w:space="0"/>
              <w:left w:val="single" w:color="auto" w:sz="4" w:space="0"/>
              <w:bottom w:val="single" w:color="auto" w:sz="4" w:space="0"/>
              <w:right w:val="single" w:color="auto" w:sz="4" w:space="0"/>
            </w:tcBorders>
            <w:vAlign w:val="center"/>
          </w:tcPr>
          <w:p w14:paraId="548A2D8C">
            <w:pPr>
              <w:spacing w:line="420" w:lineRule="exact"/>
              <w:rPr>
                <w:rFonts w:ascii="仿宋" w:hAnsi="仿宋" w:eastAsia="仿宋" w:cs="仿宋"/>
                <w:color w:val="auto"/>
                <w:sz w:val="24"/>
              </w:rPr>
            </w:pPr>
            <w:r>
              <w:rPr>
                <w:rFonts w:hint="eastAsia" w:ascii="仿宋" w:hAnsi="仿宋" w:eastAsia="仿宋" w:cs="仿宋"/>
                <w:color w:val="auto"/>
                <w:sz w:val="24"/>
              </w:rPr>
              <w:t>根据投标人提供的设计质量的控制和保障措施进行评分：</w:t>
            </w:r>
          </w:p>
          <w:p w14:paraId="6A4FE427">
            <w:pPr>
              <w:spacing w:line="420" w:lineRule="exact"/>
              <w:rPr>
                <w:rFonts w:ascii="仿宋" w:hAnsi="仿宋" w:eastAsia="仿宋" w:cs="仿宋"/>
                <w:color w:val="auto"/>
                <w:sz w:val="24"/>
              </w:rPr>
            </w:pPr>
            <w:r>
              <w:rPr>
                <w:rFonts w:hint="eastAsia" w:ascii="仿宋" w:hAnsi="仿宋" w:eastAsia="仿宋" w:cs="仿宋"/>
                <w:color w:val="auto"/>
                <w:sz w:val="24"/>
              </w:rPr>
              <w:t>1.投标人对本项目的质量标准要求高、措施完善的得5分；</w:t>
            </w:r>
          </w:p>
          <w:p w14:paraId="3590F586">
            <w:pPr>
              <w:spacing w:line="420" w:lineRule="exact"/>
              <w:rPr>
                <w:rFonts w:ascii="仿宋" w:hAnsi="仿宋" w:eastAsia="仿宋" w:cs="仿宋"/>
                <w:color w:val="auto"/>
                <w:sz w:val="24"/>
              </w:rPr>
            </w:pPr>
            <w:r>
              <w:rPr>
                <w:rFonts w:hint="eastAsia" w:ascii="仿宋" w:hAnsi="仿宋" w:eastAsia="仿宋" w:cs="仿宋"/>
                <w:color w:val="auto"/>
                <w:sz w:val="24"/>
              </w:rPr>
              <w:t>2.投标人对本项目的质量标准要求较高、措施完善的得3分；</w:t>
            </w:r>
          </w:p>
          <w:p w14:paraId="162283A9">
            <w:pPr>
              <w:spacing w:line="420" w:lineRule="exact"/>
              <w:rPr>
                <w:rFonts w:ascii="仿宋" w:hAnsi="仿宋" w:eastAsia="仿宋" w:cs="仿宋"/>
                <w:color w:val="auto"/>
                <w:sz w:val="24"/>
              </w:rPr>
            </w:pPr>
            <w:r>
              <w:rPr>
                <w:rFonts w:hint="eastAsia" w:ascii="仿宋" w:hAnsi="仿宋" w:eastAsia="仿宋" w:cs="仿宋"/>
                <w:color w:val="auto"/>
                <w:sz w:val="24"/>
              </w:rPr>
              <w:t>3.投标人对本项目的质量标准要求一般、措施不完善的得1分。</w:t>
            </w:r>
          </w:p>
          <w:p w14:paraId="533EC503">
            <w:pPr>
              <w:spacing w:line="420" w:lineRule="exact"/>
              <w:rPr>
                <w:rFonts w:ascii="仿宋" w:hAnsi="仿宋" w:eastAsia="仿宋" w:cs="仿宋"/>
                <w:color w:val="auto"/>
                <w:sz w:val="24"/>
              </w:rPr>
            </w:pPr>
            <w:r>
              <w:rPr>
                <w:rFonts w:hint="eastAsia" w:ascii="仿宋" w:hAnsi="仿宋" w:eastAsia="仿宋" w:cs="仿宋"/>
                <w:color w:val="auto"/>
                <w:sz w:val="24"/>
              </w:rPr>
              <w:t>未提供不得分。</w:t>
            </w:r>
          </w:p>
        </w:tc>
      </w:tr>
      <w:tr w14:paraId="664CC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054CE3C6">
            <w:pPr>
              <w:jc w:val="center"/>
              <w:rPr>
                <w:rFonts w:ascii="仿宋" w:hAnsi="仿宋" w:eastAsia="仿宋" w:cs="仿宋"/>
                <w:color w:val="auto"/>
                <w:sz w:val="24"/>
              </w:rPr>
            </w:pPr>
            <w:r>
              <w:rPr>
                <w:rFonts w:hint="eastAsia" w:ascii="仿宋" w:hAnsi="仿宋" w:eastAsia="仿宋" w:cs="仿宋"/>
                <w:color w:val="auto"/>
                <w:sz w:val="24"/>
              </w:rPr>
              <w:t>7</w:t>
            </w:r>
          </w:p>
        </w:tc>
        <w:tc>
          <w:tcPr>
            <w:tcW w:w="1020" w:type="dxa"/>
            <w:tcBorders>
              <w:top w:val="single" w:color="auto" w:sz="4" w:space="0"/>
              <w:left w:val="single" w:color="auto" w:sz="4" w:space="0"/>
              <w:bottom w:val="single" w:color="auto" w:sz="4" w:space="0"/>
              <w:right w:val="single" w:color="auto" w:sz="4" w:space="0"/>
            </w:tcBorders>
            <w:vAlign w:val="center"/>
          </w:tcPr>
          <w:p w14:paraId="2A72AA18">
            <w:pPr>
              <w:jc w:val="center"/>
              <w:rPr>
                <w:rFonts w:ascii="仿宋" w:hAnsi="仿宋" w:eastAsia="仿宋" w:cs="仿宋"/>
                <w:color w:val="auto"/>
                <w:sz w:val="24"/>
              </w:rPr>
            </w:pPr>
            <w:r>
              <w:rPr>
                <w:rFonts w:hint="eastAsia" w:ascii="仿宋" w:hAnsi="仿宋" w:eastAsia="仿宋" w:cs="仿宋"/>
                <w:color w:val="auto"/>
                <w:sz w:val="24"/>
              </w:rPr>
              <w:t>进度计划及保证措施</w:t>
            </w:r>
          </w:p>
        </w:tc>
        <w:tc>
          <w:tcPr>
            <w:tcW w:w="736" w:type="dxa"/>
            <w:tcBorders>
              <w:top w:val="single" w:color="auto" w:sz="4" w:space="0"/>
              <w:left w:val="single" w:color="auto" w:sz="4" w:space="0"/>
              <w:bottom w:val="single" w:color="auto" w:sz="4" w:space="0"/>
              <w:right w:val="single" w:color="auto" w:sz="4" w:space="0"/>
            </w:tcBorders>
            <w:vAlign w:val="center"/>
          </w:tcPr>
          <w:p w14:paraId="63BE9910">
            <w:pPr>
              <w:jc w:val="center"/>
              <w:rPr>
                <w:rFonts w:ascii="仿宋" w:hAnsi="仿宋" w:eastAsia="仿宋" w:cs="仿宋"/>
                <w:color w:val="auto"/>
                <w:sz w:val="24"/>
              </w:rPr>
            </w:pPr>
            <w:r>
              <w:rPr>
                <w:rFonts w:hint="eastAsia" w:ascii="仿宋" w:hAnsi="仿宋" w:eastAsia="仿宋" w:cs="仿宋"/>
                <w:color w:val="auto"/>
                <w:sz w:val="24"/>
              </w:rPr>
              <w:t>5</w:t>
            </w:r>
          </w:p>
        </w:tc>
        <w:tc>
          <w:tcPr>
            <w:tcW w:w="7041" w:type="dxa"/>
            <w:tcBorders>
              <w:top w:val="single" w:color="auto" w:sz="4" w:space="0"/>
              <w:left w:val="single" w:color="auto" w:sz="4" w:space="0"/>
              <w:bottom w:val="single" w:color="auto" w:sz="4" w:space="0"/>
              <w:right w:val="single" w:color="auto" w:sz="4" w:space="0"/>
            </w:tcBorders>
            <w:vAlign w:val="center"/>
          </w:tcPr>
          <w:p w14:paraId="53A1A9F0">
            <w:pPr>
              <w:spacing w:line="420" w:lineRule="exact"/>
              <w:rPr>
                <w:rFonts w:ascii="仿宋" w:hAnsi="仿宋" w:eastAsia="仿宋" w:cs="仿宋"/>
                <w:color w:val="auto"/>
                <w:sz w:val="24"/>
              </w:rPr>
            </w:pPr>
            <w:r>
              <w:rPr>
                <w:rFonts w:hint="eastAsia" w:ascii="仿宋" w:hAnsi="仿宋" w:eastAsia="仿宋" w:cs="仿宋"/>
                <w:color w:val="auto"/>
                <w:sz w:val="24"/>
              </w:rPr>
              <w:t>根据投标人提供的设计工作进度计划、人员配备、各阶段时间分配等方面进行评分：</w:t>
            </w:r>
          </w:p>
          <w:p w14:paraId="35817CF9">
            <w:pPr>
              <w:spacing w:line="420" w:lineRule="exact"/>
              <w:rPr>
                <w:rFonts w:ascii="仿宋" w:hAnsi="仿宋" w:eastAsia="仿宋" w:cs="仿宋"/>
                <w:color w:val="auto"/>
                <w:sz w:val="24"/>
              </w:rPr>
            </w:pPr>
            <w:r>
              <w:rPr>
                <w:rFonts w:hint="eastAsia" w:ascii="仿宋" w:hAnsi="仿宋" w:eastAsia="仿宋" w:cs="仿宋"/>
                <w:color w:val="auto"/>
                <w:sz w:val="24"/>
              </w:rPr>
              <w:t>1、投标人对本项目的进度计划安排合理，措施完善的得5分；</w:t>
            </w:r>
          </w:p>
          <w:p w14:paraId="4A654243">
            <w:pPr>
              <w:spacing w:line="420" w:lineRule="exact"/>
              <w:rPr>
                <w:rFonts w:ascii="仿宋" w:hAnsi="仿宋" w:eastAsia="仿宋" w:cs="仿宋"/>
                <w:color w:val="auto"/>
                <w:sz w:val="24"/>
              </w:rPr>
            </w:pPr>
            <w:r>
              <w:rPr>
                <w:rFonts w:hint="eastAsia" w:ascii="仿宋" w:hAnsi="仿宋" w:eastAsia="仿宋" w:cs="仿宋"/>
                <w:color w:val="auto"/>
                <w:sz w:val="24"/>
              </w:rPr>
              <w:t>2、投标人对本项目的进度计划安排较合理，措施较完善的得3分；</w:t>
            </w:r>
          </w:p>
          <w:p w14:paraId="1BA74B15">
            <w:pPr>
              <w:spacing w:line="420" w:lineRule="exact"/>
              <w:rPr>
                <w:rFonts w:ascii="仿宋" w:hAnsi="仿宋" w:eastAsia="仿宋" w:cs="仿宋"/>
                <w:color w:val="auto"/>
                <w:sz w:val="24"/>
              </w:rPr>
            </w:pPr>
            <w:r>
              <w:rPr>
                <w:rFonts w:hint="eastAsia" w:ascii="仿宋" w:hAnsi="仿宋" w:eastAsia="仿宋" w:cs="仿宋"/>
                <w:color w:val="auto"/>
                <w:sz w:val="24"/>
              </w:rPr>
              <w:t>3、投标人对本项目的进度计划安排不妥当，措施不完善的得1分。</w:t>
            </w:r>
          </w:p>
          <w:p w14:paraId="1E9C8436">
            <w:pPr>
              <w:spacing w:line="420" w:lineRule="exact"/>
              <w:rPr>
                <w:rFonts w:ascii="仿宋" w:hAnsi="仿宋" w:eastAsia="仿宋" w:cs="仿宋"/>
                <w:color w:val="auto"/>
                <w:sz w:val="24"/>
              </w:rPr>
            </w:pPr>
            <w:r>
              <w:rPr>
                <w:rFonts w:hint="eastAsia" w:ascii="仿宋" w:hAnsi="仿宋" w:eastAsia="仿宋" w:cs="仿宋"/>
                <w:color w:val="auto"/>
                <w:sz w:val="24"/>
              </w:rPr>
              <w:t>未提供不得分。</w:t>
            </w:r>
          </w:p>
        </w:tc>
      </w:tr>
      <w:tr w14:paraId="7DED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359968EF">
            <w:pPr>
              <w:jc w:val="center"/>
              <w:rPr>
                <w:rFonts w:ascii="仿宋" w:hAnsi="仿宋" w:eastAsia="仿宋" w:cs="仿宋"/>
                <w:color w:val="auto"/>
                <w:sz w:val="24"/>
              </w:rPr>
            </w:pPr>
            <w:r>
              <w:rPr>
                <w:rFonts w:hint="eastAsia" w:ascii="仿宋" w:hAnsi="仿宋" w:eastAsia="仿宋" w:cs="仿宋"/>
                <w:color w:val="auto"/>
                <w:sz w:val="24"/>
              </w:rPr>
              <w:t>8</w:t>
            </w:r>
          </w:p>
        </w:tc>
        <w:tc>
          <w:tcPr>
            <w:tcW w:w="1020" w:type="dxa"/>
            <w:tcBorders>
              <w:top w:val="single" w:color="auto" w:sz="4" w:space="0"/>
              <w:left w:val="single" w:color="auto" w:sz="4" w:space="0"/>
              <w:bottom w:val="single" w:color="auto" w:sz="4" w:space="0"/>
              <w:right w:val="single" w:color="auto" w:sz="4" w:space="0"/>
            </w:tcBorders>
            <w:vAlign w:val="center"/>
          </w:tcPr>
          <w:p w14:paraId="0109C791">
            <w:pPr>
              <w:jc w:val="center"/>
              <w:rPr>
                <w:rFonts w:ascii="仿宋" w:hAnsi="仿宋" w:eastAsia="仿宋" w:cs="仿宋"/>
                <w:color w:val="auto"/>
                <w:sz w:val="24"/>
              </w:rPr>
            </w:pPr>
            <w:r>
              <w:rPr>
                <w:rFonts w:hint="eastAsia" w:ascii="仿宋" w:hAnsi="仿宋" w:eastAsia="仿宋" w:cs="仿宋"/>
                <w:color w:val="auto"/>
                <w:sz w:val="24"/>
              </w:rPr>
              <w:t>优化服务及后续工作计划</w:t>
            </w:r>
          </w:p>
        </w:tc>
        <w:tc>
          <w:tcPr>
            <w:tcW w:w="736" w:type="dxa"/>
            <w:tcBorders>
              <w:top w:val="single" w:color="auto" w:sz="4" w:space="0"/>
              <w:left w:val="single" w:color="auto" w:sz="4" w:space="0"/>
              <w:bottom w:val="single" w:color="auto" w:sz="4" w:space="0"/>
              <w:right w:val="single" w:color="auto" w:sz="4" w:space="0"/>
            </w:tcBorders>
            <w:vAlign w:val="center"/>
          </w:tcPr>
          <w:p w14:paraId="243F9ACA">
            <w:pPr>
              <w:jc w:val="center"/>
              <w:rPr>
                <w:rFonts w:ascii="仿宋" w:hAnsi="仿宋" w:eastAsia="仿宋" w:cs="仿宋"/>
                <w:color w:val="auto"/>
                <w:sz w:val="24"/>
              </w:rPr>
            </w:pPr>
            <w:r>
              <w:rPr>
                <w:rFonts w:hint="eastAsia" w:ascii="仿宋" w:hAnsi="仿宋" w:eastAsia="仿宋" w:cs="仿宋"/>
                <w:color w:val="auto"/>
                <w:sz w:val="24"/>
              </w:rPr>
              <w:t>5</w:t>
            </w:r>
          </w:p>
        </w:tc>
        <w:tc>
          <w:tcPr>
            <w:tcW w:w="7041" w:type="dxa"/>
            <w:tcBorders>
              <w:top w:val="single" w:color="auto" w:sz="4" w:space="0"/>
              <w:left w:val="single" w:color="auto" w:sz="4" w:space="0"/>
              <w:bottom w:val="single" w:color="auto" w:sz="4" w:space="0"/>
              <w:right w:val="single" w:color="auto" w:sz="4" w:space="0"/>
            </w:tcBorders>
            <w:vAlign w:val="center"/>
          </w:tcPr>
          <w:p w14:paraId="333DA22E">
            <w:pPr>
              <w:spacing w:line="420" w:lineRule="exact"/>
              <w:rPr>
                <w:rFonts w:ascii="仿宋" w:hAnsi="仿宋" w:eastAsia="仿宋" w:cs="仿宋"/>
                <w:color w:val="auto"/>
                <w:sz w:val="24"/>
              </w:rPr>
            </w:pPr>
            <w:r>
              <w:rPr>
                <w:rFonts w:hint="eastAsia" w:ascii="仿宋" w:hAnsi="仿宋" w:eastAsia="仿宋" w:cs="仿宋"/>
                <w:color w:val="auto"/>
                <w:sz w:val="24"/>
              </w:rPr>
              <w:t>在根据甲方意见及时对方案设计进行优化设计修改、技术交底、解决施工中的设计技术问题、设计变更响应、参加竣工验收等施工图设计后续服务方面制定科学合理、切实可行的服务措施进行评审：</w:t>
            </w:r>
          </w:p>
          <w:p w14:paraId="34E46110">
            <w:pPr>
              <w:spacing w:line="420" w:lineRule="exact"/>
              <w:rPr>
                <w:rFonts w:ascii="仿宋" w:hAnsi="仿宋" w:eastAsia="仿宋" w:cs="仿宋"/>
                <w:color w:val="auto"/>
                <w:sz w:val="24"/>
              </w:rPr>
            </w:pPr>
            <w:r>
              <w:rPr>
                <w:rFonts w:hint="eastAsia" w:ascii="仿宋" w:hAnsi="仿宋" w:eastAsia="仿宋" w:cs="仿宋"/>
                <w:color w:val="auto"/>
                <w:sz w:val="24"/>
              </w:rPr>
              <w:t>1.方案科学合理、措施完善的得5分，</w:t>
            </w:r>
          </w:p>
          <w:p w14:paraId="0EA54DD9">
            <w:pPr>
              <w:spacing w:line="420" w:lineRule="exact"/>
              <w:rPr>
                <w:rFonts w:ascii="仿宋" w:hAnsi="仿宋" w:eastAsia="仿宋" w:cs="仿宋"/>
                <w:color w:val="auto"/>
                <w:sz w:val="24"/>
              </w:rPr>
            </w:pPr>
            <w:r>
              <w:rPr>
                <w:rFonts w:hint="eastAsia" w:ascii="仿宋" w:hAnsi="仿宋" w:eastAsia="仿宋" w:cs="仿宋"/>
                <w:color w:val="auto"/>
                <w:sz w:val="24"/>
              </w:rPr>
              <w:t>2.方案较合理、措施较完善的得3分，</w:t>
            </w:r>
          </w:p>
          <w:p w14:paraId="45C218B5">
            <w:pPr>
              <w:spacing w:line="420" w:lineRule="exact"/>
              <w:rPr>
                <w:rFonts w:ascii="仿宋" w:hAnsi="仿宋" w:eastAsia="仿宋" w:cs="仿宋"/>
                <w:color w:val="auto"/>
                <w:sz w:val="24"/>
              </w:rPr>
            </w:pPr>
            <w:r>
              <w:rPr>
                <w:rFonts w:hint="eastAsia" w:ascii="仿宋" w:hAnsi="仿宋" w:eastAsia="仿宋" w:cs="仿宋"/>
                <w:color w:val="auto"/>
                <w:sz w:val="24"/>
              </w:rPr>
              <w:t>3.方案内容一般、措施不完善的得1分。</w:t>
            </w:r>
          </w:p>
          <w:p w14:paraId="4F343620">
            <w:pPr>
              <w:spacing w:line="420" w:lineRule="exact"/>
              <w:rPr>
                <w:rFonts w:ascii="仿宋" w:hAnsi="仿宋" w:eastAsia="仿宋" w:cs="仿宋"/>
                <w:color w:val="auto"/>
                <w:sz w:val="24"/>
              </w:rPr>
            </w:pPr>
            <w:r>
              <w:rPr>
                <w:rFonts w:hint="eastAsia" w:ascii="仿宋" w:hAnsi="仿宋" w:eastAsia="仿宋" w:cs="仿宋"/>
                <w:color w:val="auto"/>
                <w:sz w:val="24"/>
              </w:rPr>
              <w:t>未提供的不得分。</w:t>
            </w:r>
          </w:p>
        </w:tc>
      </w:tr>
    </w:tbl>
    <w:p w14:paraId="407568CC">
      <w:pPr>
        <w:tabs>
          <w:tab w:val="left" w:pos="900"/>
        </w:tabs>
        <w:spacing w:line="50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实施方案应结合本项目设计内容和项目实际情况编写，内容阐述应简明扼要，层次分明，条理清晰，避免语近词冗、长篇大论又不切实际。否则，评审时将酌情扣分。</w:t>
      </w:r>
    </w:p>
    <w:p w14:paraId="663EC0CE">
      <w:pPr>
        <w:spacing w:line="460" w:lineRule="exact"/>
        <w:ind w:firstLine="562" w:firstLineChars="200"/>
        <w:outlineLvl w:val="2"/>
        <w:rPr>
          <w:rFonts w:ascii="仿宋" w:hAnsi="仿宋" w:eastAsia="仿宋" w:cs="仿宋"/>
          <w:color w:val="auto"/>
          <w:sz w:val="28"/>
          <w:szCs w:val="28"/>
        </w:rPr>
      </w:pPr>
      <w:r>
        <w:rPr>
          <w:rFonts w:hint="eastAsia" w:ascii="仿宋" w:hAnsi="仿宋" w:eastAsia="仿宋" w:cs="仿宋"/>
          <w:b/>
          <w:color w:val="auto"/>
          <w:sz w:val="28"/>
          <w:szCs w:val="28"/>
        </w:rPr>
        <w:t>（四）</w:t>
      </w:r>
      <w:r>
        <w:rPr>
          <w:rFonts w:hint="eastAsia" w:ascii="仿宋" w:hAnsi="仿宋" w:eastAsia="仿宋" w:cs="仿宋"/>
          <w:b/>
          <w:color w:val="auto"/>
          <w:sz w:val="28"/>
          <w:szCs w:val="28"/>
          <w:lang w:val="zh-CN"/>
        </w:rPr>
        <w:t>价格分</w:t>
      </w:r>
      <w:r>
        <w:rPr>
          <w:rFonts w:hint="eastAsia" w:ascii="仿宋" w:hAnsi="仿宋" w:eastAsia="仿宋" w:cs="仿宋"/>
          <w:b/>
          <w:color w:val="auto"/>
          <w:sz w:val="28"/>
          <w:szCs w:val="28"/>
        </w:rPr>
        <w:t>：</w:t>
      </w:r>
      <w:r>
        <w:rPr>
          <w:rFonts w:hint="eastAsia" w:ascii="仿宋" w:hAnsi="仿宋" w:eastAsia="仿宋" w:cs="仿宋"/>
          <w:color w:val="auto"/>
          <w:sz w:val="28"/>
          <w:szCs w:val="28"/>
        </w:rPr>
        <w:t>30</w:t>
      </w:r>
      <w:r>
        <w:rPr>
          <w:rFonts w:hint="eastAsia" w:ascii="仿宋" w:hAnsi="仿宋" w:eastAsia="仿宋" w:cs="仿宋"/>
          <w:color w:val="auto"/>
          <w:sz w:val="28"/>
          <w:szCs w:val="28"/>
          <w:lang w:val="zh-CN"/>
        </w:rPr>
        <w:t>分</w:t>
      </w:r>
    </w:p>
    <w:p w14:paraId="65EDCFD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价格分统一采用低价优先法计算，即满足磋商文件要求且最后报价（总价）最低的供应商的价格为磋商基准价，其价格分为满分。其他供应商的价格分统一按照下列公式计算：</w:t>
      </w:r>
    </w:p>
    <w:p w14:paraId="4D3EA683">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磋商报价得分=（磋商基准价/最后磋商报价）×30×100%</w:t>
      </w:r>
    </w:p>
    <w:p w14:paraId="03F1B2DE">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1E0D6A4">
      <w:pPr>
        <w:adjustRightInd w:val="0"/>
        <w:snapToGrid w:val="0"/>
        <w:spacing w:line="460" w:lineRule="exact"/>
        <w:ind w:firstLine="570"/>
        <w:outlineLvl w:val="2"/>
        <w:rPr>
          <w:rFonts w:ascii="仿宋" w:hAnsi="仿宋" w:eastAsia="仿宋" w:cs="仿宋"/>
          <w:bCs/>
          <w:color w:val="auto"/>
          <w:sz w:val="28"/>
          <w:szCs w:val="28"/>
        </w:rPr>
      </w:pPr>
      <w:r>
        <w:rPr>
          <w:rFonts w:hint="eastAsia" w:ascii="仿宋" w:hAnsi="仿宋" w:eastAsia="仿宋" w:cs="仿宋"/>
          <w:b/>
          <w:color w:val="auto"/>
          <w:sz w:val="28"/>
          <w:szCs w:val="28"/>
        </w:rPr>
        <w:t>（五）成交供应商的确定</w:t>
      </w:r>
    </w:p>
    <w:p w14:paraId="37472D88">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磋商小组汇总各评委评分后，按照得分从高到低的顺序推荐三名成交候选人，并编写评审报告。</w:t>
      </w:r>
    </w:p>
    <w:p w14:paraId="4AFB55E3">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采购人委托磋商小组直接确定排名第一的成交候选人为成交供应商。</w:t>
      </w:r>
    </w:p>
    <w:p w14:paraId="00D8665E">
      <w:pPr>
        <w:adjustRightInd w:val="0"/>
        <w:snapToGrid w:val="0"/>
        <w:spacing w:line="460" w:lineRule="exact"/>
        <w:ind w:firstLine="562" w:firstLineChars="200"/>
        <w:outlineLvl w:val="2"/>
        <w:rPr>
          <w:rFonts w:ascii="仿宋" w:hAnsi="仿宋" w:eastAsia="仿宋" w:cs="仿宋"/>
          <w:b/>
          <w:color w:val="auto"/>
          <w:sz w:val="28"/>
          <w:szCs w:val="28"/>
        </w:rPr>
      </w:pPr>
      <w:r>
        <w:rPr>
          <w:rFonts w:hint="eastAsia" w:ascii="仿宋" w:hAnsi="仿宋" w:eastAsia="仿宋" w:cs="仿宋"/>
          <w:b/>
          <w:color w:val="auto"/>
          <w:sz w:val="28"/>
          <w:szCs w:val="28"/>
        </w:rPr>
        <w:t>（六）公告成交结果</w:t>
      </w:r>
    </w:p>
    <w:p w14:paraId="6D49663E">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自确定成交供应商之日起2个工作日内，在南通市公安局网站公告成交结果，公告期限为1个工作日。</w:t>
      </w:r>
    </w:p>
    <w:p w14:paraId="68713602">
      <w:pPr>
        <w:adjustRightInd w:val="0"/>
        <w:snapToGrid w:val="0"/>
        <w:spacing w:line="460" w:lineRule="exact"/>
        <w:ind w:firstLine="562" w:firstLineChars="200"/>
        <w:outlineLvl w:val="2"/>
        <w:rPr>
          <w:rFonts w:ascii="仿宋" w:hAnsi="仿宋" w:eastAsia="仿宋" w:cs="仿宋"/>
          <w:b/>
          <w:bCs/>
          <w:color w:val="auto"/>
          <w:sz w:val="28"/>
          <w:szCs w:val="28"/>
        </w:rPr>
      </w:pPr>
      <w:r>
        <w:rPr>
          <w:rFonts w:hint="eastAsia" w:ascii="仿宋" w:hAnsi="仿宋" w:eastAsia="仿宋" w:cs="仿宋"/>
          <w:b/>
          <w:color w:val="auto"/>
          <w:sz w:val="28"/>
          <w:szCs w:val="28"/>
        </w:rPr>
        <w:t>（七）</w:t>
      </w:r>
      <w:r>
        <w:rPr>
          <w:rFonts w:hint="eastAsia" w:ascii="仿宋" w:hAnsi="仿宋" w:eastAsia="仿宋" w:cs="仿宋"/>
          <w:b/>
          <w:bCs/>
          <w:color w:val="auto"/>
          <w:sz w:val="28"/>
          <w:szCs w:val="28"/>
        </w:rPr>
        <w:t>发放成交通知书</w:t>
      </w:r>
    </w:p>
    <w:p w14:paraId="41B731E5">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color w:val="auto"/>
          <w:sz w:val="28"/>
          <w:szCs w:val="28"/>
        </w:rPr>
        <w:t>公告成交结果的同时，采购代理机构</w:t>
      </w:r>
      <w:r>
        <w:rPr>
          <w:rFonts w:hint="eastAsia" w:ascii="仿宋" w:hAnsi="仿宋" w:eastAsia="仿宋" w:cs="仿宋"/>
          <w:bCs/>
          <w:color w:val="auto"/>
          <w:sz w:val="28"/>
          <w:szCs w:val="28"/>
        </w:rPr>
        <w:t>向成交供应商发放成交通知书。联系电话：0513-55887688。</w:t>
      </w:r>
    </w:p>
    <w:p w14:paraId="24809DE1">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成交通知书发出后，采购人不得违法改变成交结果，成交供应商无正当理由不得放弃成交。</w:t>
      </w:r>
    </w:p>
    <w:p w14:paraId="73201F40">
      <w:pPr>
        <w:snapToGrid w:val="0"/>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（八）其他</w:t>
      </w:r>
    </w:p>
    <w:p w14:paraId="695A2B3C">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当成交候选人无正当理由放弃成交，被查实存在影响成交结果的违法行为等情形，采购人有权按照相关法律法规的规定对其采取惩戒措施，包含但不限于列入采购失信人黑名单等措施。</w:t>
      </w:r>
    </w:p>
    <w:p w14:paraId="75D974EB">
      <w:pPr>
        <w:adjustRightInd w:val="0"/>
        <w:snapToGrid w:val="0"/>
        <w:spacing w:line="460" w:lineRule="exact"/>
        <w:ind w:firstLine="570"/>
        <w:rPr>
          <w:rFonts w:ascii="仿宋" w:hAnsi="仿宋" w:eastAsia="仿宋" w:cs="仿宋"/>
          <w:color w:val="auto"/>
          <w:sz w:val="28"/>
          <w:szCs w:val="28"/>
        </w:rPr>
      </w:pPr>
      <w:r>
        <w:rPr>
          <w:rFonts w:hint="eastAsia" w:ascii="仿宋" w:hAnsi="仿宋" w:eastAsia="仿宋" w:cs="仿宋"/>
          <w:color w:val="auto"/>
          <w:sz w:val="28"/>
          <w:szCs w:val="28"/>
        </w:rPr>
        <w:t>当成交候选人放弃成交、因不可抗力不能履行合同，或者被查实存在影响成交结果的违法行为等情形，不符合成交条件的，招标人重新招标。</w:t>
      </w:r>
    </w:p>
    <w:p w14:paraId="1E7C6652">
      <w:pPr>
        <w:adjustRightInd w:val="0"/>
        <w:snapToGrid w:val="0"/>
        <w:spacing w:line="600" w:lineRule="exact"/>
        <w:jc w:val="center"/>
        <w:outlineLvl w:val="0"/>
        <w:rPr>
          <w:rFonts w:ascii="仿宋" w:hAnsi="仿宋" w:eastAsia="仿宋" w:cs="仿宋"/>
          <w:b/>
          <w:color w:val="auto"/>
          <w:sz w:val="28"/>
          <w:szCs w:val="28"/>
        </w:rPr>
      </w:pPr>
      <w:r>
        <w:rPr>
          <w:rFonts w:hint="eastAsia" w:ascii="仿宋" w:hAnsi="仿宋" w:eastAsia="仿宋" w:cs="仿宋"/>
          <w:b/>
          <w:color w:val="auto"/>
          <w:sz w:val="36"/>
          <w:szCs w:val="36"/>
        </w:rPr>
        <w:br w:type="page"/>
      </w:r>
      <w:r>
        <w:rPr>
          <w:rFonts w:hint="eastAsia" w:ascii="仿宋" w:hAnsi="仿宋" w:eastAsia="仿宋" w:cs="仿宋"/>
          <w:b/>
          <w:color w:val="auto"/>
          <w:sz w:val="36"/>
          <w:szCs w:val="36"/>
        </w:rPr>
        <w:t>第五部分 响应文件组成</w:t>
      </w:r>
    </w:p>
    <w:p w14:paraId="5C80A9F1">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left"/>
        <w:textAlignment w:val="auto"/>
        <w:rPr>
          <w:rFonts w:ascii="仿宋" w:hAnsi="仿宋" w:eastAsia="仿宋" w:cs="仿宋"/>
          <w:b/>
          <w:color w:val="auto"/>
          <w:sz w:val="28"/>
          <w:szCs w:val="28"/>
        </w:rPr>
      </w:pPr>
      <w:r>
        <w:rPr>
          <w:rFonts w:hint="eastAsia" w:ascii="仿宋" w:hAnsi="仿宋" w:eastAsia="仿宋" w:cs="仿宋"/>
          <w:b/>
          <w:color w:val="auto"/>
          <w:sz w:val="28"/>
          <w:szCs w:val="28"/>
        </w:rPr>
        <w:t>响应文件由资格审查文件、商务技术文件、价格文件、电子响应文件四部分组成。</w:t>
      </w:r>
    </w:p>
    <w:p w14:paraId="5AC83115">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1"/>
        <w:rPr>
          <w:rFonts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rPr>
        <w:t>一、</w:t>
      </w:r>
      <w:r>
        <w:rPr>
          <w:rFonts w:hint="eastAsia" w:ascii="仿宋" w:hAnsi="仿宋" w:eastAsia="仿宋" w:cs="仿宋"/>
          <w:b/>
          <w:bCs/>
          <w:color w:val="auto"/>
          <w:kern w:val="0"/>
          <w:sz w:val="28"/>
          <w:szCs w:val="28"/>
          <w:lang w:val="zh-CN"/>
        </w:rPr>
        <w:t>资格审查文件</w:t>
      </w:r>
    </w:p>
    <w:p w14:paraId="625387B6">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w:t>
      </w:r>
      <w:r>
        <w:rPr>
          <w:rFonts w:hint="eastAsia" w:ascii="仿宋" w:hAnsi="仿宋" w:eastAsia="仿宋" w:cs="仿宋"/>
          <w:color w:val="auto"/>
          <w:kern w:val="0"/>
          <w:sz w:val="28"/>
          <w:szCs w:val="28"/>
        </w:rPr>
        <w:t>供应商符合本项目供应商资格要求的承诺函</w:t>
      </w:r>
      <w:r>
        <w:rPr>
          <w:rFonts w:hint="eastAsia" w:ascii="仿宋" w:hAnsi="仿宋" w:eastAsia="仿宋" w:cs="仿宋"/>
          <w:color w:val="auto"/>
          <w:kern w:val="0"/>
          <w:sz w:val="28"/>
          <w:szCs w:val="28"/>
          <w:lang w:val="zh-CN"/>
        </w:rPr>
        <w:t>（格式见附件1）；</w:t>
      </w:r>
    </w:p>
    <w:p w14:paraId="352302F2">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2.法定代表人身份证明书（格式见附件2）；</w:t>
      </w:r>
    </w:p>
    <w:p w14:paraId="51FA4FA4">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3.法定代表人授权委托书原件，磋商代表本人身份证复印件（格式见附件3）；</w:t>
      </w:r>
    </w:p>
    <w:p w14:paraId="4900B5C3">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4.提供营业执照副本复印件并加盖公章；</w:t>
      </w:r>
    </w:p>
    <w:p w14:paraId="01CE4C0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outlineLvl w:val="1"/>
        <w:rPr>
          <w:rFonts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sz w:val="28"/>
          <w:szCs w:val="28"/>
        </w:rPr>
        <w:t>磋商供应商须具备工程设计市政行业（道路工程、给水工程）专业乙级及建筑行业（建筑工程）乙级及以上资质。（提供相应证书）</w:t>
      </w:r>
      <w:r>
        <w:rPr>
          <w:rFonts w:hint="eastAsia" w:ascii="仿宋" w:hAnsi="仿宋" w:eastAsia="仿宋" w:cs="仿宋"/>
          <w:color w:val="auto"/>
          <w:kern w:val="0"/>
          <w:sz w:val="28"/>
          <w:szCs w:val="28"/>
        </w:rPr>
        <w:t>；</w:t>
      </w:r>
    </w:p>
    <w:p w14:paraId="6C8629D7">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outlineLvl w:val="1"/>
        <w:rPr>
          <w:rFonts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sz w:val="28"/>
          <w:szCs w:val="28"/>
        </w:rPr>
        <w:t>拟派项目负责人须具备给排水相关专业中级工程师及以上职称（提供职称证书及2025年任意月份单位为其缴纳的基本养老保险证明材料。若职称证书中未体现专业的，须另行提供毕业证书或职称评审表，提供的前述资料中仍不能体现专业或体现的专业不符合资格要求的，不予认可。）</w:t>
      </w:r>
      <w:r>
        <w:rPr>
          <w:rFonts w:hint="eastAsia" w:ascii="仿宋" w:hAnsi="仿宋" w:eastAsia="仿宋" w:cs="仿宋"/>
          <w:color w:val="auto"/>
          <w:kern w:val="0"/>
          <w:sz w:val="28"/>
          <w:szCs w:val="28"/>
        </w:rPr>
        <w:t>；</w:t>
      </w:r>
    </w:p>
    <w:p w14:paraId="420BBBF4">
      <w:pPr>
        <w:keepNext w:val="0"/>
        <w:keepLines w:val="0"/>
        <w:pageBreakBefore w:val="0"/>
        <w:widowControl w:val="0"/>
        <w:kinsoku/>
        <w:wordWrap/>
        <w:overflowPunct/>
        <w:topLinePunct w:val="0"/>
        <w:autoSpaceDE/>
        <w:autoSpaceDN/>
        <w:bidi w:val="0"/>
        <w:spacing w:line="400" w:lineRule="exact"/>
        <w:ind w:firstLine="560"/>
        <w:textAlignment w:val="auto"/>
        <w:rPr>
          <w:rFonts w:ascii="仿宋" w:hAnsi="仿宋" w:eastAsia="仿宋" w:cs="仿宋"/>
          <w:color w:val="auto"/>
          <w:sz w:val="28"/>
          <w:szCs w:val="28"/>
          <w:lang w:val="zh-CN"/>
        </w:rPr>
      </w:pPr>
      <w:r>
        <w:rPr>
          <w:rFonts w:hint="eastAsia" w:ascii="仿宋" w:hAnsi="仿宋" w:eastAsia="仿宋" w:cs="仿宋"/>
          <w:color w:val="auto"/>
          <w:kern w:val="0"/>
          <w:sz w:val="28"/>
          <w:szCs w:val="28"/>
        </w:rPr>
        <w:t>7.</w:t>
      </w:r>
      <w:r>
        <w:rPr>
          <w:rFonts w:hint="eastAsia" w:ascii="仿宋" w:hAnsi="仿宋" w:eastAsia="仿宋" w:cs="仿宋"/>
          <w:color w:val="auto"/>
          <w:sz w:val="28"/>
          <w:szCs w:val="28"/>
          <w:lang w:val="zh-CN"/>
        </w:rPr>
        <w:t>其它需要提交的资格审查证明材料（以下满足其一即可）：</w:t>
      </w:r>
    </w:p>
    <w:p w14:paraId="2C70BBC3">
      <w:pPr>
        <w:keepNext w:val="0"/>
        <w:keepLines w:val="0"/>
        <w:pageBreakBefore w:val="0"/>
        <w:widowControl w:val="0"/>
        <w:kinsoku/>
        <w:wordWrap/>
        <w:overflowPunct/>
        <w:topLinePunct w:val="0"/>
        <w:autoSpaceDE/>
        <w:autoSpaceDN/>
        <w:bidi w:val="0"/>
        <w:spacing w:line="400" w:lineRule="exact"/>
        <w:ind w:firstLine="560"/>
        <w:textAlignment w:val="auto"/>
        <w:rPr>
          <w:rFonts w:ascii="仿宋" w:hAnsi="仿宋" w:eastAsia="仿宋" w:cs="仿宋"/>
          <w:color w:val="auto"/>
          <w:sz w:val="28"/>
          <w:szCs w:val="28"/>
          <w:lang w:val="zh-CN"/>
        </w:rPr>
      </w:pPr>
      <w:r>
        <w:rPr>
          <w:rFonts w:hint="eastAsia" w:ascii="仿宋" w:hAnsi="仿宋" w:eastAsia="仿宋" w:cs="仿宋"/>
          <w:color w:val="auto"/>
          <w:sz w:val="28"/>
          <w:szCs w:val="28"/>
        </w:rPr>
        <w:t>7.1</w:t>
      </w:r>
      <w:r>
        <w:rPr>
          <w:rFonts w:hint="eastAsia" w:ascii="仿宋" w:hAnsi="仿宋" w:eastAsia="仿宋" w:cs="仿宋"/>
          <w:color w:val="auto"/>
          <w:sz w:val="28"/>
          <w:szCs w:val="28"/>
          <w:lang w:val="zh-CN"/>
        </w:rPr>
        <w:t>中小企业声明函（格式见附件</w:t>
      </w:r>
      <w:r>
        <w:rPr>
          <w:rFonts w:hint="eastAsia" w:ascii="仿宋" w:hAnsi="仿宋" w:eastAsia="仿宋" w:cs="仿宋"/>
          <w:color w:val="auto"/>
          <w:sz w:val="28"/>
          <w:szCs w:val="28"/>
        </w:rPr>
        <w:t>4</w:t>
      </w:r>
      <w:r>
        <w:rPr>
          <w:rFonts w:hint="eastAsia" w:ascii="仿宋" w:hAnsi="仿宋" w:eastAsia="仿宋" w:cs="仿宋"/>
          <w:color w:val="auto"/>
          <w:sz w:val="28"/>
          <w:szCs w:val="28"/>
          <w:lang w:val="zh-CN"/>
        </w:rPr>
        <w:t>）；</w:t>
      </w:r>
    </w:p>
    <w:p w14:paraId="429A49D4">
      <w:pPr>
        <w:keepNext w:val="0"/>
        <w:keepLines w:val="0"/>
        <w:pageBreakBefore w:val="0"/>
        <w:widowControl w:val="0"/>
        <w:kinsoku/>
        <w:wordWrap/>
        <w:overflowPunct/>
        <w:topLinePunct w:val="0"/>
        <w:autoSpaceDE/>
        <w:autoSpaceDN/>
        <w:bidi w:val="0"/>
        <w:spacing w:line="400" w:lineRule="exact"/>
        <w:ind w:firstLine="560"/>
        <w:textAlignment w:val="auto"/>
        <w:rPr>
          <w:rFonts w:ascii="仿宋" w:hAnsi="仿宋" w:eastAsia="仿宋" w:cs="仿宋"/>
          <w:color w:val="auto"/>
          <w:sz w:val="28"/>
          <w:szCs w:val="28"/>
          <w:lang w:val="zh-CN"/>
        </w:rPr>
      </w:pPr>
      <w:r>
        <w:rPr>
          <w:rFonts w:hint="eastAsia" w:ascii="仿宋" w:hAnsi="仿宋" w:eastAsia="仿宋" w:cs="仿宋"/>
          <w:color w:val="auto"/>
          <w:sz w:val="28"/>
          <w:szCs w:val="28"/>
        </w:rPr>
        <w:t>7.2</w:t>
      </w:r>
      <w:r>
        <w:rPr>
          <w:rFonts w:hint="eastAsia" w:ascii="仿宋" w:hAnsi="仿宋" w:eastAsia="仿宋" w:cs="仿宋"/>
          <w:color w:val="auto"/>
          <w:sz w:val="28"/>
          <w:szCs w:val="28"/>
          <w:lang w:val="zh-CN"/>
        </w:rPr>
        <w:t>残疾人福利性单位声明函（格式见附件</w:t>
      </w: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w:t>
      </w:r>
    </w:p>
    <w:p w14:paraId="2EA4F432">
      <w:pPr>
        <w:keepNext w:val="0"/>
        <w:keepLines w:val="0"/>
        <w:pageBreakBefore w:val="0"/>
        <w:widowControl w:val="0"/>
        <w:kinsoku/>
        <w:wordWrap/>
        <w:overflowPunct/>
        <w:topLinePunct w:val="0"/>
        <w:autoSpaceDE/>
        <w:autoSpaceDN/>
        <w:bidi w:val="0"/>
        <w:spacing w:line="400" w:lineRule="exact"/>
        <w:ind w:firstLine="560"/>
        <w:textAlignment w:val="auto"/>
        <w:rPr>
          <w:rFonts w:ascii="仿宋" w:hAnsi="仿宋" w:eastAsia="仿宋" w:cs="仿宋"/>
          <w:color w:val="auto"/>
          <w:kern w:val="0"/>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val="zh-CN"/>
        </w:rPr>
        <w:t>.</w:t>
      </w: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监狱和戒毒企业证</w:t>
      </w:r>
      <w:r>
        <w:rPr>
          <w:rFonts w:hint="eastAsia" w:ascii="仿宋" w:hAnsi="仿宋" w:eastAsia="仿宋" w:cs="仿宋"/>
          <w:bCs/>
          <w:color w:val="auto"/>
          <w:sz w:val="28"/>
          <w:szCs w:val="28"/>
        </w:rPr>
        <w:t>明材料（格式见附</w:t>
      </w:r>
      <w:r>
        <w:rPr>
          <w:rFonts w:hint="eastAsia" w:ascii="仿宋" w:hAnsi="仿宋" w:eastAsia="仿宋" w:cs="仿宋"/>
          <w:color w:val="auto"/>
          <w:sz w:val="28"/>
          <w:szCs w:val="28"/>
          <w:lang w:val="zh-CN"/>
        </w:rPr>
        <w:t>件</w:t>
      </w:r>
      <w:r>
        <w:rPr>
          <w:rFonts w:hint="eastAsia" w:ascii="仿宋" w:hAnsi="仿宋" w:eastAsia="仿宋" w:cs="仿宋"/>
          <w:color w:val="auto"/>
          <w:sz w:val="28"/>
          <w:szCs w:val="28"/>
        </w:rPr>
        <w:t>6</w:t>
      </w:r>
      <w:r>
        <w:rPr>
          <w:rFonts w:hint="eastAsia" w:ascii="仿宋" w:hAnsi="仿宋" w:eastAsia="仿宋" w:cs="仿宋"/>
          <w:color w:val="auto"/>
          <w:sz w:val="28"/>
          <w:szCs w:val="28"/>
          <w:lang w:val="zh-CN"/>
        </w:rPr>
        <w:t>）。</w:t>
      </w:r>
    </w:p>
    <w:p w14:paraId="39FBC306">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1"/>
        <w:rPr>
          <w:rFonts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rPr>
        <w:t>二、</w:t>
      </w:r>
      <w:r>
        <w:rPr>
          <w:rFonts w:hint="eastAsia" w:ascii="仿宋" w:hAnsi="仿宋" w:eastAsia="仿宋" w:cs="仿宋"/>
          <w:b/>
          <w:bCs/>
          <w:color w:val="auto"/>
          <w:kern w:val="0"/>
          <w:sz w:val="28"/>
          <w:szCs w:val="28"/>
          <w:lang w:val="zh-CN"/>
        </w:rPr>
        <w:t>商务技术文件</w:t>
      </w:r>
    </w:p>
    <w:p w14:paraId="6BB33E96">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zh-CN"/>
        </w:rPr>
        <w:t>为方便评委评审，请供应商按评审办法中所涉及的事项顺序进行编制，可以补充相关材料；</w:t>
      </w:r>
    </w:p>
    <w:p w14:paraId="40D9FD06">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bCs/>
          <w:color w:val="auto"/>
          <w:kern w:val="0"/>
          <w:sz w:val="28"/>
          <w:szCs w:val="28"/>
          <w:lang w:val="zh-CN"/>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zh-CN"/>
        </w:rPr>
        <w:t>.评审办法中未涉及的事项，供应商认为需要提交的其他资料。</w:t>
      </w:r>
    </w:p>
    <w:p w14:paraId="33860370">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1"/>
        <w:rPr>
          <w:rFonts w:ascii="仿宋" w:hAnsi="仿宋" w:eastAsia="仿宋" w:cs="仿宋"/>
          <w:b/>
          <w:bCs/>
          <w:color w:val="auto"/>
          <w:kern w:val="0"/>
          <w:sz w:val="28"/>
          <w:szCs w:val="28"/>
          <w:lang w:val="zh-CN"/>
        </w:rPr>
      </w:pPr>
      <w:r>
        <w:rPr>
          <w:rFonts w:hint="eastAsia" w:ascii="仿宋" w:hAnsi="仿宋" w:eastAsia="仿宋" w:cs="仿宋"/>
          <w:b/>
          <w:bCs/>
          <w:color w:val="auto"/>
          <w:kern w:val="0"/>
          <w:sz w:val="28"/>
          <w:szCs w:val="28"/>
        </w:rPr>
        <w:t>三、</w:t>
      </w:r>
      <w:r>
        <w:rPr>
          <w:rFonts w:hint="eastAsia" w:ascii="仿宋" w:hAnsi="仿宋" w:eastAsia="仿宋" w:cs="仿宋"/>
          <w:b/>
          <w:bCs/>
          <w:color w:val="auto"/>
          <w:kern w:val="0"/>
          <w:sz w:val="28"/>
          <w:szCs w:val="28"/>
          <w:lang w:val="zh-CN"/>
        </w:rPr>
        <w:t>价格文件</w:t>
      </w:r>
    </w:p>
    <w:p w14:paraId="51BFEB09">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1</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zh-CN"/>
        </w:rPr>
        <w:t>报价</w:t>
      </w:r>
      <w:r>
        <w:rPr>
          <w:rFonts w:hint="eastAsia" w:ascii="仿宋" w:hAnsi="仿宋" w:eastAsia="仿宋" w:cs="仿宋"/>
          <w:color w:val="auto"/>
          <w:kern w:val="0"/>
          <w:sz w:val="28"/>
          <w:szCs w:val="28"/>
        </w:rPr>
        <w:t>总表</w:t>
      </w:r>
      <w:r>
        <w:rPr>
          <w:rFonts w:hint="eastAsia" w:ascii="仿宋" w:hAnsi="仿宋" w:eastAsia="仿宋" w:cs="仿宋"/>
          <w:color w:val="auto"/>
          <w:kern w:val="0"/>
          <w:sz w:val="28"/>
          <w:szCs w:val="28"/>
          <w:lang w:val="zh-CN"/>
        </w:rPr>
        <w:t>（格式见附件</w:t>
      </w:r>
      <w:r>
        <w:rPr>
          <w:rFonts w:hint="eastAsia" w:ascii="仿宋" w:hAnsi="仿宋" w:eastAsia="仿宋" w:cs="仿宋"/>
          <w:color w:val="auto"/>
          <w:kern w:val="0"/>
          <w:sz w:val="28"/>
          <w:szCs w:val="28"/>
        </w:rPr>
        <w:t>7</w:t>
      </w:r>
      <w:r>
        <w:rPr>
          <w:rFonts w:hint="eastAsia" w:ascii="仿宋" w:hAnsi="仿宋" w:eastAsia="仿宋" w:cs="仿宋"/>
          <w:color w:val="auto"/>
          <w:kern w:val="0"/>
          <w:sz w:val="28"/>
          <w:szCs w:val="28"/>
          <w:lang w:val="zh-CN"/>
        </w:rPr>
        <w:t>）；</w:t>
      </w:r>
    </w:p>
    <w:p w14:paraId="249AAA9E">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2.报价明细表</w:t>
      </w:r>
      <w:r>
        <w:rPr>
          <w:rFonts w:hint="eastAsia" w:ascii="仿宋" w:hAnsi="仿宋" w:eastAsia="仿宋" w:cs="仿宋"/>
          <w:color w:val="auto"/>
          <w:kern w:val="0"/>
          <w:sz w:val="28"/>
          <w:szCs w:val="28"/>
          <w:lang w:val="zh-CN"/>
        </w:rPr>
        <w:t>（格式见附件</w:t>
      </w:r>
      <w:r>
        <w:rPr>
          <w:rFonts w:hint="eastAsia" w:ascii="仿宋" w:hAnsi="仿宋" w:eastAsia="仿宋" w:cs="仿宋"/>
          <w:color w:val="auto"/>
          <w:kern w:val="0"/>
          <w:sz w:val="28"/>
          <w:szCs w:val="28"/>
        </w:rPr>
        <w:t>8</w:t>
      </w:r>
      <w:r>
        <w:rPr>
          <w:rFonts w:hint="eastAsia" w:ascii="仿宋" w:hAnsi="仿宋" w:eastAsia="仿宋" w:cs="仿宋"/>
          <w:color w:val="auto"/>
          <w:kern w:val="0"/>
          <w:sz w:val="28"/>
          <w:szCs w:val="28"/>
          <w:lang w:val="zh-CN"/>
        </w:rPr>
        <w:t>）；</w:t>
      </w:r>
    </w:p>
    <w:p w14:paraId="2C42357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color w:val="auto"/>
          <w:kern w:val="0"/>
          <w:sz w:val="28"/>
          <w:szCs w:val="28"/>
          <w:lang w:val="zh-CN"/>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zh-CN"/>
        </w:rPr>
        <w:t>供应商信用承诺书（格式见附件</w:t>
      </w:r>
      <w:r>
        <w:rPr>
          <w:rFonts w:hint="eastAsia" w:ascii="仿宋" w:hAnsi="仿宋" w:eastAsia="仿宋" w:cs="仿宋"/>
          <w:color w:val="auto"/>
          <w:kern w:val="0"/>
          <w:sz w:val="28"/>
          <w:szCs w:val="28"/>
        </w:rPr>
        <w:t>9</w:t>
      </w:r>
      <w:r>
        <w:rPr>
          <w:rFonts w:hint="eastAsia" w:ascii="仿宋" w:hAnsi="仿宋" w:eastAsia="仿宋" w:cs="仿宋"/>
          <w:color w:val="auto"/>
          <w:kern w:val="0"/>
          <w:sz w:val="28"/>
          <w:szCs w:val="28"/>
          <w:lang w:val="zh-CN"/>
        </w:rPr>
        <w:t>）。</w:t>
      </w:r>
    </w:p>
    <w:p w14:paraId="729E7C12">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outlineLvl w:val="1"/>
        <w:rPr>
          <w:rFonts w:ascii="仿宋" w:hAnsi="仿宋" w:eastAsia="仿宋" w:cs="仿宋"/>
          <w:color w:val="auto"/>
          <w:kern w:val="0"/>
          <w:sz w:val="28"/>
          <w:szCs w:val="28"/>
        </w:rPr>
      </w:pPr>
      <w:r>
        <w:rPr>
          <w:rFonts w:hint="eastAsia" w:ascii="仿宋" w:hAnsi="仿宋" w:eastAsia="仿宋" w:cs="仿宋"/>
          <w:b/>
          <w:bCs/>
          <w:color w:val="auto"/>
          <w:kern w:val="0"/>
          <w:sz w:val="28"/>
          <w:szCs w:val="28"/>
        </w:rPr>
        <w:t>四、电子响应文件（一份）</w:t>
      </w:r>
    </w:p>
    <w:p w14:paraId="477C61DF">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b/>
          <w:color w:val="auto"/>
          <w:kern w:val="0"/>
          <w:sz w:val="28"/>
          <w:szCs w:val="28"/>
        </w:rPr>
      </w:pPr>
      <w:r>
        <w:rPr>
          <w:rFonts w:hint="eastAsia" w:ascii="仿宋" w:hAnsi="仿宋" w:eastAsia="仿宋" w:cs="仿宋"/>
          <w:color w:val="auto"/>
          <w:kern w:val="0"/>
          <w:sz w:val="28"/>
          <w:szCs w:val="28"/>
        </w:rPr>
        <w:t>电子响应文件的内容为“资格审查文件、商务技术文件、价格文件”的打印盖章后的响应文件的扫描件。</w:t>
      </w:r>
    </w:p>
    <w:p w14:paraId="64027904">
      <w:pPr>
        <w:snapToGrid w:val="0"/>
        <w:spacing w:line="360" w:lineRule="auto"/>
        <w:contextualSpacing/>
        <w:rPr>
          <w:rFonts w:ascii="仿宋" w:hAnsi="仿宋" w:eastAsia="仿宋" w:cs="仿宋"/>
          <w:b/>
          <w:color w:val="auto"/>
          <w:sz w:val="28"/>
          <w:szCs w:val="28"/>
        </w:rPr>
      </w:pPr>
      <w:r>
        <w:rPr>
          <w:rFonts w:hint="eastAsia" w:ascii="仿宋" w:hAnsi="仿宋" w:eastAsia="仿宋" w:cs="仿宋"/>
          <w:color w:val="auto"/>
          <w:kern w:val="0"/>
          <w:sz w:val="32"/>
          <w:szCs w:val="32"/>
          <w:lang w:val="zh-CN"/>
        </w:rPr>
        <w:br w:type="page"/>
      </w:r>
      <w:r>
        <w:rPr>
          <w:rFonts w:hint="eastAsia" w:ascii="仿宋" w:hAnsi="仿宋" w:eastAsia="仿宋" w:cs="仿宋"/>
          <w:color w:val="auto"/>
          <w:kern w:val="0"/>
          <w:sz w:val="28"/>
          <w:szCs w:val="28"/>
          <w:lang w:val="zh-CN"/>
        </w:rPr>
        <w:t>附件1</w:t>
      </w:r>
    </w:p>
    <w:p w14:paraId="1968D9F0">
      <w:pPr>
        <w:spacing w:line="46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供应商符合本项目供应商资格要求的承诺函</w:t>
      </w:r>
    </w:p>
    <w:p w14:paraId="03DFD059">
      <w:pPr>
        <w:spacing w:line="460" w:lineRule="exact"/>
        <w:rPr>
          <w:rFonts w:ascii="仿宋" w:hAnsi="仿宋" w:eastAsia="仿宋" w:cs="仿宋"/>
          <w:b/>
          <w:bCs/>
          <w:color w:val="auto"/>
          <w:sz w:val="28"/>
          <w:szCs w:val="28"/>
        </w:rPr>
      </w:pPr>
    </w:p>
    <w:p w14:paraId="73769F00">
      <w:pPr>
        <w:spacing w:line="460" w:lineRule="exact"/>
        <w:ind w:firstLine="560" w:firstLineChars="200"/>
        <w:rPr>
          <w:rFonts w:ascii="仿宋" w:hAnsi="仿宋" w:eastAsia="仿宋" w:cs="仿宋"/>
          <w:b/>
          <w:bCs/>
          <w:color w:val="auto"/>
          <w:sz w:val="28"/>
          <w:szCs w:val="28"/>
        </w:rPr>
      </w:pPr>
      <w:r>
        <w:rPr>
          <w:rFonts w:hint="eastAsia" w:ascii="仿宋" w:hAnsi="仿宋" w:eastAsia="仿宋" w:cs="仿宋"/>
          <w:bCs/>
          <w:color w:val="auto"/>
          <w:sz w:val="28"/>
          <w:szCs w:val="28"/>
        </w:rPr>
        <w:t>我单位参加</w:t>
      </w:r>
      <w:r>
        <w:rPr>
          <w:rFonts w:hint="eastAsia" w:ascii="仿宋" w:hAnsi="仿宋" w:eastAsia="仿宋" w:cs="仿宋"/>
          <w:bCs/>
          <w:color w:val="auto"/>
          <w:sz w:val="28"/>
          <w:szCs w:val="28"/>
          <w:u w:val="single"/>
        </w:rPr>
        <w:t>________________ _</w:t>
      </w:r>
      <w:r>
        <w:rPr>
          <w:rFonts w:hint="eastAsia" w:ascii="仿宋" w:hAnsi="仿宋" w:eastAsia="仿宋" w:cs="仿宋"/>
          <w:bCs/>
          <w:color w:val="auto"/>
          <w:sz w:val="28"/>
          <w:szCs w:val="28"/>
        </w:rPr>
        <w:t>（项目名称），</w:t>
      </w:r>
      <w:r>
        <w:rPr>
          <w:rFonts w:hint="eastAsia" w:ascii="仿宋" w:hAnsi="仿宋" w:eastAsia="仿宋" w:cs="仿宋"/>
          <w:bCs/>
          <w:color w:val="auto"/>
          <w:sz w:val="28"/>
          <w:szCs w:val="28"/>
          <w:u w:val="single"/>
        </w:rPr>
        <w:t>_______ __________</w:t>
      </w:r>
      <w:r>
        <w:rPr>
          <w:rFonts w:hint="eastAsia" w:ascii="仿宋" w:hAnsi="仿宋" w:eastAsia="仿宋" w:cs="仿宋"/>
          <w:bCs/>
          <w:color w:val="auto"/>
          <w:sz w:val="28"/>
          <w:szCs w:val="28"/>
        </w:rPr>
        <w:t>（项目编号）投标活动。针对本项目供应商资格要求做出如下承诺：</w:t>
      </w:r>
    </w:p>
    <w:p w14:paraId="19D9D444">
      <w:pPr>
        <w:spacing w:line="460" w:lineRule="exact"/>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1.我单位具有独立承担民事责任的能力；</w:t>
      </w:r>
    </w:p>
    <w:p w14:paraId="67168EE1">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2.我单位具有良好的商业信誉和健全的财务会计制度；</w:t>
      </w:r>
    </w:p>
    <w:p w14:paraId="10BDD1E3">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3.我单位具有履行合同所必需的设备和专业技术能力；</w:t>
      </w:r>
    </w:p>
    <w:p w14:paraId="05BE73E1">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4.我单位有依法缴纳税收和社会保障资金的良好记录；</w:t>
      </w:r>
    </w:p>
    <w:p w14:paraId="1BA7E49E">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5.我单位参加采购活动前三年内，在经营活动中没有重大违法记录；</w:t>
      </w:r>
    </w:p>
    <w:p w14:paraId="34A24E97">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6.我单位满足法律、行政法规规定的其他条件。</w:t>
      </w:r>
    </w:p>
    <w:p w14:paraId="07F446BA">
      <w:pPr>
        <w:spacing w:line="360" w:lineRule="auto"/>
        <w:ind w:firstLine="560" w:firstLineChars="200"/>
        <w:rPr>
          <w:rFonts w:ascii="仿宋" w:hAnsi="仿宋" w:eastAsia="仿宋" w:cs="仿宋"/>
          <w:color w:val="auto"/>
          <w:sz w:val="28"/>
          <w:szCs w:val="28"/>
        </w:rPr>
      </w:pPr>
    </w:p>
    <w:p w14:paraId="6636E06A">
      <w:pPr>
        <w:spacing w:line="360" w:lineRule="auto"/>
        <w:ind w:firstLine="560" w:firstLineChars="200"/>
        <w:rPr>
          <w:rFonts w:ascii="仿宋" w:hAnsi="仿宋" w:eastAsia="仿宋" w:cs="仿宋"/>
          <w:color w:val="auto"/>
          <w:sz w:val="28"/>
          <w:szCs w:val="28"/>
        </w:rPr>
      </w:pPr>
    </w:p>
    <w:p w14:paraId="350E8D89">
      <w:pPr>
        <w:spacing w:line="360" w:lineRule="auto"/>
        <w:ind w:firstLine="560" w:firstLineChars="200"/>
        <w:rPr>
          <w:rFonts w:ascii="仿宋" w:hAnsi="仿宋" w:eastAsia="仿宋" w:cs="仿宋"/>
          <w:bCs/>
          <w:color w:val="auto"/>
          <w:sz w:val="28"/>
          <w:szCs w:val="28"/>
        </w:rPr>
      </w:pPr>
    </w:p>
    <w:p w14:paraId="3AFF8B26">
      <w:pPr>
        <w:spacing w:line="360" w:lineRule="auto"/>
        <w:ind w:firstLine="560" w:firstLineChars="200"/>
        <w:rPr>
          <w:rFonts w:ascii="仿宋" w:hAnsi="仿宋" w:eastAsia="仿宋" w:cs="仿宋"/>
          <w:bCs/>
          <w:color w:val="auto"/>
          <w:sz w:val="28"/>
          <w:szCs w:val="28"/>
        </w:rPr>
      </w:pPr>
    </w:p>
    <w:p w14:paraId="3D082371">
      <w:pPr>
        <w:spacing w:line="460" w:lineRule="exact"/>
        <w:rPr>
          <w:rFonts w:ascii="仿宋" w:hAnsi="仿宋" w:eastAsia="仿宋" w:cs="仿宋"/>
          <w:bCs/>
          <w:color w:val="auto"/>
          <w:sz w:val="28"/>
          <w:szCs w:val="28"/>
        </w:rPr>
      </w:pPr>
    </w:p>
    <w:p w14:paraId="6D20A427">
      <w:pPr>
        <w:spacing w:line="46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 xml:space="preserve">                                           承诺人名称（公章）：</w:t>
      </w:r>
    </w:p>
    <w:p w14:paraId="3621D61E">
      <w:pPr>
        <w:spacing w:line="460" w:lineRule="exact"/>
        <w:jc w:val="right"/>
        <w:rPr>
          <w:rFonts w:ascii="仿宋" w:hAnsi="仿宋" w:eastAsia="仿宋" w:cs="仿宋"/>
          <w:bCs/>
          <w:color w:val="auto"/>
          <w:sz w:val="28"/>
          <w:szCs w:val="28"/>
        </w:rPr>
      </w:pPr>
    </w:p>
    <w:p w14:paraId="07D9AF9D">
      <w:pPr>
        <w:spacing w:line="460" w:lineRule="exact"/>
        <w:jc w:val="right"/>
        <w:rPr>
          <w:rFonts w:ascii="仿宋" w:hAnsi="仿宋" w:eastAsia="仿宋" w:cs="仿宋"/>
          <w:bCs/>
          <w:color w:val="auto"/>
          <w:sz w:val="28"/>
          <w:szCs w:val="28"/>
        </w:rPr>
      </w:pPr>
    </w:p>
    <w:p w14:paraId="285AF6FF">
      <w:pPr>
        <w:spacing w:line="460" w:lineRule="exact"/>
        <w:jc w:val="right"/>
        <w:rPr>
          <w:rFonts w:ascii="仿宋" w:hAnsi="仿宋" w:eastAsia="仿宋" w:cs="仿宋"/>
          <w:bCs/>
          <w:color w:val="auto"/>
          <w:sz w:val="28"/>
          <w:szCs w:val="28"/>
        </w:rPr>
      </w:pPr>
    </w:p>
    <w:p w14:paraId="7330E4D5">
      <w:pPr>
        <w:spacing w:line="460" w:lineRule="exact"/>
        <w:jc w:val="right"/>
        <w:rPr>
          <w:rFonts w:ascii="仿宋" w:hAnsi="仿宋" w:eastAsia="仿宋" w:cs="仿宋"/>
          <w:bCs/>
          <w:color w:val="auto"/>
          <w:sz w:val="28"/>
          <w:szCs w:val="28"/>
        </w:rPr>
      </w:pPr>
      <w:r>
        <w:rPr>
          <w:rFonts w:hint="eastAsia" w:ascii="仿宋" w:hAnsi="仿宋" w:eastAsia="仿宋" w:cs="仿宋"/>
          <w:bCs/>
          <w:color w:val="auto"/>
          <w:sz w:val="28"/>
          <w:szCs w:val="28"/>
        </w:rPr>
        <w:t xml:space="preserve">                                 日期：年月日</w:t>
      </w:r>
    </w:p>
    <w:p w14:paraId="276B4821">
      <w:pPr>
        <w:snapToGrid w:val="0"/>
        <w:spacing w:line="360" w:lineRule="auto"/>
        <w:ind w:firstLine="540" w:firstLineChars="192"/>
        <w:contextualSpacing/>
        <w:rPr>
          <w:rFonts w:ascii="仿宋" w:hAnsi="仿宋" w:eastAsia="仿宋" w:cs="仿宋"/>
          <w:b/>
          <w:color w:val="auto"/>
          <w:kern w:val="0"/>
          <w:sz w:val="28"/>
          <w:szCs w:val="28"/>
        </w:rPr>
      </w:pPr>
    </w:p>
    <w:p w14:paraId="70AC6DA8">
      <w:pPr>
        <w:snapToGrid w:val="0"/>
        <w:spacing w:line="360" w:lineRule="auto"/>
        <w:ind w:firstLine="540" w:firstLineChars="192"/>
        <w:contextualSpacing/>
        <w:rPr>
          <w:rFonts w:ascii="仿宋" w:hAnsi="仿宋" w:eastAsia="仿宋" w:cs="仿宋"/>
          <w:b/>
          <w:color w:val="auto"/>
          <w:kern w:val="0"/>
          <w:sz w:val="28"/>
          <w:szCs w:val="28"/>
        </w:rPr>
      </w:pPr>
    </w:p>
    <w:p w14:paraId="2673B35E">
      <w:pPr>
        <w:snapToGrid w:val="0"/>
        <w:spacing w:line="360" w:lineRule="auto"/>
        <w:contextualSpacing/>
        <w:rPr>
          <w:rFonts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br w:type="page"/>
      </w:r>
      <w:r>
        <w:rPr>
          <w:rFonts w:hint="eastAsia" w:ascii="仿宋" w:hAnsi="仿宋" w:eastAsia="仿宋" w:cs="仿宋"/>
          <w:color w:val="auto"/>
          <w:kern w:val="0"/>
          <w:sz w:val="32"/>
          <w:szCs w:val="32"/>
          <w:lang w:val="zh-CN"/>
        </w:rPr>
        <w:t>附件2</w:t>
      </w:r>
    </w:p>
    <w:p w14:paraId="5D2D5BCB">
      <w:pPr>
        <w:spacing w:line="360" w:lineRule="auto"/>
        <w:jc w:val="center"/>
        <w:rPr>
          <w:rFonts w:ascii="仿宋" w:hAnsi="仿宋" w:eastAsia="仿宋" w:cs="仿宋"/>
          <w:b/>
          <w:bCs/>
          <w:color w:val="auto"/>
          <w:sz w:val="32"/>
          <w:szCs w:val="32"/>
        </w:rPr>
      </w:pPr>
    </w:p>
    <w:p w14:paraId="6E8F1B44">
      <w:pPr>
        <w:spacing w:line="360" w:lineRule="auto"/>
        <w:jc w:val="center"/>
        <w:rPr>
          <w:rFonts w:ascii="仿宋" w:hAnsi="仿宋" w:eastAsia="仿宋" w:cs="仿宋"/>
          <w:b/>
          <w:bCs/>
          <w:color w:val="auto"/>
          <w:sz w:val="32"/>
          <w:szCs w:val="32"/>
        </w:rPr>
      </w:pPr>
    </w:p>
    <w:p w14:paraId="21882BE7">
      <w:pPr>
        <w:spacing w:line="360" w:lineRule="auto"/>
        <w:jc w:val="center"/>
        <w:rPr>
          <w:rFonts w:ascii="仿宋" w:hAnsi="仿宋" w:eastAsia="仿宋" w:cs="仿宋"/>
          <w:b/>
          <w:bCs/>
          <w:color w:val="auto"/>
          <w:sz w:val="32"/>
          <w:szCs w:val="32"/>
        </w:rPr>
      </w:pPr>
    </w:p>
    <w:p w14:paraId="5A247BF1">
      <w:pPr>
        <w:spacing w:line="460" w:lineRule="exact"/>
        <w:jc w:val="center"/>
        <w:rPr>
          <w:rFonts w:ascii="仿宋" w:hAnsi="仿宋" w:eastAsia="仿宋" w:cs="仿宋"/>
          <w:b/>
          <w:bCs/>
          <w:color w:val="auto"/>
          <w:sz w:val="28"/>
          <w:szCs w:val="28"/>
        </w:rPr>
      </w:pPr>
      <w:r>
        <w:rPr>
          <w:rFonts w:hint="eastAsia" w:ascii="仿宋" w:hAnsi="仿宋" w:eastAsia="仿宋" w:cs="仿宋"/>
          <w:b/>
          <w:bCs/>
          <w:color w:val="auto"/>
          <w:sz w:val="28"/>
          <w:szCs w:val="28"/>
        </w:rPr>
        <w:t>法定代表人身份证明</w:t>
      </w:r>
    </w:p>
    <w:p w14:paraId="513A21E0">
      <w:pPr>
        <w:spacing w:line="460" w:lineRule="exact"/>
        <w:rPr>
          <w:rFonts w:ascii="仿宋" w:hAnsi="仿宋" w:eastAsia="仿宋" w:cs="仿宋"/>
          <w:color w:val="auto"/>
          <w:sz w:val="28"/>
          <w:szCs w:val="28"/>
        </w:rPr>
      </w:pPr>
    </w:p>
    <w:p w14:paraId="5C2120A2">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先生/女士： 现任我单位职务，为法定代表人，特此证明。</w:t>
      </w:r>
    </w:p>
    <w:p w14:paraId="390B0EE5">
      <w:pPr>
        <w:spacing w:line="460" w:lineRule="exact"/>
        <w:rPr>
          <w:rFonts w:ascii="仿宋" w:hAnsi="仿宋" w:eastAsia="仿宋" w:cs="仿宋"/>
          <w:color w:val="auto"/>
          <w:sz w:val="28"/>
          <w:szCs w:val="28"/>
          <w:u w:val="single"/>
        </w:rPr>
      </w:pPr>
      <w:r>
        <w:rPr>
          <w:rFonts w:hint="eastAsia" w:ascii="仿宋" w:hAnsi="仿宋" w:eastAsia="仿宋" w:cs="仿宋"/>
          <w:color w:val="auto"/>
          <w:sz w:val="28"/>
          <w:szCs w:val="28"/>
        </w:rPr>
        <w:t>身份证号码：</w:t>
      </w:r>
    </w:p>
    <w:p w14:paraId="35691C58">
      <w:pPr>
        <w:spacing w:line="460" w:lineRule="exact"/>
        <w:rPr>
          <w:rFonts w:ascii="仿宋" w:hAnsi="仿宋" w:eastAsia="仿宋" w:cs="仿宋"/>
          <w:color w:val="auto"/>
          <w:sz w:val="28"/>
          <w:szCs w:val="28"/>
        </w:rPr>
      </w:pPr>
    </w:p>
    <w:p w14:paraId="20CB3A23">
      <w:pPr>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注：提供法定代表人的身份证复印件</w:t>
      </w:r>
    </w:p>
    <w:p w14:paraId="31B0D82E">
      <w:pPr>
        <w:spacing w:line="360" w:lineRule="auto"/>
        <w:ind w:firstLine="480" w:firstLineChars="200"/>
        <w:rPr>
          <w:rFonts w:ascii="仿宋" w:hAnsi="仿宋" w:eastAsia="仿宋" w:cs="仿宋"/>
          <w:color w:val="auto"/>
          <w:sz w:val="24"/>
        </w:rPr>
      </w:pPr>
    </w:p>
    <w:p w14:paraId="57A8BFF6">
      <w:pPr>
        <w:spacing w:line="360" w:lineRule="auto"/>
        <w:rPr>
          <w:rFonts w:ascii="仿宋" w:hAnsi="仿宋" w:eastAsia="仿宋" w:cs="仿宋"/>
          <w:color w:val="auto"/>
        </w:rPr>
      </w:pPr>
    </w:p>
    <w:p w14:paraId="46B00F4F">
      <w:pPr>
        <w:snapToGrid w:val="0"/>
        <w:spacing w:line="360" w:lineRule="auto"/>
        <w:ind w:firstLine="540" w:firstLineChars="192"/>
        <w:contextualSpacing/>
        <w:rPr>
          <w:rFonts w:ascii="仿宋" w:hAnsi="仿宋" w:eastAsia="仿宋" w:cs="仿宋"/>
          <w:b/>
          <w:color w:val="auto"/>
          <w:kern w:val="0"/>
          <w:sz w:val="28"/>
          <w:szCs w:val="28"/>
        </w:rPr>
      </w:pPr>
    </w:p>
    <w:p w14:paraId="07B72413">
      <w:pPr>
        <w:snapToGrid w:val="0"/>
        <w:spacing w:line="360" w:lineRule="auto"/>
        <w:ind w:firstLine="540" w:firstLineChars="192"/>
        <w:contextualSpacing/>
        <w:rPr>
          <w:rFonts w:ascii="仿宋" w:hAnsi="仿宋" w:eastAsia="仿宋" w:cs="仿宋"/>
          <w:b/>
          <w:color w:val="auto"/>
          <w:kern w:val="0"/>
          <w:sz w:val="28"/>
          <w:szCs w:val="28"/>
          <w:lang w:val="zh-CN"/>
        </w:rPr>
      </w:pPr>
    </w:p>
    <w:p w14:paraId="0F94A40D">
      <w:pPr>
        <w:snapToGrid w:val="0"/>
        <w:spacing w:line="360" w:lineRule="auto"/>
        <w:ind w:firstLine="540" w:firstLineChars="192"/>
        <w:contextualSpacing/>
        <w:rPr>
          <w:rFonts w:ascii="仿宋" w:hAnsi="仿宋" w:eastAsia="仿宋" w:cs="仿宋"/>
          <w:b/>
          <w:color w:val="auto"/>
          <w:kern w:val="0"/>
          <w:sz w:val="28"/>
          <w:szCs w:val="28"/>
          <w:lang w:val="zh-CN"/>
        </w:rPr>
      </w:pPr>
    </w:p>
    <w:p w14:paraId="51F7CB5F">
      <w:pPr>
        <w:snapToGrid w:val="0"/>
        <w:spacing w:line="360" w:lineRule="auto"/>
        <w:ind w:firstLine="540" w:firstLineChars="192"/>
        <w:contextualSpacing/>
        <w:rPr>
          <w:rFonts w:ascii="仿宋" w:hAnsi="仿宋" w:eastAsia="仿宋" w:cs="仿宋"/>
          <w:b/>
          <w:color w:val="auto"/>
          <w:kern w:val="0"/>
          <w:sz w:val="28"/>
          <w:szCs w:val="28"/>
          <w:lang w:val="zh-CN"/>
        </w:rPr>
      </w:pPr>
    </w:p>
    <w:p w14:paraId="576485C2">
      <w:pPr>
        <w:snapToGrid w:val="0"/>
        <w:spacing w:line="360" w:lineRule="auto"/>
        <w:ind w:firstLine="540" w:firstLineChars="192"/>
        <w:contextualSpacing/>
        <w:rPr>
          <w:rFonts w:ascii="仿宋" w:hAnsi="仿宋" w:eastAsia="仿宋" w:cs="仿宋"/>
          <w:b/>
          <w:color w:val="auto"/>
          <w:kern w:val="0"/>
          <w:sz w:val="28"/>
          <w:szCs w:val="28"/>
          <w:lang w:val="zh-CN"/>
        </w:rPr>
      </w:pPr>
    </w:p>
    <w:p w14:paraId="2D12DD7C">
      <w:pPr>
        <w:snapToGrid w:val="0"/>
        <w:spacing w:line="360" w:lineRule="auto"/>
        <w:ind w:firstLine="540" w:firstLineChars="192"/>
        <w:contextualSpacing/>
        <w:rPr>
          <w:rFonts w:ascii="仿宋" w:hAnsi="仿宋" w:eastAsia="仿宋" w:cs="仿宋"/>
          <w:b/>
          <w:color w:val="auto"/>
          <w:kern w:val="0"/>
          <w:sz w:val="28"/>
          <w:szCs w:val="28"/>
          <w:lang w:val="zh-CN"/>
        </w:rPr>
      </w:pPr>
    </w:p>
    <w:p w14:paraId="54DFBDFC">
      <w:pPr>
        <w:snapToGrid w:val="0"/>
        <w:spacing w:line="360" w:lineRule="auto"/>
        <w:ind w:firstLine="540" w:firstLineChars="192"/>
        <w:contextualSpacing/>
        <w:rPr>
          <w:rFonts w:ascii="仿宋" w:hAnsi="仿宋" w:eastAsia="仿宋" w:cs="仿宋"/>
          <w:b/>
          <w:color w:val="auto"/>
          <w:kern w:val="0"/>
          <w:sz w:val="28"/>
          <w:szCs w:val="28"/>
          <w:lang w:val="zh-CN"/>
        </w:rPr>
      </w:pPr>
    </w:p>
    <w:p w14:paraId="1801604E">
      <w:pPr>
        <w:snapToGrid w:val="0"/>
        <w:spacing w:line="360" w:lineRule="auto"/>
        <w:ind w:firstLine="540" w:firstLineChars="192"/>
        <w:contextualSpacing/>
        <w:rPr>
          <w:rFonts w:ascii="仿宋" w:hAnsi="仿宋" w:eastAsia="仿宋" w:cs="仿宋"/>
          <w:b/>
          <w:color w:val="auto"/>
          <w:kern w:val="0"/>
          <w:sz w:val="28"/>
          <w:szCs w:val="28"/>
          <w:lang w:val="zh-CN"/>
        </w:rPr>
      </w:pPr>
    </w:p>
    <w:p w14:paraId="6599AD20">
      <w:pPr>
        <w:snapToGrid w:val="0"/>
        <w:spacing w:line="360" w:lineRule="auto"/>
        <w:ind w:firstLine="540" w:firstLineChars="192"/>
        <w:contextualSpacing/>
        <w:rPr>
          <w:rFonts w:ascii="仿宋" w:hAnsi="仿宋" w:eastAsia="仿宋" w:cs="仿宋"/>
          <w:b/>
          <w:color w:val="auto"/>
          <w:kern w:val="0"/>
          <w:sz w:val="28"/>
          <w:szCs w:val="28"/>
          <w:lang w:val="zh-CN"/>
        </w:rPr>
      </w:pPr>
    </w:p>
    <w:p w14:paraId="3E1B4A65">
      <w:pPr>
        <w:snapToGrid w:val="0"/>
        <w:spacing w:line="360" w:lineRule="auto"/>
        <w:ind w:firstLine="540" w:firstLineChars="192"/>
        <w:contextualSpacing/>
        <w:rPr>
          <w:rFonts w:ascii="仿宋" w:hAnsi="仿宋" w:eastAsia="仿宋" w:cs="仿宋"/>
          <w:b/>
          <w:color w:val="auto"/>
          <w:kern w:val="0"/>
          <w:sz w:val="28"/>
          <w:szCs w:val="28"/>
          <w:lang w:val="zh-CN"/>
        </w:rPr>
      </w:pPr>
    </w:p>
    <w:p w14:paraId="7B53B73D">
      <w:pPr>
        <w:snapToGrid w:val="0"/>
        <w:spacing w:line="360" w:lineRule="auto"/>
        <w:contextualSpacing/>
        <w:rPr>
          <w:rFonts w:ascii="仿宋" w:hAnsi="仿宋" w:eastAsia="仿宋" w:cs="仿宋"/>
          <w:color w:val="auto"/>
          <w:kern w:val="0"/>
          <w:sz w:val="32"/>
          <w:szCs w:val="32"/>
          <w:lang w:val="zh-CN"/>
        </w:rPr>
      </w:pPr>
      <w:r>
        <w:rPr>
          <w:rFonts w:hint="eastAsia" w:ascii="仿宋" w:hAnsi="仿宋" w:eastAsia="仿宋" w:cs="仿宋"/>
          <w:color w:val="auto"/>
          <w:kern w:val="0"/>
          <w:sz w:val="32"/>
          <w:szCs w:val="32"/>
          <w:lang w:val="zh-CN"/>
        </w:rPr>
        <w:br w:type="page"/>
      </w:r>
      <w:r>
        <w:rPr>
          <w:rFonts w:hint="eastAsia" w:ascii="仿宋" w:hAnsi="仿宋" w:eastAsia="仿宋" w:cs="仿宋"/>
          <w:color w:val="auto"/>
          <w:kern w:val="0"/>
          <w:sz w:val="32"/>
          <w:szCs w:val="32"/>
          <w:lang w:val="zh-CN"/>
        </w:rPr>
        <w:t>附件3</w:t>
      </w:r>
    </w:p>
    <w:p w14:paraId="5DEDBACF">
      <w:pPr>
        <w:spacing w:line="360" w:lineRule="auto"/>
        <w:jc w:val="center"/>
        <w:rPr>
          <w:rFonts w:ascii="仿宋" w:hAnsi="仿宋" w:eastAsia="仿宋" w:cs="仿宋"/>
          <w:color w:val="auto"/>
          <w:sz w:val="32"/>
          <w:szCs w:val="32"/>
        </w:rPr>
      </w:pPr>
    </w:p>
    <w:p w14:paraId="31238F9A">
      <w:pPr>
        <w:spacing w:line="460" w:lineRule="exact"/>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法定代表人授权委托书</w:t>
      </w:r>
    </w:p>
    <w:p w14:paraId="3D706CCB">
      <w:pPr>
        <w:spacing w:line="460" w:lineRule="exact"/>
        <w:ind w:firstLine="560" w:firstLineChars="200"/>
        <w:rPr>
          <w:rFonts w:ascii="仿宋" w:hAnsi="仿宋" w:eastAsia="仿宋" w:cs="仿宋"/>
          <w:color w:val="auto"/>
          <w:sz w:val="28"/>
          <w:szCs w:val="28"/>
        </w:rPr>
      </w:pPr>
    </w:p>
    <w:p w14:paraId="79FF3948">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人------（姓名）系————（授权单位名称）的法定代表人，现委托-------（姓名）（身份证号——————）为我方代理人，以我方名义全权处理与本次采购项目（编号：----------）有关的一切事务，其法律后果由我方承担。</w:t>
      </w:r>
    </w:p>
    <w:p w14:paraId="6B0AB8DD">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本授权书于---年---月---日起生效。代理人无转委托权。</w:t>
      </w:r>
    </w:p>
    <w:p w14:paraId="55E1700E">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代理人(被授权人签字):------</w:t>
      </w:r>
    </w:p>
    <w:p w14:paraId="4EF0208E">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授权单位名称（盖章）：-----</w:t>
      </w:r>
    </w:p>
    <w:p w14:paraId="609E75DF">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授权单位法定代表人（签字或盖章）：-----</w:t>
      </w:r>
    </w:p>
    <w:p w14:paraId="0B903BB5">
      <w:pPr>
        <w:spacing w:line="460" w:lineRule="exact"/>
        <w:ind w:firstLine="560" w:firstLineChars="200"/>
        <w:jc w:val="right"/>
        <w:rPr>
          <w:rFonts w:ascii="仿宋" w:hAnsi="仿宋" w:eastAsia="仿宋" w:cs="仿宋"/>
          <w:color w:val="auto"/>
          <w:sz w:val="28"/>
          <w:szCs w:val="28"/>
        </w:rPr>
      </w:pPr>
    </w:p>
    <w:p w14:paraId="38AE62AC">
      <w:pPr>
        <w:spacing w:line="460" w:lineRule="exact"/>
        <w:jc w:val="right"/>
        <w:rPr>
          <w:rFonts w:ascii="仿宋" w:hAnsi="仿宋" w:eastAsia="仿宋" w:cs="仿宋"/>
          <w:color w:val="auto"/>
          <w:sz w:val="28"/>
          <w:szCs w:val="28"/>
        </w:rPr>
      </w:pPr>
      <w:r>
        <w:rPr>
          <w:rFonts w:hint="eastAsia" w:ascii="仿宋" w:hAnsi="仿宋" w:eastAsia="仿宋" w:cs="仿宋"/>
          <w:color w:val="auto"/>
          <w:sz w:val="28"/>
          <w:szCs w:val="28"/>
        </w:rPr>
        <w:t>XXXX年XX月XX日</w:t>
      </w:r>
    </w:p>
    <w:p w14:paraId="17E098EA">
      <w:pPr>
        <w:snapToGrid w:val="0"/>
        <w:spacing w:line="460" w:lineRule="exact"/>
        <w:ind w:firstLine="562" w:firstLineChars="200"/>
        <w:contextualSpacing/>
        <w:rPr>
          <w:rFonts w:ascii="仿宋" w:hAnsi="仿宋" w:eastAsia="仿宋" w:cs="仿宋"/>
          <w:b/>
          <w:color w:val="auto"/>
          <w:kern w:val="0"/>
          <w:sz w:val="28"/>
          <w:szCs w:val="28"/>
        </w:rPr>
      </w:pPr>
    </w:p>
    <w:p w14:paraId="12AB945D">
      <w:pPr>
        <w:snapToGrid w:val="0"/>
        <w:spacing w:line="460" w:lineRule="exact"/>
        <w:ind w:firstLine="562" w:firstLineChars="200"/>
        <w:contextualSpacing/>
        <w:rPr>
          <w:rFonts w:ascii="仿宋" w:hAnsi="仿宋" w:eastAsia="仿宋" w:cs="仿宋"/>
          <w:b/>
          <w:color w:val="auto"/>
          <w:kern w:val="0"/>
          <w:sz w:val="28"/>
          <w:szCs w:val="28"/>
        </w:rPr>
      </w:pPr>
      <w:r>
        <w:rPr>
          <w:rFonts w:hint="eastAsia" w:ascii="仿宋" w:hAnsi="仿宋" w:eastAsia="仿宋" w:cs="仿宋"/>
          <w:b/>
          <w:color w:val="auto"/>
          <w:kern w:val="0"/>
          <w:sz w:val="28"/>
          <w:szCs w:val="28"/>
        </w:rPr>
        <w:t>注：提供投标代表本人身份证复印件</w:t>
      </w:r>
    </w:p>
    <w:p w14:paraId="02C7240D">
      <w:pPr>
        <w:snapToGrid w:val="0"/>
        <w:spacing w:line="360" w:lineRule="auto"/>
        <w:ind w:firstLine="562" w:firstLineChars="200"/>
        <w:contextualSpacing/>
        <w:rPr>
          <w:rFonts w:ascii="仿宋" w:hAnsi="仿宋" w:eastAsia="仿宋" w:cs="仿宋"/>
          <w:b/>
          <w:color w:val="auto"/>
          <w:kern w:val="0"/>
          <w:sz w:val="28"/>
          <w:szCs w:val="28"/>
        </w:rPr>
      </w:pPr>
    </w:p>
    <w:p w14:paraId="2341DF0D">
      <w:pPr>
        <w:snapToGrid w:val="0"/>
        <w:spacing w:line="360" w:lineRule="auto"/>
        <w:ind w:firstLine="540" w:firstLineChars="192"/>
        <w:contextualSpacing/>
        <w:rPr>
          <w:rFonts w:ascii="仿宋" w:hAnsi="仿宋" w:eastAsia="仿宋" w:cs="仿宋"/>
          <w:b/>
          <w:color w:val="auto"/>
          <w:kern w:val="0"/>
          <w:sz w:val="28"/>
          <w:szCs w:val="28"/>
        </w:rPr>
      </w:pPr>
    </w:p>
    <w:p w14:paraId="56481AE0">
      <w:pPr>
        <w:snapToGrid w:val="0"/>
        <w:spacing w:line="360" w:lineRule="auto"/>
        <w:ind w:firstLine="540" w:firstLineChars="192"/>
        <w:contextualSpacing/>
        <w:rPr>
          <w:rFonts w:ascii="仿宋" w:hAnsi="仿宋" w:eastAsia="仿宋" w:cs="仿宋"/>
          <w:b/>
          <w:color w:val="auto"/>
          <w:kern w:val="0"/>
          <w:sz w:val="28"/>
          <w:szCs w:val="28"/>
        </w:rPr>
      </w:pPr>
    </w:p>
    <w:p w14:paraId="24631D95">
      <w:pPr>
        <w:snapToGrid w:val="0"/>
        <w:spacing w:line="360" w:lineRule="auto"/>
        <w:ind w:firstLine="540" w:firstLineChars="192"/>
        <w:contextualSpacing/>
        <w:rPr>
          <w:rFonts w:ascii="仿宋" w:hAnsi="仿宋" w:eastAsia="仿宋" w:cs="仿宋"/>
          <w:b/>
          <w:color w:val="auto"/>
          <w:kern w:val="0"/>
          <w:sz w:val="28"/>
          <w:szCs w:val="28"/>
        </w:rPr>
      </w:pPr>
    </w:p>
    <w:p w14:paraId="402CCBF9">
      <w:pPr>
        <w:pStyle w:val="66"/>
        <w:ind w:firstLine="562"/>
        <w:rPr>
          <w:rFonts w:ascii="仿宋" w:hAnsi="仿宋" w:eastAsia="仿宋" w:cs="仿宋"/>
          <w:b/>
          <w:color w:val="auto"/>
          <w:kern w:val="0"/>
          <w:sz w:val="28"/>
          <w:szCs w:val="28"/>
        </w:rPr>
      </w:pPr>
    </w:p>
    <w:p w14:paraId="5DB65A44">
      <w:pPr>
        <w:pStyle w:val="66"/>
        <w:ind w:firstLine="562"/>
        <w:rPr>
          <w:rFonts w:ascii="仿宋" w:hAnsi="仿宋" w:eastAsia="仿宋" w:cs="仿宋"/>
          <w:b/>
          <w:color w:val="auto"/>
          <w:kern w:val="0"/>
          <w:sz w:val="28"/>
          <w:szCs w:val="28"/>
        </w:rPr>
      </w:pPr>
    </w:p>
    <w:p w14:paraId="55F53AD3">
      <w:pPr>
        <w:snapToGrid w:val="0"/>
        <w:spacing w:line="360" w:lineRule="auto"/>
        <w:ind w:firstLine="540" w:firstLineChars="192"/>
        <w:contextualSpacing/>
        <w:rPr>
          <w:rFonts w:ascii="仿宋" w:hAnsi="仿宋" w:eastAsia="仿宋" w:cs="仿宋"/>
          <w:b/>
          <w:color w:val="auto"/>
          <w:kern w:val="0"/>
          <w:sz w:val="28"/>
          <w:szCs w:val="28"/>
        </w:rPr>
      </w:pPr>
    </w:p>
    <w:p w14:paraId="68C78F4A">
      <w:pPr>
        <w:snapToGrid w:val="0"/>
        <w:spacing w:line="300" w:lineRule="auto"/>
        <w:contextualSpacing/>
        <w:rPr>
          <w:rFonts w:ascii="仿宋" w:hAnsi="仿宋" w:eastAsia="仿宋" w:cs="仿宋"/>
          <w:color w:val="auto"/>
          <w:kern w:val="0"/>
          <w:sz w:val="32"/>
          <w:szCs w:val="32"/>
        </w:rPr>
      </w:pPr>
    </w:p>
    <w:p w14:paraId="2349E713">
      <w:pPr>
        <w:snapToGrid w:val="0"/>
        <w:spacing w:line="300" w:lineRule="auto"/>
        <w:contextualSpacing/>
        <w:rPr>
          <w:rFonts w:ascii="仿宋" w:hAnsi="仿宋" w:eastAsia="仿宋" w:cs="仿宋"/>
          <w:color w:val="auto"/>
          <w:kern w:val="0"/>
          <w:sz w:val="32"/>
          <w:szCs w:val="32"/>
        </w:rPr>
      </w:pPr>
    </w:p>
    <w:p w14:paraId="0BA6644C">
      <w:pPr>
        <w:snapToGrid w:val="0"/>
        <w:spacing w:line="300" w:lineRule="auto"/>
        <w:contextualSpacing/>
        <w:rPr>
          <w:rFonts w:ascii="仿宋" w:hAnsi="仿宋" w:eastAsia="仿宋" w:cs="仿宋"/>
          <w:color w:val="auto"/>
          <w:kern w:val="0"/>
          <w:sz w:val="32"/>
          <w:szCs w:val="32"/>
        </w:rPr>
      </w:pPr>
    </w:p>
    <w:p w14:paraId="23FDA36C">
      <w:pPr>
        <w:rPr>
          <w:rFonts w:ascii="仿宋" w:hAnsi="仿宋" w:eastAsia="仿宋" w:cs="仿宋"/>
          <w:color w:val="auto"/>
          <w:kern w:val="0"/>
          <w:sz w:val="32"/>
          <w:szCs w:val="32"/>
        </w:rPr>
      </w:pPr>
      <w:r>
        <w:rPr>
          <w:rFonts w:hint="eastAsia" w:ascii="仿宋" w:hAnsi="仿宋" w:eastAsia="仿宋" w:cs="仿宋"/>
          <w:color w:val="auto"/>
          <w:kern w:val="0"/>
          <w:sz w:val="32"/>
          <w:szCs w:val="32"/>
        </w:rPr>
        <w:br w:type="page"/>
      </w:r>
    </w:p>
    <w:p w14:paraId="42978E3D">
      <w:pPr>
        <w:snapToGrid w:val="0"/>
        <w:spacing w:line="300" w:lineRule="auto"/>
        <w:contextualSpacing/>
        <w:rPr>
          <w:rFonts w:ascii="仿宋" w:hAnsi="仿宋" w:eastAsia="仿宋" w:cs="仿宋"/>
          <w:color w:val="auto"/>
          <w:kern w:val="0"/>
          <w:sz w:val="32"/>
          <w:szCs w:val="32"/>
        </w:rPr>
        <w:sectPr>
          <w:headerReference r:id="rId5" w:type="default"/>
          <w:footerReference r:id="rId6" w:type="default"/>
          <w:pgSz w:w="11907" w:h="16839"/>
          <w:pgMar w:top="1440" w:right="1803" w:bottom="1440" w:left="1803" w:header="720" w:footer="720" w:gutter="0"/>
          <w:cols w:space="720" w:num="1"/>
          <w:docGrid w:linePitch="286" w:charSpace="0"/>
        </w:sectPr>
      </w:pPr>
    </w:p>
    <w:p w14:paraId="79D11184">
      <w:pPr>
        <w:pStyle w:val="105"/>
        <w:ind w:left="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附件4</w:t>
      </w:r>
    </w:p>
    <w:p w14:paraId="3415C467">
      <w:pPr>
        <w:snapToGrid w:val="0"/>
        <w:spacing w:line="300" w:lineRule="auto"/>
        <w:jc w:val="center"/>
        <w:outlineLvl w:val="0"/>
        <w:rPr>
          <w:rFonts w:ascii="仿宋" w:hAnsi="仿宋" w:eastAsia="仿宋" w:cs="仿宋"/>
          <w:b/>
          <w:bCs/>
          <w:color w:val="auto"/>
          <w:sz w:val="28"/>
          <w:szCs w:val="28"/>
          <w:lang w:bidi="zh-CN"/>
        </w:rPr>
      </w:pPr>
      <w:r>
        <w:rPr>
          <w:rFonts w:hint="eastAsia" w:ascii="仿宋" w:hAnsi="仿宋" w:eastAsia="仿宋" w:cs="仿宋"/>
          <w:b/>
          <w:bCs/>
          <w:color w:val="auto"/>
          <w:sz w:val="28"/>
          <w:szCs w:val="28"/>
          <w:lang w:bidi="zh-CN"/>
        </w:rPr>
        <w:t>中小微企业声明函（服务）</w:t>
      </w:r>
    </w:p>
    <w:p w14:paraId="18BA8A48">
      <w:pPr>
        <w:snapToGrid w:val="0"/>
        <w:spacing w:line="360" w:lineRule="auto"/>
        <w:ind w:firstLine="560" w:firstLineChars="200"/>
        <w:outlineLvl w:val="0"/>
        <w:rPr>
          <w:rFonts w:ascii="仿宋" w:hAnsi="仿宋" w:eastAsia="仿宋" w:cs="仿宋"/>
          <w:color w:val="auto"/>
          <w:sz w:val="28"/>
          <w:szCs w:val="28"/>
          <w:lang w:bidi="zh-CN"/>
        </w:rPr>
      </w:pPr>
      <w:r>
        <w:rPr>
          <w:rFonts w:hint="eastAsia" w:ascii="仿宋" w:hAnsi="仿宋" w:eastAsia="仿宋" w:cs="仿宋"/>
          <w:color w:val="auto"/>
          <w:sz w:val="28"/>
          <w:szCs w:val="28"/>
          <w:lang w:bidi="zh-CN"/>
        </w:rPr>
        <w:t>本公司郑重声明，根据《政府采购促进中小企业发展管理办法》（财库﹝2020﹞46 号）的规定，本公司参加</w:t>
      </w:r>
      <w:r>
        <w:rPr>
          <w:rFonts w:hint="eastAsia" w:ascii="仿宋" w:hAnsi="仿宋" w:eastAsia="仿宋" w:cs="仿宋"/>
          <w:color w:val="auto"/>
          <w:sz w:val="28"/>
          <w:szCs w:val="28"/>
          <w:u w:val="single"/>
          <w:lang w:bidi="zh-CN"/>
        </w:rPr>
        <w:t>（单位名称）</w:t>
      </w:r>
      <w:r>
        <w:rPr>
          <w:rFonts w:hint="eastAsia" w:ascii="仿宋" w:hAnsi="仿宋" w:eastAsia="仿宋" w:cs="仿宋"/>
          <w:color w:val="auto"/>
          <w:sz w:val="28"/>
          <w:szCs w:val="28"/>
          <w:lang w:bidi="zh-CN"/>
        </w:rPr>
        <w:t>的</w:t>
      </w:r>
      <w:r>
        <w:rPr>
          <w:rFonts w:hint="eastAsia" w:ascii="仿宋" w:hAnsi="仿宋" w:eastAsia="仿宋" w:cs="仿宋"/>
          <w:color w:val="auto"/>
          <w:sz w:val="28"/>
          <w:szCs w:val="28"/>
          <w:u w:val="single"/>
          <w:lang w:bidi="zh-CN"/>
        </w:rPr>
        <w:t>（项目名称）</w:t>
      </w:r>
      <w:r>
        <w:rPr>
          <w:rFonts w:hint="eastAsia" w:ascii="仿宋" w:hAnsi="仿宋" w:eastAsia="仿宋" w:cs="仿宋"/>
          <w:color w:val="auto"/>
          <w:sz w:val="28"/>
          <w:szCs w:val="28"/>
          <w:lang w:bidi="zh-CN"/>
        </w:rPr>
        <w:t>采购活动，服务全部由符合政策要求的小微企业承接。相关企业具体情况如下：</w:t>
      </w:r>
    </w:p>
    <w:p w14:paraId="0F2B3E5B">
      <w:pPr>
        <w:snapToGrid w:val="0"/>
        <w:spacing w:line="360" w:lineRule="auto"/>
        <w:ind w:firstLine="560" w:firstLineChars="200"/>
        <w:jc w:val="left"/>
        <w:outlineLvl w:val="0"/>
        <w:rPr>
          <w:rFonts w:ascii="仿宋" w:hAnsi="仿宋" w:eastAsia="仿宋" w:cs="仿宋"/>
          <w:color w:val="auto"/>
          <w:sz w:val="28"/>
          <w:szCs w:val="28"/>
          <w:lang w:bidi="zh-CN"/>
        </w:rPr>
      </w:pPr>
      <w:r>
        <w:rPr>
          <w:rFonts w:hint="eastAsia" w:ascii="仿宋" w:hAnsi="仿宋" w:eastAsia="仿宋" w:cs="仿宋"/>
          <w:color w:val="auto"/>
          <w:sz w:val="28"/>
          <w:szCs w:val="28"/>
          <w:lang w:bidi="zh-CN"/>
        </w:rPr>
        <w:t>1.</w:t>
      </w:r>
      <w:r>
        <w:rPr>
          <w:rFonts w:hint="eastAsia" w:ascii="仿宋" w:hAnsi="仿宋" w:eastAsia="仿宋" w:cs="仿宋"/>
          <w:color w:val="auto"/>
          <w:sz w:val="28"/>
          <w:szCs w:val="28"/>
          <w:u w:val="single"/>
          <w:lang w:bidi="zh-CN"/>
        </w:rPr>
        <w:t>（标的名称）</w:t>
      </w:r>
      <w:r>
        <w:rPr>
          <w:rFonts w:hint="eastAsia" w:ascii="仿宋" w:hAnsi="仿宋" w:eastAsia="仿宋" w:cs="仿宋"/>
          <w:color w:val="auto"/>
          <w:sz w:val="28"/>
          <w:szCs w:val="28"/>
          <w:lang w:bidi="zh-CN"/>
        </w:rPr>
        <w:t>，属于（</w:t>
      </w:r>
      <w:r>
        <w:rPr>
          <w:rFonts w:hint="eastAsia" w:ascii="仿宋" w:hAnsi="仿宋" w:eastAsia="仿宋" w:cs="仿宋"/>
          <w:color w:val="auto"/>
          <w:sz w:val="28"/>
          <w:szCs w:val="28"/>
          <w:u w:val="single"/>
          <w:lang w:bidi="zh-CN"/>
        </w:rPr>
        <w:t>采购文件中明确的所属行业）</w:t>
      </w:r>
      <w:r>
        <w:rPr>
          <w:rFonts w:hint="eastAsia" w:ascii="仿宋" w:hAnsi="仿宋" w:eastAsia="仿宋" w:cs="仿宋"/>
          <w:color w:val="auto"/>
          <w:sz w:val="28"/>
          <w:szCs w:val="28"/>
          <w:lang w:bidi="zh-CN"/>
        </w:rPr>
        <w:t>；承接企业为</w:t>
      </w:r>
      <w:r>
        <w:rPr>
          <w:rFonts w:hint="eastAsia" w:ascii="仿宋" w:hAnsi="仿宋" w:eastAsia="仿宋" w:cs="仿宋"/>
          <w:color w:val="auto"/>
          <w:sz w:val="28"/>
          <w:szCs w:val="28"/>
          <w:u w:val="single"/>
          <w:lang w:bidi="zh-CN"/>
        </w:rPr>
        <w:t>（企业名称）</w:t>
      </w:r>
      <w:r>
        <w:rPr>
          <w:rFonts w:hint="eastAsia" w:ascii="仿宋" w:hAnsi="仿宋" w:eastAsia="仿宋" w:cs="仿宋"/>
          <w:color w:val="auto"/>
          <w:sz w:val="28"/>
          <w:szCs w:val="28"/>
          <w:lang w:bidi="zh-CN"/>
        </w:rPr>
        <w:t>，从业人员</w:t>
      </w:r>
      <w:r>
        <w:rPr>
          <w:rFonts w:hint="eastAsia" w:ascii="仿宋" w:hAnsi="仿宋" w:eastAsia="仿宋" w:cs="仿宋"/>
          <w:color w:val="auto"/>
          <w:sz w:val="28"/>
          <w:szCs w:val="28"/>
          <w:u w:val="single"/>
          <w:lang w:bidi="zh-CN"/>
        </w:rPr>
        <w:tab/>
      </w:r>
      <w:r>
        <w:rPr>
          <w:rFonts w:hint="eastAsia" w:ascii="仿宋" w:hAnsi="仿宋" w:eastAsia="仿宋" w:cs="仿宋"/>
          <w:color w:val="auto"/>
          <w:sz w:val="28"/>
          <w:szCs w:val="28"/>
          <w:lang w:bidi="zh-CN"/>
        </w:rPr>
        <w:t>人，营业收入为</w:t>
      </w:r>
      <w:r>
        <w:rPr>
          <w:rFonts w:hint="eastAsia" w:ascii="仿宋" w:hAnsi="仿宋" w:eastAsia="仿宋" w:cs="仿宋"/>
          <w:color w:val="auto"/>
          <w:sz w:val="28"/>
          <w:szCs w:val="28"/>
          <w:u w:val="single"/>
          <w:lang w:bidi="zh-CN"/>
        </w:rPr>
        <w:tab/>
      </w:r>
      <w:r>
        <w:rPr>
          <w:rFonts w:hint="eastAsia" w:ascii="仿宋" w:hAnsi="仿宋" w:eastAsia="仿宋" w:cs="仿宋"/>
          <w:color w:val="auto"/>
          <w:sz w:val="28"/>
          <w:szCs w:val="28"/>
          <w:lang w:bidi="zh-CN"/>
        </w:rPr>
        <w:t>万元，资产总额为</w:t>
      </w:r>
      <w:r>
        <w:rPr>
          <w:rFonts w:hint="eastAsia" w:ascii="仿宋" w:hAnsi="仿宋" w:eastAsia="仿宋" w:cs="仿宋"/>
          <w:color w:val="auto"/>
          <w:sz w:val="28"/>
          <w:szCs w:val="28"/>
          <w:u w:val="single"/>
          <w:lang w:bidi="zh-CN"/>
        </w:rPr>
        <w:tab/>
      </w:r>
      <w:r>
        <w:rPr>
          <w:rFonts w:hint="eastAsia" w:ascii="仿宋" w:hAnsi="仿宋" w:eastAsia="仿宋" w:cs="仿宋"/>
          <w:color w:val="auto"/>
          <w:sz w:val="28"/>
          <w:szCs w:val="28"/>
          <w:lang w:bidi="zh-CN"/>
        </w:rPr>
        <w:t>万元，属于</w:t>
      </w:r>
      <w:r>
        <w:rPr>
          <w:rFonts w:hint="eastAsia" w:ascii="仿宋" w:hAnsi="仿宋" w:eastAsia="仿宋" w:cs="仿宋"/>
          <w:color w:val="auto"/>
          <w:sz w:val="28"/>
          <w:szCs w:val="28"/>
          <w:u w:val="single"/>
          <w:lang w:bidi="zh-CN"/>
        </w:rPr>
        <w:t>（中型企业、小型企业、微型企业）</w:t>
      </w:r>
      <w:r>
        <w:rPr>
          <w:rFonts w:hint="eastAsia" w:ascii="仿宋" w:hAnsi="仿宋" w:eastAsia="仿宋" w:cs="仿宋"/>
          <w:color w:val="auto"/>
          <w:sz w:val="28"/>
          <w:szCs w:val="28"/>
          <w:lang w:bidi="zh-CN"/>
        </w:rPr>
        <w:t>；</w:t>
      </w:r>
    </w:p>
    <w:p w14:paraId="7F4DB182">
      <w:pPr>
        <w:snapToGrid w:val="0"/>
        <w:spacing w:line="360" w:lineRule="auto"/>
        <w:ind w:firstLine="560" w:firstLineChars="200"/>
        <w:outlineLvl w:val="0"/>
        <w:rPr>
          <w:rFonts w:ascii="仿宋" w:hAnsi="仿宋" w:eastAsia="仿宋" w:cs="仿宋"/>
          <w:color w:val="auto"/>
          <w:sz w:val="28"/>
          <w:szCs w:val="28"/>
          <w:lang w:bidi="zh-CN"/>
        </w:rPr>
      </w:pPr>
    </w:p>
    <w:p w14:paraId="0DFC99AA">
      <w:pPr>
        <w:snapToGrid w:val="0"/>
        <w:spacing w:line="360" w:lineRule="auto"/>
        <w:ind w:firstLine="560" w:firstLineChars="200"/>
        <w:outlineLvl w:val="0"/>
        <w:rPr>
          <w:rFonts w:ascii="仿宋" w:hAnsi="仿宋" w:eastAsia="仿宋" w:cs="仿宋"/>
          <w:color w:val="auto"/>
          <w:sz w:val="28"/>
          <w:szCs w:val="28"/>
          <w:lang w:bidi="zh-CN"/>
        </w:rPr>
      </w:pPr>
      <w:r>
        <w:rPr>
          <w:rFonts w:hint="eastAsia" w:ascii="仿宋" w:hAnsi="仿宋" w:eastAsia="仿宋" w:cs="仿宋"/>
          <w:color w:val="auto"/>
          <w:sz w:val="28"/>
          <w:szCs w:val="28"/>
          <w:lang w:bidi="zh-CN"/>
        </w:rPr>
        <w:t>以上企业，不属于大企业的分支机构，不存在控股股东为大企业的情形，也不存在与大企业的负责人为同一人的情形。</w:t>
      </w:r>
    </w:p>
    <w:p w14:paraId="18B96D62">
      <w:pPr>
        <w:snapToGrid w:val="0"/>
        <w:spacing w:line="360" w:lineRule="auto"/>
        <w:ind w:firstLine="560" w:firstLineChars="200"/>
        <w:outlineLvl w:val="0"/>
        <w:rPr>
          <w:rFonts w:ascii="仿宋" w:hAnsi="仿宋" w:eastAsia="仿宋" w:cs="仿宋"/>
          <w:color w:val="auto"/>
          <w:sz w:val="28"/>
          <w:szCs w:val="28"/>
          <w:lang w:bidi="zh-CN"/>
        </w:rPr>
      </w:pPr>
      <w:r>
        <w:rPr>
          <w:rFonts w:hint="eastAsia" w:ascii="仿宋" w:hAnsi="仿宋" w:eastAsia="仿宋" w:cs="仿宋"/>
          <w:color w:val="auto"/>
          <w:sz w:val="28"/>
          <w:szCs w:val="28"/>
          <w:lang w:bidi="zh-CN"/>
        </w:rPr>
        <w:t>本企业对上述声明内容的真实性负责。如有虚假，将依法承担相应责任。</w:t>
      </w:r>
    </w:p>
    <w:p w14:paraId="74899635">
      <w:pPr>
        <w:snapToGrid w:val="0"/>
        <w:spacing w:line="300" w:lineRule="auto"/>
        <w:outlineLvl w:val="0"/>
        <w:rPr>
          <w:rFonts w:ascii="仿宋" w:hAnsi="仿宋" w:eastAsia="仿宋" w:cs="仿宋"/>
          <w:color w:val="auto"/>
          <w:sz w:val="28"/>
          <w:szCs w:val="28"/>
          <w:lang w:bidi="zh-CN"/>
        </w:rPr>
      </w:pPr>
    </w:p>
    <w:p w14:paraId="156A65B5">
      <w:pPr>
        <w:snapToGrid w:val="0"/>
        <w:spacing w:line="300" w:lineRule="auto"/>
        <w:outlineLvl w:val="0"/>
        <w:rPr>
          <w:rFonts w:ascii="仿宋" w:hAnsi="仿宋" w:eastAsia="仿宋" w:cs="仿宋"/>
          <w:color w:val="auto"/>
          <w:sz w:val="28"/>
          <w:szCs w:val="28"/>
          <w:lang w:bidi="zh-CN"/>
        </w:rPr>
      </w:pPr>
    </w:p>
    <w:p w14:paraId="0A36DC05">
      <w:pPr>
        <w:snapToGrid w:val="0"/>
        <w:spacing w:line="300" w:lineRule="auto"/>
        <w:outlineLvl w:val="0"/>
        <w:rPr>
          <w:rFonts w:ascii="仿宋" w:hAnsi="仿宋" w:eastAsia="仿宋" w:cs="仿宋"/>
          <w:color w:val="auto"/>
          <w:sz w:val="28"/>
          <w:szCs w:val="28"/>
          <w:lang w:bidi="zh-CN"/>
        </w:rPr>
      </w:pPr>
    </w:p>
    <w:p w14:paraId="1A1CEA27">
      <w:pPr>
        <w:snapToGrid w:val="0"/>
        <w:spacing w:line="300" w:lineRule="auto"/>
        <w:outlineLvl w:val="0"/>
        <w:rPr>
          <w:rFonts w:ascii="仿宋" w:hAnsi="仿宋" w:eastAsia="仿宋" w:cs="仿宋"/>
          <w:color w:val="auto"/>
          <w:sz w:val="28"/>
          <w:szCs w:val="28"/>
          <w:lang w:bidi="zh-CN"/>
        </w:rPr>
      </w:pPr>
    </w:p>
    <w:p w14:paraId="4ED10C94">
      <w:pPr>
        <w:snapToGrid w:val="0"/>
        <w:spacing w:line="300" w:lineRule="auto"/>
        <w:outlineLvl w:val="0"/>
        <w:rPr>
          <w:rFonts w:ascii="仿宋" w:hAnsi="仿宋" w:eastAsia="仿宋" w:cs="仿宋"/>
          <w:color w:val="auto"/>
          <w:sz w:val="28"/>
          <w:szCs w:val="28"/>
          <w:lang w:bidi="zh-CN"/>
        </w:rPr>
      </w:pPr>
    </w:p>
    <w:p w14:paraId="3281CAE4">
      <w:pPr>
        <w:snapToGrid w:val="0"/>
        <w:spacing w:line="300" w:lineRule="auto"/>
        <w:ind w:firstLine="4900" w:firstLineChars="1750"/>
        <w:outlineLvl w:val="0"/>
        <w:rPr>
          <w:rFonts w:ascii="仿宋" w:hAnsi="仿宋" w:eastAsia="仿宋" w:cs="仿宋"/>
          <w:color w:val="auto"/>
          <w:sz w:val="28"/>
          <w:szCs w:val="28"/>
          <w:lang w:bidi="zh-CN"/>
        </w:rPr>
      </w:pPr>
      <w:r>
        <w:rPr>
          <w:rFonts w:hint="eastAsia" w:ascii="仿宋" w:hAnsi="仿宋" w:eastAsia="仿宋" w:cs="仿宋"/>
          <w:color w:val="auto"/>
          <w:sz w:val="28"/>
          <w:szCs w:val="28"/>
          <w:lang w:bidi="zh-CN"/>
        </w:rPr>
        <w:t>企业名称（盖章）：</w:t>
      </w:r>
    </w:p>
    <w:p w14:paraId="27218362">
      <w:pPr>
        <w:snapToGrid w:val="0"/>
        <w:spacing w:line="300" w:lineRule="auto"/>
        <w:ind w:firstLine="4900" w:firstLineChars="1750"/>
        <w:outlineLvl w:val="0"/>
        <w:rPr>
          <w:rFonts w:ascii="仿宋" w:hAnsi="仿宋" w:eastAsia="仿宋" w:cs="仿宋"/>
          <w:color w:val="auto"/>
          <w:sz w:val="28"/>
          <w:szCs w:val="28"/>
          <w:lang w:bidi="zh-CN"/>
        </w:rPr>
      </w:pPr>
      <w:r>
        <w:rPr>
          <w:rFonts w:hint="eastAsia" w:ascii="仿宋" w:hAnsi="仿宋" w:eastAsia="仿宋" w:cs="仿宋"/>
          <w:color w:val="auto"/>
          <w:sz w:val="28"/>
          <w:szCs w:val="28"/>
          <w:lang w:bidi="zh-CN"/>
        </w:rPr>
        <w:t>日期：</w:t>
      </w:r>
    </w:p>
    <w:p w14:paraId="76C67C2B">
      <w:pPr>
        <w:pStyle w:val="26"/>
        <w:ind w:firstLine="280"/>
        <w:rPr>
          <w:rFonts w:ascii="仿宋" w:hAnsi="仿宋" w:eastAsia="仿宋" w:cs="仿宋"/>
          <w:color w:val="auto"/>
        </w:rPr>
      </w:pPr>
    </w:p>
    <w:p w14:paraId="3EBF4A66">
      <w:pPr>
        <w:snapToGrid w:val="0"/>
        <w:spacing w:line="300" w:lineRule="auto"/>
        <w:outlineLvl w:val="0"/>
        <w:rPr>
          <w:rFonts w:ascii="仿宋" w:hAnsi="仿宋" w:eastAsia="仿宋" w:cs="仿宋"/>
          <w:color w:val="auto"/>
          <w:sz w:val="28"/>
          <w:szCs w:val="28"/>
        </w:rPr>
      </w:pPr>
    </w:p>
    <w:p w14:paraId="5AA3CFD7">
      <w:pPr>
        <w:snapToGrid w:val="0"/>
        <w:spacing w:line="300" w:lineRule="auto"/>
        <w:outlineLvl w:val="0"/>
        <w:rPr>
          <w:rFonts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附件5</w:t>
      </w:r>
    </w:p>
    <w:p w14:paraId="5BC53F0F">
      <w:pPr>
        <w:spacing w:line="4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残疾人福利性单位声明函</w:t>
      </w:r>
    </w:p>
    <w:p w14:paraId="544DD5E3">
      <w:pPr>
        <w:spacing w:line="588"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414A9007">
      <w:pPr>
        <w:spacing w:line="588"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本单位对上述声明的真实性负责。如有虚假，将依法承担相应责任。</w:t>
      </w:r>
    </w:p>
    <w:p w14:paraId="0F3C2B4D">
      <w:pPr>
        <w:spacing w:line="588"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（备注：1、供应商如不提供此声明函，价格将不做相应扣除。2、中标供应商为残疾人福利单位的，此声明函将随中标结果同时公告，接受社会监督）</w:t>
      </w:r>
    </w:p>
    <w:p w14:paraId="56D609DF">
      <w:pPr>
        <w:spacing w:line="588" w:lineRule="exact"/>
        <w:ind w:firstLine="584" w:firstLineChars="200"/>
        <w:rPr>
          <w:rFonts w:ascii="仿宋" w:hAnsi="仿宋" w:eastAsia="仿宋" w:cs="仿宋"/>
          <w:color w:val="auto"/>
          <w:spacing w:val="6"/>
          <w:sz w:val="28"/>
          <w:szCs w:val="28"/>
        </w:rPr>
      </w:pPr>
    </w:p>
    <w:p w14:paraId="6410EC6B">
      <w:pPr>
        <w:spacing w:line="588" w:lineRule="exact"/>
        <w:ind w:firstLine="584" w:firstLineChars="200"/>
        <w:rPr>
          <w:rFonts w:ascii="仿宋" w:hAnsi="仿宋" w:eastAsia="仿宋" w:cs="仿宋"/>
          <w:color w:val="auto"/>
          <w:spacing w:val="6"/>
          <w:sz w:val="28"/>
          <w:szCs w:val="28"/>
        </w:rPr>
      </w:pPr>
    </w:p>
    <w:p w14:paraId="0CE7F7BE">
      <w:pPr>
        <w:spacing w:line="588" w:lineRule="exact"/>
        <w:ind w:firstLine="584" w:firstLineChars="200"/>
        <w:rPr>
          <w:rFonts w:ascii="仿宋" w:hAnsi="仿宋" w:eastAsia="仿宋" w:cs="仿宋"/>
          <w:color w:val="auto"/>
          <w:spacing w:val="6"/>
          <w:sz w:val="28"/>
          <w:szCs w:val="28"/>
        </w:rPr>
      </w:pPr>
    </w:p>
    <w:p w14:paraId="73CE87E6">
      <w:pPr>
        <w:spacing w:line="588" w:lineRule="exact"/>
        <w:ind w:firstLine="584" w:firstLineChars="200"/>
        <w:rPr>
          <w:rFonts w:ascii="仿宋" w:hAnsi="仿宋" w:eastAsia="仿宋" w:cs="仿宋"/>
          <w:color w:val="auto"/>
          <w:spacing w:val="6"/>
          <w:sz w:val="28"/>
          <w:szCs w:val="28"/>
        </w:rPr>
      </w:pPr>
    </w:p>
    <w:p w14:paraId="544EBEA8">
      <w:pPr>
        <w:tabs>
          <w:tab w:val="left" w:pos="4860"/>
        </w:tabs>
        <w:spacing w:line="588" w:lineRule="exact"/>
        <w:ind w:right="1560"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供应商全称（盖章）：</w:t>
      </w:r>
    </w:p>
    <w:p w14:paraId="3EC463BE">
      <w:pPr>
        <w:tabs>
          <w:tab w:val="left" w:pos="4860"/>
        </w:tabs>
        <w:spacing w:line="588" w:lineRule="exact"/>
        <w:ind w:right="1560"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日  期：</w:t>
      </w:r>
    </w:p>
    <w:p w14:paraId="5B537A33">
      <w:pPr>
        <w:ind w:firstLine="420"/>
        <w:rPr>
          <w:rFonts w:ascii="仿宋" w:hAnsi="仿宋" w:eastAsia="仿宋" w:cs="仿宋"/>
          <w:color w:val="auto"/>
          <w:sz w:val="28"/>
          <w:szCs w:val="28"/>
        </w:rPr>
      </w:pPr>
    </w:p>
    <w:p w14:paraId="1A869D99">
      <w:pPr>
        <w:snapToGrid w:val="0"/>
        <w:spacing w:line="300" w:lineRule="auto"/>
        <w:outlineLvl w:val="0"/>
        <w:rPr>
          <w:rFonts w:ascii="仿宋" w:hAnsi="仿宋" w:eastAsia="仿宋" w:cs="仿宋"/>
          <w:color w:val="auto"/>
          <w:sz w:val="28"/>
          <w:szCs w:val="28"/>
        </w:rPr>
      </w:pPr>
    </w:p>
    <w:p w14:paraId="3623F304">
      <w:pPr>
        <w:snapToGrid w:val="0"/>
        <w:spacing w:line="300" w:lineRule="auto"/>
        <w:outlineLvl w:val="0"/>
        <w:rPr>
          <w:rFonts w:ascii="仿宋" w:hAnsi="仿宋" w:eastAsia="仿宋" w:cs="仿宋"/>
          <w:color w:val="auto"/>
          <w:sz w:val="28"/>
          <w:szCs w:val="28"/>
        </w:rPr>
      </w:pPr>
    </w:p>
    <w:p w14:paraId="417A5634">
      <w:pPr>
        <w:snapToGrid w:val="0"/>
        <w:spacing w:line="300" w:lineRule="auto"/>
        <w:outlineLvl w:val="0"/>
        <w:rPr>
          <w:rFonts w:ascii="仿宋" w:hAnsi="仿宋" w:eastAsia="仿宋" w:cs="仿宋"/>
          <w:color w:val="auto"/>
          <w:sz w:val="28"/>
          <w:szCs w:val="28"/>
        </w:rPr>
      </w:pPr>
    </w:p>
    <w:p w14:paraId="5F230039">
      <w:pPr>
        <w:snapToGrid w:val="0"/>
        <w:spacing w:line="300" w:lineRule="auto"/>
        <w:outlineLvl w:val="0"/>
        <w:rPr>
          <w:rFonts w:ascii="仿宋" w:hAnsi="仿宋" w:eastAsia="仿宋" w:cs="仿宋"/>
          <w:color w:val="auto"/>
          <w:sz w:val="28"/>
          <w:szCs w:val="28"/>
        </w:rPr>
      </w:pPr>
    </w:p>
    <w:p w14:paraId="076E0A45">
      <w:pPr>
        <w:snapToGrid w:val="0"/>
        <w:spacing w:line="300" w:lineRule="auto"/>
        <w:outlineLvl w:val="0"/>
        <w:rPr>
          <w:rFonts w:ascii="仿宋" w:hAnsi="仿宋" w:eastAsia="仿宋" w:cs="仿宋"/>
          <w:color w:val="auto"/>
          <w:sz w:val="32"/>
          <w:szCs w:val="32"/>
        </w:rPr>
      </w:pPr>
    </w:p>
    <w:p w14:paraId="5CFE8FCA">
      <w:pPr>
        <w:snapToGrid w:val="0"/>
        <w:spacing w:line="300" w:lineRule="auto"/>
        <w:outlineLvl w:val="0"/>
        <w:rPr>
          <w:rFonts w:ascii="仿宋" w:hAnsi="仿宋" w:eastAsia="仿宋" w:cs="仿宋"/>
          <w:color w:val="auto"/>
          <w:sz w:val="32"/>
          <w:szCs w:val="32"/>
        </w:rPr>
      </w:pPr>
      <w:r>
        <w:rPr>
          <w:rFonts w:hint="eastAsia" w:ascii="仿宋" w:hAnsi="仿宋" w:eastAsia="仿宋" w:cs="仿宋"/>
          <w:color w:val="auto"/>
          <w:sz w:val="32"/>
          <w:szCs w:val="32"/>
        </w:rPr>
        <w:br w:type="page"/>
      </w:r>
      <w:r>
        <w:rPr>
          <w:rFonts w:hint="eastAsia" w:ascii="仿宋" w:hAnsi="仿宋" w:eastAsia="仿宋" w:cs="仿宋"/>
          <w:color w:val="auto"/>
          <w:sz w:val="32"/>
          <w:szCs w:val="32"/>
        </w:rPr>
        <w:t>附件6</w:t>
      </w:r>
    </w:p>
    <w:p w14:paraId="66ABF931">
      <w:pPr>
        <w:snapToGrid w:val="0"/>
        <w:spacing w:line="420" w:lineRule="exact"/>
        <w:jc w:val="center"/>
        <w:outlineLvl w:val="3"/>
        <w:rPr>
          <w:rFonts w:ascii="仿宋" w:hAnsi="仿宋" w:eastAsia="仿宋" w:cs="仿宋"/>
          <w:b/>
          <w:bCs/>
          <w:color w:val="auto"/>
          <w:sz w:val="32"/>
          <w:szCs w:val="32"/>
        </w:rPr>
      </w:pPr>
      <w:r>
        <w:rPr>
          <w:rFonts w:hint="eastAsia" w:ascii="仿宋" w:hAnsi="仿宋" w:eastAsia="仿宋" w:cs="仿宋"/>
          <w:b/>
          <w:bCs/>
          <w:color w:val="auto"/>
          <w:sz w:val="32"/>
          <w:szCs w:val="32"/>
        </w:rPr>
        <w:t>监狱和戒毒企业证明材料</w:t>
      </w:r>
    </w:p>
    <w:p w14:paraId="3940F769">
      <w:pPr>
        <w:snapToGrid w:val="0"/>
        <w:spacing w:line="420" w:lineRule="exact"/>
        <w:ind w:firstLine="495" w:firstLineChars="177"/>
        <w:rPr>
          <w:rFonts w:ascii="仿宋" w:hAnsi="仿宋" w:eastAsia="仿宋" w:cs="仿宋"/>
          <w:color w:val="auto"/>
          <w:sz w:val="28"/>
          <w:szCs w:val="28"/>
        </w:rPr>
      </w:pPr>
    </w:p>
    <w:p w14:paraId="771B8209">
      <w:pPr>
        <w:snapToGrid w:val="0"/>
        <w:spacing w:line="420" w:lineRule="exact"/>
        <w:ind w:firstLine="498" w:firstLineChars="177"/>
        <w:rPr>
          <w:rFonts w:ascii="仿宋" w:hAnsi="仿宋" w:eastAsia="仿宋" w:cs="仿宋"/>
          <w:b/>
          <w:color w:val="auto"/>
          <w:sz w:val="28"/>
          <w:szCs w:val="28"/>
        </w:rPr>
      </w:pPr>
      <w:r>
        <w:rPr>
          <w:rFonts w:hint="eastAsia" w:ascii="仿宋" w:hAnsi="仿宋" w:eastAsia="仿宋" w:cs="仿宋"/>
          <w:b/>
          <w:color w:val="auto"/>
          <w:sz w:val="28"/>
          <w:szCs w:val="28"/>
        </w:rPr>
        <w:t>（格式自拟）</w:t>
      </w:r>
    </w:p>
    <w:p w14:paraId="41EE9CD8">
      <w:pPr>
        <w:snapToGrid w:val="0"/>
        <w:spacing w:line="420" w:lineRule="exact"/>
        <w:ind w:firstLine="495" w:firstLineChars="177"/>
        <w:rPr>
          <w:rFonts w:ascii="仿宋" w:hAnsi="仿宋" w:eastAsia="仿宋" w:cs="仿宋"/>
          <w:color w:val="auto"/>
          <w:sz w:val="28"/>
          <w:szCs w:val="28"/>
        </w:rPr>
      </w:pPr>
    </w:p>
    <w:p w14:paraId="50A9AAB6">
      <w:pPr>
        <w:snapToGrid w:val="0"/>
        <w:spacing w:line="420" w:lineRule="exact"/>
        <w:ind w:firstLine="660" w:firstLineChars="236"/>
        <w:rPr>
          <w:rFonts w:ascii="仿宋" w:hAnsi="仿宋" w:eastAsia="仿宋" w:cs="仿宋"/>
          <w:color w:val="auto"/>
          <w:sz w:val="28"/>
          <w:szCs w:val="28"/>
        </w:rPr>
      </w:pPr>
      <w:r>
        <w:rPr>
          <w:rFonts w:hint="eastAsia" w:ascii="仿宋" w:hAnsi="仿宋" w:eastAsia="仿宋" w:cs="仿宋"/>
          <w:color w:val="auto"/>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7413E88">
      <w:pPr>
        <w:pStyle w:val="46"/>
        <w:rPr>
          <w:rFonts w:ascii="仿宋" w:hAnsi="仿宋" w:eastAsia="仿宋" w:cs="仿宋"/>
          <w:color w:val="auto"/>
        </w:rPr>
        <w:sectPr>
          <w:headerReference r:id="rId7" w:type="default"/>
          <w:pgSz w:w="11906" w:h="16838"/>
          <w:pgMar w:top="1440" w:right="1080" w:bottom="1440" w:left="1080" w:header="851" w:footer="992" w:gutter="0"/>
          <w:cols w:space="720" w:num="1"/>
          <w:docGrid w:type="lines" w:linePitch="312" w:charSpace="0"/>
        </w:sectPr>
      </w:pPr>
    </w:p>
    <w:p w14:paraId="2139702D">
      <w:pPr>
        <w:snapToGrid w:val="0"/>
        <w:spacing w:line="300" w:lineRule="auto"/>
        <w:contextualSpacing/>
        <w:rPr>
          <w:rFonts w:ascii="仿宋" w:hAnsi="仿宋" w:eastAsia="仿宋" w:cs="仿宋"/>
          <w:color w:val="auto"/>
          <w:kern w:val="0"/>
          <w:sz w:val="32"/>
          <w:szCs w:val="32"/>
        </w:rPr>
      </w:pPr>
      <w:r>
        <w:rPr>
          <w:rFonts w:hint="eastAsia" w:ascii="仿宋" w:hAnsi="仿宋" w:eastAsia="仿宋" w:cs="仿宋"/>
          <w:color w:val="auto"/>
          <w:kern w:val="0"/>
          <w:sz w:val="32"/>
          <w:szCs w:val="32"/>
        </w:rPr>
        <w:t>附件7</w:t>
      </w:r>
    </w:p>
    <w:p w14:paraId="47421C97">
      <w:pPr>
        <w:widowControl/>
        <w:spacing w:line="460" w:lineRule="exact"/>
        <w:jc w:val="center"/>
        <w:rPr>
          <w:rFonts w:ascii="仿宋" w:hAnsi="仿宋" w:eastAsia="仿宋" w:cs="仿宋"/>
          <w:color w:val="auto"/>
          <w:kern w:val="0"/>
          <w:sz w:val="32"/>
          <w:szCs w:val="32"/>
        </w:rPr>
      </w:pPr>
      <w:r>
        <w:rPr>
          <w:rFonts w:hint="eastAsia" w:ascii="仿宋" w:hAnsi="仿宋" w:eastAsia="仿宋" w:cs="仿宋"/>
          <w:b/>
          <w:bCs/>
          <w:color w:val="auto"/>
          <w:kern w:val="0"/>
          <w:sz w:val="32"/>
          <w:szCs w:val="32"/>
        </w:rPr>
        <w:t>报价总表</w:t>
      </w:r>
    </w:p>
    <w:p w14:paraId="0808C405">
      <w:pPr>
        <w:spacing w:line="460" w:lineRule="exact"/>
        <w:rPr>
          <w:rFonts w:ascii="仿宋" w:hAnsi="仿宋" w:eastAsia="仿宋" w:cs="仿宋"/>
          <w:color w:val="auto"/>
          <w:kern w:val="0"/>
          <w:sz w:val="28"/>
          <w:szCs w:val="28"/>
          <w:u w:val="single"/>
        </w:rPr>
      </w:pPr>
      <w:r>
        <w:rPr>
          <w:rFonts w:hint="eastAsia" w:ascii="仿宋" w:hAnsi="仿宋" w:eastAsia="仿宋" w:cs="仿宋"/>
          <w:color w:val="auto"/>
          <w:kern w:val="0"/>
          <w:sz w:val="28"/>
          <w:szCs w:val="28"/>
        </w:rPr>
        <w:t>供应商全称（加盖公章）：</w:t>
      </w:r>
    </w:p>
    <w:p w14:paraId="74C796DA">
      <w:pPr>
        <w:spacing w:line="460" w:lineRule="exact"/>
        <w:rPr>
          <w:rFonts w:ascii="仿宋" w:hAnsi="仿宋" w:eastAsia="仿宋" w:cs="仿宋"/>
          <w:color w:val="auto"/>
          <w:kern w:val="0"/>
          <w:sz w:val="28"/>
          <w:szCs w:val="28"/>
          <w:u w:val="single"/>
        </w:rPr>
      </w:pPr>
      <w:r>
        <w:rPr>
          <w:rFonts w:hint="eastAsia" w:ascii="仿宋" w:hAnsi="仿宋" w:eastAsia="仿宋" w:cs="仿宋"/>
          <w:color w:val="auto"/>
          <w:kern w:val="0"/>
          <w:sz w:val="28"/>
          <w:szCs w:val="28"/>
        </w:rPr>
        <w:t>项目名称：</w:t>
      </w:r>
    </w:p>
    <w:p w14:paraId="4A7EB84C">
      <w:pPr>
        <w:spacing w:line="4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项目编号：</w:t>
      </w:r>
    </w:p>
    <w:tbl>
      <w:tblPr>
        <w:tblStyle w:val="28"/>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8"/>
        <w:gridCol w:w="4349"/>
      </w:tblGrid>
      <w:tr w14:paraId="5EEF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pct"/>
          </w:tcPr>
          <w:p w14:paraId="4DF9BFC5">
            <w:pPr>
              <w:spacing w:line="460" w:lineRule="exact"/>
              <w:jc w:val="center"/>
              <w:rPr>
                <w:rFonts w:ascii="仿宋" w:hAnsi="仿宋" w:eastAsia="仿宋" w:cs="仿宋"/>
                <w:color w:val="auto"/>
                <w:szCs w:val="22"/>
              </w:rPr>
            </w:pPr>
            <w:r>
              <w:rPr>
                <w:rFonts w:hint="eastAsia" w:ascii="仿宋" w:hAnsi="仿宋" w:eastAsia="仿宋" w:cs="仿宋"/>
                <w:color w:val="auto"/>
                <w:kern w:val="0"/>
                <w:sz w:val="28"/>
                <w:szCs w:val="28"/>
              </w:rPr>
              <w:t>磋商货物、服务名称</w:t>
            </w:r>
          </w:p>
        </w:tc>
        <w:tc>
          <w:tcPr>
            <w:tcW w:w="2577" w:type="pct"/>
          </w:tcPr>
          <w:p w14:paraId="5BCB4F0C">
            <w:pPr>
              <w:spacing w:line="460" w:lineRule="exact"/>
              <w:jc w:val="center"/>
              <w:rPr>
                <w:rFonts w:ascii="仿宋" w:hAnsi="仿宋" w:eastAsia="仿宋" w:cs="仿宋"/>
                <w:color w:val="auto"/>
                <w:szCs w:val="22"/>
              </w:rPr>
            </w:pPr>
            <w:r>
              <w:rPr>
                <w:rFonts w:hint="eastAsia" w:ascii="仿宋" w:hAnsi="仿宋" w:eastAsia="仿宋" w:cs="仿宋"/>
                <w:color w:val="auto"/>
                <w:kern w:val="0"/>
                <w:sz w:val="28"/>
                <w:szCs w:val="28"/>
              </w:rPr>
              <w:t>磋商总报价</w:t>
            </w:r>
          </w:p>
        </w:tc>
      </w:tr>
      <w:tr w14:paraId="249F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422" w:type="pct"/>
          </w:tcPr>
          <w:p w14:paraId="47E3FF9A">
            <w:pPr>
              <w:spacing w:line="460" w:lineRule="exact"/>
              <w:jc w:val="left"/>
              <w:rPr>
                <w:rFonts w:ascii="仿宋" w:hAnsi="仿宋" w:eastAsia="仿宋" w:cs="仿宋"/>
                <w:color w:val="auto"/>
                <w:szCs w:val="22"/>
              </w:rPr>
            </w:pPr>
          </w:p>
        </w:tc>
        <w:tc>
          <w:tcPr>
            <w:tcW w:w="2577" w:type="pct"/>
            <w:vAlign w:val="center"/>
          </w:tcPr>
          <w:p w14:paraId="3502367A">
            <w:pPr>
              <w:spacing w:line="4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大写：人民币</w:t>
            </w:r>
          </w:p>
          <w:p w14:paraId="00438E1B">
            <w:pPr>
              <w:spacing w:line="460" w:lineRule="exact"/>
              <w:rPr>
                <w:rFonts w:ascii="仿宋" w:hAnsi="仿宋" w:eastAsia="仿宋" w:cs="仿宋"/>
                <w:color w:val="auto"/>
                <w:szCs w:val="22"/>
                <w:u w:val="single"/>
              </w:rPr>
            </w:pPr>
            <w:r>
              <w:rPr>
                <w:rFonts w:hint="eastAsia" w:ascii="仿宋" w:hAnsi="仿宋" w:eastAsia="仿宋" w:cs="仿宋"/>
                <w:color w:val="auto"/>
                <w:kern w:val="0"/>
                <w:sz w:val="28"/>
                <w:szCs w:val="28"/>
              </w:rPr>
              <w:t>小写：    元（人民币）</w:t>
            </w:r>
          </w:p>
        </w:tc>
      </w:tr>
    </w:tbl>
    <w:p w14:paraId="313E88EC">
      <w:pPr>
        <w:spacing w:line="4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日期：</w:t>
      </w:r>
    </w:p>
    <w:p w14:paraId="4AF8C2AF">
      <w:pPr>
        <w:spacing w:line="4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填写说明：</w:t>
      </w:r>
    </w:p>
    <w:p w14:paraId="09C07875">
      <w:pPr>
        <w:spacing w:line="460" w:lineRule="exact"/>
        <w:rPr>
          <w:rFonts w:ascii="仿宋" w:hAnsi="仿宋" w:eastAsia="仿宋" w:cs="仿宋"/>
          <w:color w:val="auto"/>
          <w:kern w:val="0"/>
          <w:sz w:val="28"/>
          <w:szCs w:val="28"/>
        </w:rPr>
      </w:pPr>
      <w:r>
        <w:rPr>
          <w:rFonts w:hint="eastAsia" w:ascii="仿宋" w:hAnsi="仿宋" w:eastAsia="仿宋" w:cs="仿宋"/>
          <w:color w:val="auto"/>
          <w:kern w:val="0"/>
          <w:sz w:val="28"/>
          <w:szCs w:val="28"/>
        </w:rPr>
        <w:t>1.报价总表必须加盖供应商公章（复印件无效）。</w:t>
      </w:r>
    </w:p>
    <w:p w14:paraId="36435C37">
      <w:pPr>
        <w:snapToGrid w:val="0"/>
        <w:spacing w:line="360" w:lineRule="auto"/>
        <w:ind w:firstLine="540" w:firstLineChars="192"/>
        <w:contextualSpacing/>
        <w:rPr>
          <w:rFonts w:ascii="仿宋" w:hAnsi="仿宋" w:eastAsia="仿宋" w:cs="仿宋"/>
          <w:b/>
          <w:color w:val="auto"/>
          <w:kern w:val="0"/>
          <w:sz w:val="28"/>
          <w:szCs w:val="28"/>
        </w:rPr>
      </w:pPr>
    </w:p>
    <w:p w14:paraId="5128173F">
      <w:pPr>
        <w:snapToGrid w:val="0"/>
        <w:spacing w:line="360" w:lineRule="auto"/>
        <w:ind w:firstLine="540" w:firstLineChars="192"/>
        <w:contextualSpacing/>
        <w:rPr>
          <w:rFonts w:ascii="仿宋" w:hAnsi="仿宋" w:eastAsia="仿宋" w:cs="仿宋"/>
          <w:b/>
          <w:color w:val="auto"/>
          <w:kern w:val="0"/>
          <w:sz w:val="28"/>
          <w:szCs w:val="28"/>
        </w:rPr>
      </w:pPr>
    </w:p>
    <w:p w14:paraId="22FA00EC">
      <w:pPr>
        <w:snapToGrid w:val="0"/>
        <w:spacing w:line="360" w:lineRule="auto"/>
        <w:ind w:firstLine="540" w:firstLineChars="192"/>
        <w:contextualSpacing/>
        <w:rPr>
          <w:rFonts w:ascii="仿宋" w:hAnsi="仿宋" w:eastAsia="仿宋" w:cs="仿宋"/>
          <w:b/>
          <w:color w:val="auto"/>
          <w:kern w:val="0"/>
          <w:sz w:val="28"/>
          <w:szCs w:val="28"/>
        </w:rPr>
      </w:pPr>
    </w:p>
    <w:p w14:paraId="12AEC6C0">
      <w:pPr>
        <w:pStyle w:val="10"/>
        <w:rPr>
          <w:rFonts w:ascii="仿宋" w:hAnsi="仿宋" w:eastAsia="仿宋" w:cs="仿宋"/>
          <w:b/>
          <w:color w:val="auto"/>
          <w:kern w:val="0"/>
          <w:szCs w:val="28"/>
        </w:rPr>
      </w:pPr>
    </w:p>
    <w:p w14:paraId="050B9C59">
      <w:pPr>
        <w:rPr>
          <w:rFonts w:ascii="仿宋" w:hAnsi="仿宋" w:eastAsia="仿宋" w:cs="仿宋"/>
          <w:b/>
          <w:color w:val="auto"/>
          <w:kern w:val="0"/>
          <w:sz w:val="28"/>
          <w:szCs w:val="28"/>
        </w:rPr>
      </w:pPr>
    </w:p>
    <w:p w14:paraId="7767DD5A">
      <w:pPr>
        <w:pStyle w:val="10"/>
        <w:rPr>
          <w:rFonts w:ascii="仿宋" w:hAnsi="仿宋" w:eastAsia="仿宋" w:cs="仿宋"/>
          <w:b/>
          <w:color w:val="auto"/>
          <w:kern w:val="0"/>
          <w:szCs w:val="28"/>
        </w:rPr>
      </w:pPr>
    </w:p>
    <w:p w14:paraId="2744E4E2">
      <w:pPr>
        <w:snapToGrid w:val="0"/>
        <w:spacing w:line="360" w:lineRule="auto"/>
        <w:contextualSpacing/>
        <w:rPr>
          <w:rFonts w:ascii="仿宋" w:hAnsi="仿宋" w:eastAsia="仿宋" w:cs="仿宋"/>
          <w:b/>
          <w:color w:val="auto"/>
          <w:kern w:val="0"/>
          <w:sz w:val="28"/>
          <w:szCs w:val="28"/>
        </w:rPr>
      </w:pPr>
    </w:p>
    <w:p w14:paraId="67E59ED9">
      <w:pPr>
        <w:snapToGrid w:val="0"/>
        <w:spacing w:line="300" w:lineRule="auto"/>
        <w:ind w:firstLine="640" w:firstLineChars="200"/>
        <w:contextualSpacing/>
        <w:rPr>
          <w:rFonts w:ascii="仿宋" w:hAnsi="仿宋" w:eastAsia="仿宋" w:cs="仿宋"/>
          <w:color w:val="auto"/>
          <w:kern w:val="0"/>
          <w:sz w:val="32"/>
          <w:szCs w:val="32"/>
        </w:rPr>
      </w:pPr>
    </w:p>
    <w:p w14:paraId="62BE43D5">
      <w:pPr>
        <w:snapToGrid w:val="0"/>
        <w:spacing w:line="300" w:lineRule="auto"/>
        <w:ind w:firstLine="640" w:firstLineChars="200"/>
        <w:contextualSpacing/>
        <w:rPr>
          <w:rFonts w:ascii="仿宋" w:hAnsi="仿宋" w:eastAsia="仿宋" w:cs="仿宋"/>
          <w:color w:val="auto"/>
          <w:kern w:val="0"/>
          <w:sz w:val="32"/>
          <w:szCs w:val="32"/>
        </w:rPr>
      </w:pPr>
    </w:p>
    <w:p w14:paraId="2BD76C9D">
      <w:pPr>
        <w:snapToGrid w:val="0"/>
        <w:spacing w:line="300" w:lineRule="auto"/>
        <w:ind w:firstLine="640" w:firstLineChars="200"/>
        <w:contextualSpacing/>
        <w:rPr>
          <w:rFonts w:ascii="仿宋" w:hAnsi="仿宋" w:eastAsia="仿宋" w:cs="仿宋"/>
          <w:color w:val="auto"/>
          <w:kern w:val="0"/>
          <w:sz w:val="32"/>
          <w:szCs w:val="32"/>
        </w:rPr>
      </w:pPr>
    </w:p>
    <w:p w14:paraId="6EEA6D56">
      <w:pPr>
        <w:rPr>
          <w:rFonts w:ascii="仿宋" w:hAnsi="仿宋" w:eastAsia="仿宋" w:cs="仿宋"/>
          <w:color w:val="auto"/>
          <w:kern w:val="0"/>
          <w:sz w:val="32"/>
          <w:szCs w:val="32"/>
        </w:rPr>
      </w:pPr>
      <w:r>
        <w:rPr>
          <w:rFonts w:hint="eastAsia" w:ascii="仿宋" w:hAnsi="仿宋" w:eastAsia="仿宋" w:cs="仿宋"/>
          <w:color w:val="auto"/>
          <w:kern w:val="0"/>
          <w:sz w:val="32"/>
          <w:szCs w:val="32"/>
        </w:rPr>
        <w:br w:type="page"/>
      </w:r>
    </w:p>
    <w:p w14:paraId="123B0A15">
      <w:pPr>
        <w:snapToGrid w:val="0"/>
        <w:spacing w:line="300" w:lineRule="auto"/>
        <w:contextualSpacing/>
        <w:rPr>
          <w:rFonts w:ascii="仿宋" w:hAnsi="仿宋" w:eastAsia="仿宋" w:cs="仿宋"/>
          <w:color w:val="auto"/>
          <w:kern w:val="0"/>
          <w:sz w:val="32"/>
          <w:szCs w:val="32"/>
        </w:rPr>
      </w:pPr>
      <w:r>
        <w:rPr>
          <w:rFonts w:hint="eastAsia" w:ascii="仿宋" w:hAnsi="仿宋" w:eastAsia="仿宋" w:cs="仿宋"/>
          <w:color w:val="auto"/>
          <w:kern w:val="0"/>
          <w:sz w:val="32"/>
          <w:szCs w:val="32"/>
        </w:rPr>
        <w:t>附件8</w:t>
      </w:r>
    </w:p>
    <w:p w14:paraId="7F96DC3B">
      <w:pPr>
        <w:spacing w:line="40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分项报价明细表（服务类）</w:t>
      </w:r>
    </w:p>
    <w:p w14:paraId="561585FD">
      <w:pPr>
        <w:snapToGrid w:val="0"/>
        <w:spacing w:line="400" w:lineRule="exact"/>
        <w:rPr>
          <w:rFonts w:ascii="仿宋" w:hAnsi="仿宋" w:eastAsia="仿宋" w:cs="仿宋"/>
          <w:color w:val="auto"/>
          <w:sz w:val="28"/>
          <w:szCs w:val="28"/>
        </w:rPr>
      </w:pPr>
      <w:r>
        <w:rPr>
          <w:rFonts w:hint="eastAsia" w:ascii="仿宋" w:hAnsi="仿宋" w:eastAsia="仿宋" w:cs="仿宋"/>
          <w:color w:val="auto"/>
          <w:sz w:val="28"/>
          <w:szCs w:val="28"/>
        </w:rPr>
        <w:t>投标人（盖章）：</w:t>
      </w:r>
    </w:p>
    <w:tbl>
      <w:tblPr>
        <w:tblStyle w:val="28"/>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3B38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ign w:val="center"/>
          </w:tcPr>
          <w:p w14:paraId="23C19764">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序号</w:t>
            </w:r>
          </w:p>
        </w:tc>
        <w:tc>
          <w:tcPr>
            <w:tcW w:w="1321" w:type="dxa"/>
            <w:noWrap/>
            <w:vAlign w:val="center"/>
          </w:tcPr>
          <w:p w14:paraId="64409187">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名称</w:t>
            </w:r>
          </w:p>
        </w:tc>
        <w:tc>
          <w:tcPr>
            <w:tcW w:w="1417" w:type="dxa"/>
            <w:noWrap/>
            <w:vAlign w:val="center"/>
          </w:tcPr>
          <w:p w14:paraId="5EA51D42">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服务范围</w:t>
            </w:r>
          </w:p>
        </w:tc>
        <w:tc>
          <w:tcPr>
            <w:tcW w:w="1418" w:type="dxa"/>
            <w:noWrap/>
            <w:vAlign w:val="center"/>
          </w:tcPr>
          <w:p w14:paraId="6F8A5D39">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服务要求</w:t>
            </w:r>
          </w:p>
        </w:tc>
        <w:tc>
          <w:tcPr>
            <w:tcW w:w="1275" w:type="dxa"/>
            <w:noWrap/>
            <w:vAlign w:val="center"/>
          </w:tcPr>
          <w:p w14:paraId="182DA034">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服务时间</w:t>
            </w:r>
          </w:p>
        </w:tc>
        <w:tc>
          <w:tcPr>
            <w:tcW w:w="1276" w:type="dxa"/>
            <w:noWrap/>
            <w:vAlign w:val="center"/>
          </w:tcPr>
          <w:p w14:paraId="70A0F7F7">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服务标准</w:t>
            </w:r>
          </w:p>
        </w:tc>
        <w:tc>
          <w:tcPr>
            <w:tcW w:w="851" w:type="dxa"/>
            <w:noWrap/>
            <w:vAlign w:val="center"/>
          </w:tcPr>
          <w:p w14:paraId="3D821013">
            <w:pPr>
              <w:snapToGrid w:val="0"/>
              <w:spacing w:line="360" w:lineRule="auto"/>
              <w:jc w:val="center"/>
              <w:rPr>
                <w:rFonts w:ascii="仿宋" w:hAnsi="仿宋" w:eastAsia="仿宋" w:cs="仿宋"/>
                <w:b/>
                <w:color w:val="auto"/>
                <w:szCs w:val="21"/>
              </w:rPr>
            </w:pPr>
            <w:r>
              <w:rPr>
                <w:rFonts w:hint="eastAsia" w:ascii="仿宋" w:hAnsi="仿宋" w:eastAsia="仿宋" w:cs="仿宋"/>
                <w:b/>
                <w:color w:val="auto"/>
                <w:szCs w:val="21"/>
              </w:rPr>
              <w:t>金额</w:t>
            </w:r>
          </w:p>
        </w:tc>
        <w:tc>
          <w:tcPr>
            <w:tcW w:w="1151" w:type="dxa"/>
            <w:noWrap/>
            <w:vAlign w:val="center"/>
          </w:tcPr>
          <w:p w14:paraId="0EB586EA">
            <w:pPr>
              <w:snapToGrid w:val="0"/>
              <w:spacing w:line="360" w:lineRule="auto"/>
              <w:ind w:firstLine="105" w:firstLineChars="50"/>
              <w:jc w:val="center"/>
              <w:rPr>
                <w:rFonts w:ascii="仿宋" w:hAnsi="仿宋" w:eastAsia="仿宋" w:cs="仿宋"/>
                <w:b/>
                <w:color w:val="auto"/>
                <w:szCs w:val="21"/>
              </w:rPr>
            </w:pPr>
            <w:r>
              <w:rPr>
                <w:rFonts w:hint="eastAsia" w:ascii="仿宋" w:hAnsi="仿宋" w:eastAsia="仿宋" w:cs="仿宋"/>
                <w:b/>
                <w:color w:val="auto"/>
                <w:szCs w:val="21"/>
              </w:rPr>
              <w:t>备注</w:t>
            </w:r>
          </w:p>
        </w:tc>
      </w:tr>
      <w:tr w14:paraId="566E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ign w:val="center"/>
          </w:tcPr>
          <w:p w14:paraId="2CA51F57">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321" w:type="dxa"/>
            <w:noWrap/>
            <w:vAlign w:val="center"/>
          </w:tcPr>
          <w:p w14:paraId="2A9D1EF9">
            <w:pPr>
              <w:snapToGrid w:val="0"/>
              <w:spacing w:line="360" w:lineRule="auto"/>
              <w:jc w:val="center"/>
              <w:rPr>
                <w:rFonts w:ascii="仿宋" w:hAnsi="仿宋" w:eastAsia="仿宋" w:cs="仿宋"/>
                <w:color w:val="auto"/>
                <w:sz w:val="24"/>
              </w:rPr>
            </w:pPr>
          </w:p>
        </w:tc>
        <w:tc>
          <w:tcPr>
            <w:tcW w:w="1417" w:type="dxa"/>
            <w:noWrap/>
            <w:vAlign w:val="center"/>
          </w:tcPr>
          <w:p w14:paraId="136A52E9">
            <w:pPr>
              <w:snapToGrid w:val="0"/>
              <w:spacing w:line="360" w:lineRule="auto"/>
              <w:jc w:val="center"/>
              <w:rPr>
                <w:rFonts w:ascii="仿宋" w:hAnsi="仿宋" w:eastAsia="仿宋" w:cs="仿宋"/>
                <w:color w:val="auto"/>
                <w:sz w:val="24"/>
              </w:rPr>
            </w:pPr>
          </w:p>
        </w:tc>
        <w:tc>
          <w:tcPr>
            <w:tcW w:w="1418" w:type="dxa"/>
            <w:noWrap/>
            <w:vAlign w:val="center"/>
          </w:tcPr>
          <w:p w14:paraId="44C47E0A">
            <w:pPr>
              <w:snapToGrid w:val="0"/>
              <w:spacing w:line="360" w:lineRule="auto"/>
              <w:jc w:val="center"/>
              <w:rPr>
                <w:rFonts w:ascii="仿宋" w:hAnsi="仿宋" w:eastAsia="仿宋" w:cs="仿宋"/>
                <w:color w:val="auto"/>
                <w:sz w:val="24"/>
              </w:rPr>
            </w:pPr>
          </w:p>
        </w:tc>
        <w:tc>
          <w:tcPr>
            <w:tcW w:w="1275" w:type="dxa"/>
            <w:noWrap/>
            <w:vAlign w:val="center"/>
          </w:tcPr>
          <w:p w14:paraId="7FB8B3FC">
            <w:pPr>
              <w:snapToGrid w:val="0"/>
              <w:spacing w:line="360" w:lineRule="auto"/>
              <w:jc w:val="center"/>
              <w:rPr>
                <w:rFonts w:ascii="仿宋" w:hAnsi="仿宋" w:eastAsia="仿宋" w:cs="仿宋"/>
                <w:color w:val="auto"/>
                <w:sz w:val="24"/>
              </w:rPr>
            </w:pPr>
          </w:p>
        </w:tc>
        <w:tc>
          <w:tcPr>
            <w:tcW w:w="1276" w:type="dxa"/>
            <w:noWrap/>
            <w:vAlign w:val="center"/>
          </w:tcPr>
          <w:p w14:paraId="0C52E39A">
            <w:pPr>
              <w:snapToGrid w:val="0"/>
              <w:spacing w:line="360" w:lineRule="auto"/>
              <w:jc w:val="center"/>
              <w:rPr>
                <w:rFonts w:ascii="仿宋" w:hAnsi="仿宋" w:eastAsia="仿宋" w:cs="仿宋"/>
                <w:color w:val="auto"/>
                <w:sz w:val="24"/>
              </w:rPr>
            </w:pPr>
          </w:p>
        </w:tc>
        <w:tc>
          <w:tcPr>
            <w:tcW w:w="851" w:type="dxa"/>
            <w:noWrap/>
            <w:vAlign w:val="center"/>
          </w:tcPr>
          <w:p w14:paraId="48C9DE75">
            <w:pPr>
              <w:snapToGrid w:val="0"/>
              <w:spacing w:line="360" w:lineRule="auto"/>
              <w:jc w:val="center"/>
              <w:rPr>
                <w:rFonts w:ascii="仿宋" w:hAnsi="仿宋" w:eastAsia="仿宋" w:cs="仿宋"/>
                <w:color w:val="auto"/>
                <w:sz w:val="24"/>
              </w:rPr>
            </w:pPr>
          </w:p>
        </w:tc>
        <w:tc>
          <w:tcPr>
            <w:tcW w:w="1151" w:type="dxa"/>
            <w:noWrap/>
            <w:vAlign w:val="center"/>
          </w:tcPr>
          <w:p w14:paraId="106D65F1">
            <w:pPr>
              <w:snapToGrid w:val="0"/>
              <w:spacing w:line="360" w:lineRule="auto"/>
              <w:jc w:val="center"/>
              <w:rPr>
                <w:rFonts w:ascii="仿宋" w:hAnsi="仿宋" w:eastAsia="仿宋" w:cs="仿宋"/>
                <w:color w:val="auto"/>
                <w:sz w:val="24"/>
              </w:rPr>
            </w:pPr>
          </w:p>
        </w:tc>
      </w:tr>
      <w:tr w14:paraId="5A44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ign w:val="center"/>
          </w:tcPr>
          <w:p w14:paraId="7BC219F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1321" w:type="dxa"/>
            <w:noWrap/>
            <w:vAlign w:val="center"/>
          </w:tcPr>
          <w:p w14:paraId="1F1C6510">
            <w:pPr>
              <w:snapToGrid w:val="0"/>
              <w:spacing w:line="360" w:lineRule="auto"/>
              <w:jc w:val="center"/>
              <w:rPr>
                <w:rFonts w:ascii="仿宋" w:hAnsi="仿宋" w:eastAsia="仿宋" w:cs="仿宋"/>
                <w:color w:val="auto"/>
                <w:sz w:val="24"/>
              </w:rPr>
            </w:pPr>
          </w:p>
        </w:tc>
        <w:tc>
          <w:tcPr>
            <w:tcW w:w="1417" w:type="dxa"/>
            <w:noWrap/>
            <w:vAlign w:val="center"/>
          </w:tcPr>
          <w:p w14:paraId="5E21E3B1">
            <w:pPr>
              <w:snapToGrid w:val="0"/>
              <w:spacing w:line="360" w:lineRule="auto"/>
              <w:jc w:val="center"/>
              <w:rPr>
                <w:rFonts w:ascii="仿宋" w:hAnsi="仿宋" w:eastAsia="仿宋" w:cs="仿宋"/>
                <w:color w:val="auto"/>
                <w:sz w:val="24"/>
              </w:rPr>
            </w:pPr>
          </w:p>
        </w:tc>
        <w:tc>
          <w:tcPr>
            <w:tcW w:w="1418" w:type="dxa"/>
            <w:noWrap/>
            <w:vAlign w:val="center"/>
          </w:tcPr>
          <w:p w14:paraId="36DD49DD">
            <w:pPr>
              <w:snapToGrid w:val="0"/>
              <w:spacing w:line="360" w:lineRule="auto"/>
              <w:jc w:val="center"/>
              <w:rPr>
                <w:rFonts w:ascii="仿宋" w:hAnsi="仿宋" w:eastAsia="仿宋" w:cs="仿宋"/>
                <w:color w:val="auto"/>
                <w:sz w:val="24"/>
              </w:rPr>
            </w:pPr>
          </w:p>
        </w:tc>
        <w:tc>
          <w:tcPr>
            <w:tcW w:w="1275" w:type="dxa"/>
            <w:noWrap/>
            <w:vAlign w:val="center"/>
          </w:tcPr>
          <w:p w14:paraId="5F404BA1">
            <w:pPr>
              <w:snapToGrid w:val="0"/>
              <w:spacing w:line="360" w:lineRule="auto"/>
              <w:jc w:val="center"/>
              <w:rPr>
                <w:rFonts w:ascii="仿宋" w:hAnsi="仿宋" w:eastAsia="仿宋" w:cs="仿宋"/>
                <w:color w:val="auto"/>
                <w:sz w:val="24"/>
              </w:rPr>
            </w:pPr>
          </w:p>
        </w:tc>
        <w:tc>
          <w:tcPr>
            <w:tcW w:w="1276" w:type="dxa"/>
            <w:noWrap/>
            <w:vAlign w:val="center"/>
          </w:tcPr>
          <w:p w14:paraId="24B67DA9">
            <w:pPr>
              <w:snapToGrid w:val="0"/>
              <w:spacing w:line="360" w:lineRule="auto"/>
              <w:jc w:val="center"/>
              <w:rPr>
                <w:rFonts w:ascii="仿宋" w:hAnsi="仿宋" w:eastAsia="仿宋" w:cs="仿宋"/>
                <w:color w:val="auto"/>
                <w:sz w:val="24"/>
              </w:rPr>
            </w:pPr>
          </w:p>
        </w:tc>
        <w:tc>
          <w:tcPr>
            <w:tcW w:w="851" w:type="dxa"/>
            <w:noWrap/>
            <w:vAlign w:val="center"/>
          </w:tcPr>
          <w:p w14:paraId="4303DD06">
            <w:pPr>
              <w:snapToGrid w:val="0"/>
              <w:spacing w:line="360" w:lineRule="auto"/>
              <w:jc w:val="center"/>
              <w:rPr>
                <w:rFonts w:ascii="仿宋" w:hAnsi="仿宋" w:eastAsia="仿宋" w:cs="仿宋"/>
                <w:color w:val="auto"/>
                <w:sz w:val="24"/>
              </w:rPr>
            </w:pPr>
          </w:p>
        </w:tc>
        <w:tc>
          <w:tcPr>
            <w:tcW w:w="1151" w:type="dxa"/>
            <w:noWrap/>
            <w:vAlign w:val="center"/>
          </w:tcPr>
          <w:p w14:paraId="700A03D0">
            <w:pPr>
              <w:snapToGrid w:val="0"/>
              <w:spacing w:line="360" w:lineRule="auto"/>
              <w:jc w:val="center"/>
              <w:rPr>
                <w:rFonts w:ascii="仿宋" w:hAnsi="仿宋" w:eastAsia="仿宋" w:cs="仿宋"/>
                <w:color w:val="auto"/>
                <w:sz w:val="24"/>
              </w:rPr>
            </w:pPr>
          </w:p>
        </w:tc>
      </w:tr>
      <w:tr w14:paraId="4CC1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ign w:val="center"/>
          </w:tcPr>
          <w:p w14:paraId="0F692654">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321" w:type="dxa"/>
            <w:noWrap/>
            <w:vAlign w:val="center"/>
          </w:tcPr>
          <w:p w14:paraId="18B29D7E">
            <w:pPr>
              <w:snapToGrid w:val="0"/>
              <w:spacing w:line="360" w:lineRule="auto"/>
              <w:jc w:val="center"/>
              <w:rPr>
                <w:rFonts w:ascii="仿宋" w:hAnsi="仿宋" w:eastAsia="仿宋" w:cs="仿宋"/>
                <w:color w:val="auto"/>
                <w:sz w:val="24"/>
              </w:rPr>
            </w:pPr>
          </w:p>
        </w:tc>
        <w:tc>
          <w:tcPr>
            <w:tcW w:w="1417" w:type="dxa"/>
            <w:noWrap/>
            <w:vAlign w:val="center"/>
          </w:tcPr>
          <w:p w14:paraId="12FA6823">
            <w:pPr>
              <w:snapToGrid w:val="0"/>
              <w:spacing w:line="360" w:lineRule="auto"/>
              <w:jc w:val="center"/>
              <w:rPr>
                <w:rFonts w:ascii="仿宋" w:hAnsi="仿宋" w:eastAsia="仿宋" w:cs="仿宋"/>
                <w:color w:val="auto"/>
                <w:sz w:val="24"/>
              </w:rPr>
            </w:pPr>
          </w:p>
        </w:tc>
        <w:tc>
          <w:tcPr>
            <w:tcW w:w="1418" w:type="dxa"/>
            <w:noWrap/>
            <w:vAlign w:val="center"/>
          </w:tcPr>
          <w:p w14:paraId="4E3DC39A">
            <w:pPr>
              <w:snapToGrid w:val="0"/>
              <w:spacing w:line="360" w:lineRule="auto"/>
              <w:jc w:val="center"/>
              <w:rPr>
                <w:rFonts w:ascii="仿宋" w:hAnsi="仿宋" w:eastAsia="仿宋" w:cs="仿宋"/>
                <w:color w:val="auto"/>
                <w:sz w:val="24"/>
              </w:rPr>
            </w:pPr>
          </w:p>
        </w:tc>
        <w:tc>
          <w:tcPr>
            <w:tcW w:w="1275" w:type="dxa"/>
            <w:noWrap/>
            <w:vAlign w:val="center"/>
          </w:tcPr>
          <w:p w14:paraId="45EA0CBB">
            <w:pPr>
              <w:snapToGrid w:val="0"/>
              <w:spacing w:line="360" w:lineRule="auto"/>
              <w:jc w:val="center"/>
              <w:rPr>
                <w:rFonts w:ascii="仿宋" w:hAnsi="仿宋" w:eastAsia="仿宋" w:cs="仿宋"/>
                <w:color w:val="auto"/>
                <w:sz w:val="24"/>
              </w:rPr>
            </w:pPr>
          </w:p>
        </w:tc>
        <w:tc>
          <w:tcPr>
            <w:tcW w:w="1276" w:type="dxa"/>
            <w:noWrap/>
            <w:vAlign w:val="center"/>
          </w:tcPr>
          <w:p w14:paraId="1C8D90FD">
            <w:pPr>
              <w:snapToGrid w:val="0"/>
              <w:spacing w:line="360" w:lineRule="auto"/>
              <w:jc w:val="center"/>
              <w:rPr>
                <w:rFonts w:ascii="仿宋" w:hAnsi="仿宋" w:eastAsia="仿宋" w:cs="仿宋"/>
                <w:color w:val="auto"/>
                <w:sz w:val="24"/>
              </w:rPr>
            </w:pPr>
          </w:p>
        </w:tc>
        <w:tc>
          <w:tcPr>
            <w:tcW w:w="851" w:type="dxa"/>
            <w:noWrap/>
            <w:vAlign w:val="center"/>
          </w:tcPr>
          <w:p w14:paraId="553F1C63">
            <w:pPr>
              <w:snapToGrid w:val="0"/>
              <w:spacing w:line="360" w:lineRule="auto"/>
              <w:jc w:val="center"/>
              <w:rPr>
                <w:rFonts w:ascii="仿宋" w:hAnsi="仿宋" w:eastAsia="仿宋" w:cs="仿宋"/>
                <w:color w:val="auto"/>
                <w:sz w:val="24"/>
              </w:rPr>
            </w:pPr>
          </w:p>
        </w:tc>
        <w:tc>
          <w:tcPr>
            <w:tcW w:w="1151" w:type="dxa"/>
            <w:noWrap/>
            <w:vAlign w:val="center"/>
          </w:tcPr>
          <w:p w14:paraId="5AFD7070">
            <w:pPr>
              <w:snapToGrid w:val="0"/>
              <w:spacing w:line="360" w:lineRule="auto"/>
              <w:jc w:val="center"/>
              <w:rPr>
                <w:rFonts w:ascii="仿宋" w:hAnsi="仿宋" w:eastAsia="仿宋" w:cs="仿宋"/>
                <w:color w:val="auto"/>
                <w:sz w:val="24"/>
              </w:rPr>
            </w:pPr>
          </w:p>
        </w:tc>
      </w:tr>
      <w:tr w14:paraId="0612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ign w:val="center"/>
          </w:tcPr>
          <w:p w14:paraId="40642EF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321" w:type="dxa"/>
            <w:noWrap/>
            <w:vAlign w:val="center"/>
          </w:tcPr>
          <w:p w14:paraId="0143AE50">
            <w:pPr>
              <w:snapToGrid w:val="0"/>
              <w:spacing w:line="360" w:lineRule="auto"/>
              <w:jc w:val="center"/>
              <w:rPr>
                <w:rFonts w:ascii="仿宋" w:hAnsi="仿宋" w:eastAsia="仿宋" w:cs="仿宋"/>
                <w:color w:val="auto"/>
                <w:sz w:val="24"/>
              </w:rPr>
            </w:pPr>
          </w:p>
        </w:tc>
        <w:tc>
          <w:tcPr>
            <w:tcW w:w="1417" w:type="dxa"/>
            <w:noWrap/>
            <w:vAlign w:val="center"/>
          </w:tcPr>
          <w:p w14:paraId="2477EF6B">
            <w:pPr>
              <w:snapToGrid w:val="0"/>
              <w:spacing w:line="360" w:lineRule="auto"/>
              <w:jc w:val="center"/>
              <w:rPr>
                <w:rFonts w:ascii="仿宋" w:hAnsi="仿宋" w:eastAsia="仿宋" w:cs="仿宋"/>
                <w:color w:val="auto"/>
                <w:sz w:val="24"/>
              </w:rPr>
            </w:pPr>
          </w:p>
        </w:tc>
        <w:tc>
          <w:tcPr>
            <w:tcW w:w="1418" w:type="dxa"/>
            <w:noWrap/>
            <w:vAlign w:val="center"/>
          </w:tcPr>
          <w:p w14:paraId="140C5687">
            <w:pPr>
              <w:snapToGrid w:val="0"/>
              <w:spacing w:line="360" w:lineRule="auto"/>
              <w:jc w:val="center"/>
              <w:rPr>
                <w:rFonts w:ascii="仿宋" w:hAnsi="仿宋" w:eastAsia="仿宋" w:cs="仿宋"/>
                <w:color w:val="auto"/>
                <w:sz w:val="24"/>
              </w:rPr>
            </w:pPr>
          </w:p>
        </w:tc>
        <w:tc>
          <w:tcPr>
            <w:tcW w:w="1275" w:type="dxa"/>
            <w:noWrap/>
            <w:vAlign w:val="center"/>
          </w:tcPr>
          <w:p w14:paraId="362A28C6">
            <w:pPr>
              <w:snapToGrid w:val="0"/>
              <w:spacing w:line="360" w:lineRule="auto"/>
              <w:jc w:val="center"/>
              <w:rPr>
                <w:rFonts w:ascii="仿宋" w:hAnsi="仿宋" w:eastAsia="仿宋" w:cs="仿宋"/>
                <w:color w:val="auto"/>
                <w:sz w:val="24"/>
              </w:rPr>
            </w:pPr>
          </w:p>
        </w:tc>
        <w:tc>
          <w:tcPr>
            <w:tcW w:w="1276" w:type="dxa"/>
            <w:noWrap/>
            <w:vAlign w:val="center"/>
          </w:tcPr>
          <w:p w14:paraId="19B11DD4">
            <w:pPr>
              <w:snapToGrid w:val="0"/>
              <w:spacing w:line="360" w:lineRule="auto"/>
              <w:jc w:val="center"/>
              <w:rPr>
                <w:rFonts w:ascii="仿宋" w:hAnsi="仿宋" w:eastAsia="仿宋" w:cs="仿宋"/>
                <w:color w:val="auto"/>
                <w:sz w:val="24"/>
              </w:rPr>
            </w:pPr>
          </w:p>
        </w:tc>
        <w:tc>
          <w:tcPr>
            <w:tcW w:w="851" w:type="dxa"/>
            <w:noWrap/>
            <w:vAlign w:val="center"/>
          </w:tcPr>
          <w:p w14:paraId="2EBE0AE3">
            <w:pPr>
              <w:snapToGrid w:val="0"/>
              <w:spacing w:line="360" w:lineRule="auto"/>
              <w:jc w:val="center"/>
              <w:rPr>
                <w:rFonts w:ascii="仿宋" w:hAnsi="仿宋" w:eastAsia="仿宋" w:cs="仿宋"/>
                <w:color w:val="auto"/>
                <w:sz w:val="24"/>
              </w:rPr>
            </w:pPr>
          </w:p>
        </w:tc>
        <w:tc>
          <w:tcPr>
            <w:tcW w:w="1151" w:type="dxa"/>
            <w:noWrap/>
            <w:vAlign w:val="center"/>
          </w:tcPr>
          <w:p w14:paraId="5ADBC820">
            <w:pPr>
              <w:snapToGrid w:val="0"/>
              <w:spacing w:line="360" w:lineRule="auto"/>
              <w:jc w:val="center"/>
              <w:rPr>
                <w:rFonts w:ascii="仿宋" w:hAnsi="仿宋" w:eastAsia="仿宋" w:cs="仿宋"/>
                <w:color w:val="auto"/>
                <w:sz w:val="24"/>
              </w:rPr>
            </w:pPr>
          </w:p>
        </w:tc>
      </w:tr>
      <w:tr w14:paraId="4CA6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ign w:val="center"/>
          </w:tcPr>
          <w:p w14:paraId="282B78D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5</w:t>
            </w:r>
          </w:p>
        </w:tc>
        <w:tc>
          <w:tcPr>
            <w:tcW w:w="1321" w:type="dxa"/>
            <w:noWrap/>
            <w:vAlign w:val="center"/>
          </w:tcPr>
          <w:p w14:paraId="3558D2ED">
            <w:pPr>
              <w:snapToGrid w:val="0"/>
              <w:spacing w:line="360" w:lineRule="auto"/>
              <w:jc w:val="center"/>
              <w:rPr>
                <w:rFonts w:ascii="仿宋" w:hAnsi="仿宋" w:eastAsia="仿宋" w:cs="仿宋"/>
                <w:color w:val="auto"/>
                <w:sz w:val="24"/>
              </w:rPr>
            </w:pPr>
          </w:p>
        </w:tc>
        <w:tc>
          <w:tcPr>
            <w:tcW w:w="1417" w:type="dxa"/>
            <w:noWrap/>
            <w:vAlign w:val="center"/>
          </w:tcPr>
          <w:p w14:paraId="040312B8">
            <w:pPr>
              <w:snapToGrid w:val="0"/>
              <w:spacing w:line="360" w:lineRule="auto"/>
              <w:jc w:val="center"/>
              <w:rPr>
                <w:rFonts w:ascii="仿宋" w:hAnsi="仿宋" w:eastAsia="仿宋" w:cs="仿宋"/>
                <w:color w:val="auto"/>
                <w:sz w:val="24"/>
              </w:rPr>
            </w:pPr>
          </w:p>
        </w:tc>
        <w:tc>
          <w:tcPr>
            <w:tcW w:w="1418" w:type="dxa"/>
            <w:noWrap/>
            <w:vAlign w:val="center"/>
          </w:tcPr>
          <w:p w14:paraId="247CDA40">
            <w:pPr>
              <w:snapToGrid w:val="0"/>
              <w:spacing w:line="360" w:lineRule="auto"/>
              <w:jc w:val="center"/>
              <w:rPr>
                <w:rFonts w:ascii="仿宋" w:hAnsi="仿宋" w:eastAsia="仿宋" w:cs="仿宋"/>
                <w:color w:val="auto"/>
                <w:sz w:val="24"/>
              </w:rPr>
            </w:pPr>
          </w:p>
        </w:tc>
        <w:tc>
          <w:tcPr>
            <w:tcW w:w="1275" w:type="dxa"/>
            <w:noWrap/>
            <w:vAlign w:val="center"/>
          </w:tcPr>
          <w:p w14:paraId="135DDE71">
            <w:pPr>
              <w:snapToGrid w:val="0"/>
              <w:spacing w:line="360" w:lineRule="auto"/>
              <w:jc w:val="center"/>
              <w:rPr>
                <w:rFonts w:ascii="仿宋" w:hAnsi="仿宋" w:eastAsia="仿宋" w:cs="仿宋"/>
                <w:color w:val="auto"/>
                <w:sz w:val="24"/>
              </w:rPr>
            </w:pPr>
          </w:p>
        </w:tc>
        <w:tc>
          <w:tcPr>
            <w:tcW w:w="1276" w:type="dxa"/>
            <w:noWrap/>
            <w:vAlign w:val="center"/>
          </w:tcPr>
          <w:p w14:paraId="20A9F031">
            <w:pPr>
              <w:snapToGrid w:val="0"/>
              <w:spacing w:line="360" w:lineRule="auto"/>
              <w:jc w:val="center"/>
              <w:rPr>
                <w:rFonts w:ascii="仿宋" w:hAnsi="仿宋" w:eastAsia="仿宋" w:cs="仿宋"/>
                <w:color w:val="auto"/>
                <w:sz w:val="24"/>
              </w:rPr>
            </w:pPr>
          </w:p>
        </w:tc>
        <w:tc>
          <w:tcPr>
            <w:tcW w:w="851" w:type="dxa"/>
            <w:noWrap/>
            <w:vAlign w:val="center"/>
          </w:tcPr>
          <w:p w14:paraId="78D23325">
            <w:pPr>
              <w:snapToGrid w:val="0"/>
              <w:spacing w:line="360" w:lineRule="auto"/>
              <w:jc w:val="center"/>
              <w:rPr>
                <w:rFonts w:ascii="仿宋" w:hAnsi="仿宋" w:eastAsia="仿宋" w:cs="仿宋"/>
                <w:color w:val="auto"/>
                <w:sz w:val="24"/>
              </w:rPr>
            </w:pPr>
          </w:p>
        </w:tc>
        <w:tc>
          <w:tcPr>
            <w:tcW w:w="1151" w:type="dxa"/>
            <w:noWrap/>
            <w:vAlign w:val="center"/>
          </w:tcPr>
          <w:p w14:paraId="6D43B37A">
            <w:pPr>
              <w:snapToGrid w:val="0"/>
              <w:spacing w:line="360" w:lineRule="auto"/>
              <w:jc w:val="center"/>
              <w:rPr>
                <w:rFonts w:ascii="仿宋" w:hAnsi="仿宋" w:eastAsia="仿宋" w:cs="仿宋"/>
                <w:color w:val="auto"/>
                <w:sz w:val="24"/>
              </w:rPr>
            </w:pPr>
          </w:p>
        </w:tc>
      </w:tr>
      <w:tr w14:paraId="559C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ign w:val="center"/>
          </w:tcPr>
          <w:p w14:paraId="1274597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合计</w:t>
            </w:r>
          </w:p>
        </w:tc>
        <w:tc>
          <w:tcPr>
            <w:tcW w:w="8709" w:type="dxa"/>
            <w:gridSpan w:val="7"/>
            <w:noWrap/>
            <w:vAlign w:val="center"/>
          </w:tcPr>
          <w:p w14:paraId="5B6A3BA2">
            <w:pPr>
              <w:snapToGrid w:val="0"/>
              <w:spacing w:line="360" w:lineRule="auto"/>
              <w:jc w:val="center"/>
              <w:rPr>
                <w:rFonts w:ascii="仿宋" w:hAnsi="仿宋" w:eastAsia="仿宋" w:cs="仿宋"/>
                <w:color w:val="auto"/>
                <w:sz w:val="24"/>
              </w:rPr>
            </w:pPr>
          </w:p>
        </w:tc>
      </w:tr>
    </w:tbl>
    <w:p w14:paraId="552463B0">
      <w:pPr>
        <w:pStyle w:val="94"/>
        <w:rPr>
          <w:rFonts w:ascii="仿宋" w:hAnsi="仿宋" w:eastAsia="仿宋" w:cs="仿宋"/>
          <w:color w:val="auto"/>
        </w:rPr>
      </w:pPr>
    </w:p>
    <w:p w14:paraId="2C9C821E">
      <w:pPr>
        <w:snapToGrid w:val="0"/>
        <w:spacing w:line="460" w:lineRule="exact"/>
        <w:jc w:val="left"/>
        <w:rPr>
          <w:rFonts w:ascii="仿宋" w:hAnsi="仿宋" w:eastAsia="仿宋" w:cs="仿宋"/>
          <w:color w:val="auto"/>
          <w:kern w:val="0"/>
          <w:sz w:val="32"/>
          <w:szCs w:val="32"/>
        </w:rPr>
      </w:pPr>
    </w:p>
    <w:p w14:paraId="3689864D">
      <w:pPr>
        <w:snapToGrid w:val="0"/>
        <w:spacing w:line="460" w:lineRule="exact"/>
        <w:jc w:val="left"/>
        <w:rPr>
          <w:rFonts w:ascii="仿宋" w:hAnsi="仿宋" w:eastAsia="仿宋" w:cs="仿宋"/>
          <w:color w:val="auto"/>
          <w:kern w:val="0"/>
          <w:sz w:val="32"/>
          <w:szCs w:val="32"/>
        </w:rPr>
      </w:pPr>
    </w:p>
    <w:p w14:paraId="7DBBA6CE">
      <w:pPr>
        <w:snapToGrid w:val="0"/>
        <w:spacing w:line="460" w:lineRule="exact"/>
        <w:jc w:val="left"/>
        <w:rPr>
          <w:rFonts w:ascii="仿宋" w:hAnsi="仿宋" w:eastAsia="仿宋" w:cs="仿宋"/>
          <w:color w:val="auto"/>
          <w:kern w:val="0"/>
          <w:sz w:val="32"/>
          <w:szCs w:val="32"/>
        </w:rPr>
      </w:pPr>
    </w:p>
    <w:p w14:paraId="7B42B6C7">
      <w:pPr>
        <w:snapToGrid w:val="0"/>
        <w:spacing w:line="460" w:lineRule="exact"/>
        <w:jc w:val="left"/>
        <w:rPr>
          <w:rFonts w:ascii="仿宋" w:hAnsi="仿宋" w:eastAsia="仿宋" w:cs="仿宋"/>
          <w:color w:val="auto"/>
          <w:kern w:val="0"/>
          <w:sz w:val="32"/>
          <w:szCs w:val="32"/>
        </w:rPr>
      </w:pPr>
    </w:p>
    <w:p w14:paraId="2E683DB0">
      <w:pPr>
        <w:rPr>
          <w:rFonts w:ascii="仿宋" w:hAnsi="仿宋" w:eastAsia="仿宋" w:cs="仿宋"/>
          <w:color w:val="auto"/>
          <w:kern w:val="0"/>
          <w:sz w:val="32"/>
          <w:szCs w:val="32"/>
        </w:rPr>
      </w:pPr>
      <w:r>
        <w:rPr>
          <w:rFonts w:hint="eastAsia" w:ascii="仿宋" w:hAnsi="仿宋" w:eastAsia="仿宋" w:cs="仿宋"/>
          <w:color w:val="auto"/>
          <w:kern w:val="0"/>
          <w:sz w:val="32"/>
          <w:szCs w:val="32"/>
        </w:rPr>
        <w:br w:type="page"/>
      </w:r>
    </w:p>
    <w:p w14:paraId="1F272B3B">
      <w:pPr>
        <w:snapToGrid w:val="0"/>
        <w:spacing w:line="460" w:lineRule="exact"/>
        <w:jc w:val="left"/>
        <w:rPr>
          <w:rFonts w:ascii="仿宋" w:hAnsi="仿宋" w:eastAsia="仿宋" w:cs="仿宋"/>
          <w:color w:val="auto"/>
          <w:kern w:val="0"/>
          <w:sz w:val="32"/>
          <w:szCs w:val="32"/>
        </w:rPr>
      </w:pPr>
      <w:r>
        <w:rPr>
          <w:rFonts w:hint="eastAsia" w:ascii="仿宋" w:hAnsi="仿宋" w:eastAsia="仿宋" w:cs="仿宋"/>
          <w:color w:val="auto"/>
          <w:kern w:val="0"/>
          <w:sz w:val="32"/>
          <w:szCs w:val="32"/>
        </w:rPr>
        <w:t>附件9</w:t>
      </w:r>
    </w:p>
    <w:p w14:paraId="5DDBD642">
      <w:pPr>
        <w:spacing w:line="46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供应商信用承诺书</w:t>
      </w:r>
    </w:p>
    <w:p w14:paraId="140468B9">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为营造公开、公平、公正的公共资源交易环境，树立诚信守法的供应商形象，本人代表本单位作出以下承诺：</w:t>
      </w:r>
    </w:p>
    <w:p w14:paraId="2F563324">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一、本单位对所提交的单位基本信息、单位负责人、项目负责人、技术负责人、从业资质和资格、业绩、财务状况、信誉等所有资料，均合法、真实、准确、有效，无任何伪造、修改、虚假成分；</w:t>
      </w:r>
    </w:p>
    <w:p w14:paraId="07D9C453">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二、严格依照国家和省、市、县关于采购等方面的法律、法规、规章、规范性文件，参加</w:t>
      </w:r>
      <w:r>
        <w:rPr>
          <w:rFonts w:hint="eastAsia" w:ascii="仿宋" w:hAnsi="仿宋" w:eastAsia="仿宋" w:cs="仿宋"/>
          <w:color w:val="auto"/>
          <w:kern w:val="0"/>
          <w:sz w:val="24"/>
        </w:rPr>
        <w:t>采购人组织的</w:t>
      </w:r>
      <w:r>
        <w:rPr>
          <w:rFonts w:hint="eastAsia" w:ascii="仿宋" w:hAnsi="仿宋" w:eastAsia="仿宋" w:cs="仿宋"/>
          <w:color w:val="auto"/>
          <w:kern w:val="0"/>
          <w:sz w:val="24"/>
          <w:lang w:val="zh-CN"/>
        </w:rPr>
        <w:t>招标投标活动；积极履行社会责任，促进廉政建设；</w:t>
      </w:r>
    </w:p>
    <w:p w14:paraId="1858865A">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三、严格遵守即时信息公示规定，及时更新公共资源交易中心主体信息库中信息；</w:t>
      </w:r>
    </w:p>
    <w:p w14:paraId="7A6D7FF9">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四、自我约束、自我管理，守合同、重信用，不参与围标串标、弄虚作假、骗取成交、干扰评标、违约毁约、恶意投诉等行为，主动维护公共资源交易招标投标的良好秩序；</w:t>
      </w:r>
    </w:p>
    <w:p w14:paraId="2177CD33">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196F2438">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六、自觉接受政府部门、行业组织、社会公众、新闻舆论等监督；</w:t>
      </w:r>
    </w:p>
    <w:p w14:paraId="71D43F9E">
      <w:pPr>
        <w:spacing w:line="460" w:lineRule="exact"/>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七、上述承诺已向本单位员工作了宣传教育；</w:t>
      </w:r>
    </w:p>
    <w:p w14:paraId="220155F9">
      <w:pPr>
        <w:tabs>
          <w:tab w:val="left" w:pos="4860"/>
        </w:tabs>
        <w:spacing w:line="460" w:lineRule="exact"/>
        <w:ind w:firstLine="482" w:firstLineChars="2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如有违反上述承诺的不良行为，本单位同意将其予以上网公示。</w:t>
      </w:r>
    </w:p>
    <w:p w14:paraId="6F85604A">
      <w:pPr>
        <w:spacing w:line="460" w:lineRule="exact"/>
        <w:ind w:firstLine="560" w:firstLineChars="200"/>
        <w:rPr>
          <w:rFonts w:ascii="仿宋" w:hAnsi="仿宋" w:eastAsia="仿宋" w:cs="仿宋"/>
          <w:color w:val="auto"/>
          <w:sz w:val="28"/>
          <w:szCs w:val="28"/>
        </w:rPr>
      </w:pPr>
    </w:p>
    <w:p w14:paraId="2215D8B9">
      <w:pPr>
        <w:spacing w:line="460" w:lineRule="exact"/>
        <w:ind w:firstLine="560" w:firstLineChars="200"/>
        <w:rPr>
          <w:rFonts w:ascii="仿宋" w:hAnsi="仿宋" w:eastAsia="仿宋" w:cs="仿宋"/>
          <w:color w:val="auto"/>
          <w:kern w:val="0"/>
          <w:sz w:val="28"/>
          <w:szCs w:val="28"/>
          <w:u w:val="single"/>
          <w:lang w:val="zh-CN"/>
        </w:rPr>
      </w:pPr>
      <w:r>
        <w:rPr>
          <w:rFonts w:hint="eastAsia" w:ascii="仿宋" w:hAnsi="仿宋" w:eastAsia="仿宋" w:cs="仿宋"/>
          <w:color w:val="auto"/>
          <w:kern w:val="0"/>
          <w:sz w:val="28"/>
          <w:szCs w:val="28"/>
          <w:lang w:val="zh-CN"/>
        </w:rPr>
        <w:t>磋商供应商全称(盖公章)：</w:t>
      </w:r>
    </w:p>
    <w:p w14:paraId="261980D9">
      <w:pPr>
        <w:spacing w:line="460" w:lineRule="exact"/>
        <w:ind w:firstLine="560" w:firstLineChars="200"/>
        <w:rPr>
          <w:rFonts w:ascii="仿宋" w:hAnsi="仿宋" w:eastAsia="仿宋" w:cs="仿宋"/>
          <w:color w:val="auto"/>
          <w:sz w:val="28"/>
          <w:szCs w:val="28"/>
          <w:u w:val="single"/>
          <w:lang w:val="zh-CN"/>
        </w:rPr>
      </w:pPr>
      <w:r>
        <w:rPr>
          <w:rFonts w:hint="eastAsia" w:ascii="仿宋" w:hAnsi="仿宋" w:eastAsia="仿宋" w:cs="仿宋"/>
          <w:color w:val="auto"/>
          <w:kern w:val="0"/>
          <w:sz w:val="28"/>
          <w:szCs w:val="28"/>
          <w:lang w:val="zh-CN"/>
        </w:rPr>
        <w:t>法定代表人（签字或盖章）：</w:t>
      </w:r>
    </w:p>
    <w:p w14:paraId="7CD279D4">
      <w:pPr>
        <w:snapToGrid w:val="0"/>
        <w:spacing w:line="460" w:lineRule="exact"/>
        <w:ind w:firstLine="560" w:firstLineChars="200"/>
        <w:jc w:val="right"/>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时间：  年  月   日</w:t>
      </w:r>
    </w:p>
    <w:p w14:paraId="7DC79F8C">
      <w:pPr>
        <w:snapToGrid w:val="0"/>
        <w:spacing w:line="360" w:lineRule="auto"/>
        <w:jc w:val="left"/>
        <w:rPr>
          <w:rFonts w:ascii="仿宋" w:hAnsi="仿宋" w:eastAsia="仿宋" w:cs="仿宋"/>
          <w:color w:val="auto"/>
          <w:sz w:val="32"/>
          <w:szCs w:val="32"/>
        </w:rPr>
      </w:pPr>
    </w:p>
    <w:p w14:paraId="48AB6E01">
      <w:pPr>
        <w:snapToGrid w:val="0"/>
        <w:spacing w:line="360" w:lineRule="auto"/>
        <w:jc w:val="left"/>
        <w:rPr>
          <w:rFonts w:ascii="仿宋" w:hAnsi="仿宋" w:eastAsia="仿宋" w:cs="仿宋"/>
          <w:color w:val="auto"/>
          <w:sz w:val="32"/>
          <w:szCs w:val="32"/>
        </w:rPr>
      </w:pPr>
    </w:p>
    <w:p w14:paraId="663CD635">
      <w:pPr>
        <w:snapToGrid w:val="0"/>
        <w:spacing w:line="360" w:lineRule="auto"/>
        <w:jc w:val="left"/>
        <w:rPr>
          <w:rFonts w:ascii="仿宋" w:hAnsi="仿宋" w:eastAsia="仿宋" w:cs="仿宋"/>
          <w:color w:val="auto"/>
          <w:sz w:val="32"/>
          <w:szCs w:val="32"/>
        </w:rPr>
      </w:pPr>
    </w:p>
    <w:p w14:paraId="22054C6C">
      <w:pPr>
        <w:snapToGrid w:val="0"/>
        <w:spacing w:line="360" w:lineRule="auto"/>
        <w:jc w:val="left"/>
        <w:rPr>
          <w:rFonts w:ascii="仿宋" w:hAnsi="仿宋" w:eastAsia="仿宋" w:cs="仿宋"/>
          <w:color w:val="auto"/>
          <w:sz w:val="32"/>
          <w:szCs w:val="32"/>
        </w:rPr>
      </w:pPr>
    </w:p>
    <w:p w14:paraId="3A44D0B4">
      <w:pPr>
        <w:rPr>
          <w:rFonts w:ascii="仿宋" w:hAnsi="仿宋" w:eastAsia="仿宋" w:cs="仿宋"/>
          <w:color w:val="auto"/>
          <w:sz w:val="32"/>
          <w:szCs w:val="32"/>
        </w:rPr>
      </w:pPr>
      <w:r>
        <w:rPr>
          <w:rFonts w:hint="eastAsia" w:ascii="仿宋" w:hAnsi="仿宋" w:eastAsia="仿宋" w:cs="仿宋"/>
          <w:color w:val="auto"/>
          <w:sz w:val="32"/>
          <w:szCs w:val="32"/>
        </w:rPr>
        <w:br w:type="page"/>
      </w:r>
    </w:p>
    <w:p w14:paraId="25B9CDD5">
      <w:pPr>
        <w:snapToGrid w:val="0"/>
        <w:spacing w:line="360" w:lineRule="auto"/>
        <w:jc w:val="left"/>
        <w:rPr>
          <w:rFonts w:ascii="仿宋" w:hAnsi="仿宋" w:eastAsia="仿宋" w:cs="仿宋"/>
          <w:color w:val="auto"/>
          <w:sz w:val="32"/>
          <w:szCs w:val="32"/>
        </w:rPr>
      </w:pPr>
      <w:r>
        <w:rPr>
          <w:rFonts w:hint="eastAsia" w:ascii="仿宋" w:hAnsi="仿宋" w:eastAsia="仿宋" w:cs="仿宋"/>
          <w:color w:val="auto"/>
          <w:sz w:val="32"/>
          <w:szCs w:val="32"/>
        </w:rPr>
        <w:t>附件10</w:t>
      </w:r>
    </w:p>
    <w:p w14:paraId="3D192220">
      <w:pPr>
        <w:spacing w:line="460" w:lineRule="exact"/>
        <w:jc w:val="center"/>
        <w:rPr>
          <w:rFonts w:ascii="仿宋" w:hAnsi="仿宋" w:eastAsia="仿宋" w:cs="仿宋"/>
          <w:bCs/>
          <w:color w:val="auto"/>
          <w:sz w:val="40"/>
          <w:szCs w:val="40"/>
        </w:rPr>
      </w:pPr>
      <w:r>
        <w:rPr>
          <w:rFonts w:hint="eastAsia" w:ascii="仿宋" w:hAnsi="仿宋" w:eastAsia="仿宋" w:cs="仿宋"/>
          <w:bCs/>
          <w:color w:val="auto"/>
          <w:sz w:val="40"/>
          <w:szCs w:val="40"/>
        </w:rPr>
        <w:t>质疑函范本</w:t>
      </w:r>
    </w:p>
    <w:p w14:paraId="0875DA57">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一、质疑供应商基本信息</w:t>
      </w:r>
    </w:p>
    <w:p w14:paraId="612C86D6">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质疑供应商：</w:t>
      </w:r>
    </w:p>
    <w:p w14:paraId="0AF27914">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地址：邮编：</w:t>
      </w:r>
    </w:p>
    <w:p w14:paraId="64F72A3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联系人：联系电话：</w:t>
      </w:r>
    </w:p>
    <w:p w14:paraId="5EEC055A">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授权代表：</w:t>
      </w:r>
    </w:p>
    <w:p w14:paraId="2FA1C8EA">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联系电话：</w:t>
      </w:r>
    </w:p>
    <w:p w14:paraId="7384E590">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地址：邮编：</w:t>
      </w:r>
    </w:p>
    <w:p w14:paraId="4589E526">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二、质疑项目基本情况</w:t>
      </w:r>
    </w:p>
    <w:p w14:paraId="67CCAF67">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质疑项目的名称：</w:t>
      </w:r>
    </w:p>
    <w:p w14:paraId="1656528F">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质疑项目的编号：包号：</w:t>
      </w:r>
    </w:p>
    <w:p w14:paraId="398C5CB0">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采购人名称：</w:t>
      </w:r>
    </w:p>
    <w:p w14:paraId="1E56E36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采购文件获取日期：</w:t>
      </w:r>
    </w:p>
    <w:p w14:paraId="55DB602C">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三、质疑事项具体内容</w:t>
      </w:r>
    </w:p>
    <w:p w14:paraId="27B2228D">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质疑事项1：</w:t>
      </w:r>
    </w:p>
    <w:p w14:paraId="71E03276">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事实依据：</w:t>
      </w:r>
    </w:p>
    <w:p w14:paraId="67300482">
      <w:pPr>
        <w:adjustRightInd w:val="0"/>
        <w:snapToGrid w:val="0"/>
        <w:spacing w:line="460" w:lineRule="exact"/>
        <w:ind w:firstLine="560" w:firstLineChars="200"/>
        <w:rPr>
          <w:rFonts w:ascii="仿宋" w:hAnsi="仿宋" w:eastAsia="仿宋" w:cs="仿宋"/>
          <w:color w:val="auto"/>
          <w:sz w:val="28"/>
          <w:szCs w:val="28"/>
        </w:rPr>
      </w:pPr>
    </w:p>
    <w:p w14:paraId="46739862">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法律依据：</w:t>
      </w:r>
    </w:p>
    <w:p w14:paraId="5F641994">
      <w:pPr>
        <w:adjustRightInd w:val="0"/>
        <w:snapToGrid w:val="0"/>
        <w:spacing w:line="460" w:lineRule="exact"/>
        <w:ind w:firstLine="560" w:firstLineChars="200"/>
        <w:rPr>
          <w:rFonts w:ascii="仿宋" w:hAnsi="仿宋" w:eastAsia="仿宋" w:cs="仿宋"/>
          <w:color w:val="auto"/>
          <w:sz w:val="28"/>
          <w:szCs w:val="28"/>
          <w:u w:val="dotted"/>
        </w:rPr>
      </w:pPr>
    </w:p>
    <w:p w14:paraId="3675650E">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质疑事项2</w:t>
      </w:r>
    </w:p>
    <w:p w14:paraId="0F68A0A1">
      <w:pPr>
        <w:adjustRightInd w:val="0"/>
        <w:snapToGrid w:val="0"/>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p>
    <w:p w14:paraId="3CEA3B0E">
      <w:pPr>
        <w:adjustRightInd w:val="0"/>
        <w:snapToGrid w:val="0"/>
        <w:spacing w:line="460" w:lineRule="exact"/>
        <w:ind w:firstLine="560" w:firstLineChars="200"/>
        <w:rPr>
          <w:rFonts w:ascii="仿宋" w:hAnsi="仿宋" w:eastAsia="仿宋" w:cs="仿宋"/>
          <w:bCs/>
          <w:color w:val="auto"/>
          <w:sz w:val="28"/>
          <w:szCs w:val="28"/>
        </w:rPr>
      </w:pPr>
      <w:r>
        <w:rPr>
          <w:rFonts w:hint="eastAsia" w:ascii="仿宋" w:hAnsi="仿宋" w:eastAsia="仿宋" w:cs="仿宋"/>
          <w:bCs/>
          <w:color w:val="auto"/>
          <w:sz w:val="28"/>
          <w:szCs w:val="28"/>
        </w:rPr>
        <w:t>四、与质疑事项相关的质疑请求</w:t>
      </w:r>
    </w:p>
    <w:p w14:paraId="0A33AE74">
      <w:pPr>
        <w:adjustRightInd w:val="0"/>
        <w:snapToGrid w:val="0"/>
        <w:spacing w:line="460" w:lineRule="exact"/>
        <w:ind w:firstLine="560" w:firstLineChars="200"/>
        <w:rPr>
          <w:rFonts w:ascii="仿宋" w:hAnsi="仿宋" w:eastAsia="仿宋" w:cs="仿宋"/>
          <w:color w:val="auto"/>
          <w:sz w:val="28"/>
          <w:szCs w:val="28"/>
          <w:u w:val="dotted"/>
        </w:rPr>
      </w:pPr>
      <w:r>
        <w:rPr>
          <w:rFonts w:hint="eastAsia" w:ascii="仿宋" w:hAnsi="仿宋" w:eastAsia="仿宋" w:cs="仿宋"/>
          <w:color w:val="auto"/>
          <w:sz w:val="28"/>
          <w:szCs w:val="28"/>
        </w:rPr>
        <w:t>请求：</w:t>
      </w:r>
    </w:p>
    <w:p w14:paraId="5FB1B6A2">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签字(签章)：                   公章：                      </w:t>
      </w:r>
    </w:p>
    <w:p w14:paraId="066820B4">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日期：    </w:t>
      </w:r>
    </w:p>
    <w:p w14:paraId="089F06EE">
      <w:pPr>
        <w:adjustRightInd w:val="0"/>
        <w:snapToGrid w:val="0"/>
        <w:spacing w:line="460" w:lineRule="exact"/>
        <w:ind w:firstLine="560" w:firstLineChars="200"/>
        <w:rPr>
          <w:rFonts w:ascii="仿宋" w:hAnsi="仿宋" w:eastAsia="仿宋" w:cs="仿宋"/>
          <w:color w:val="auto"/>
          <w:sz w:val="28"/>
          <w:szCs w:val="28"/>
        </w:rPr>
      </w:pPr>
    </w:p>
    <w:p w14:paraId="375445EB">
      <w:pPr>
        <w:spacing w:line="460" w:lineRule="exact"/>
        <w:ind w:firstLine="562" w:firstLineChars="200"/>
        <w:rPr>
          <w:rFonts w:ascii="仿宋" w:hAnsi="仿宋" w:eastAsia="仿宋" w:cs="仿宋"/>
          <w:b/>
          <w:color w:val="auto"/>
          <w:sz w:val="28"/>
          <w:szCs w:val="28"/>
        </w:rPr>
      </w:pPr>
    </w:p>
    <w:p w14:paraId="347C19F0">
      <w:pPr>
        <w:spacing w:line="460" w:lineRule="exact"/>
        <w:ind w:firstLine="562" w:firstLineChars="200"/>
        <w:rPr>
          <w:rFonts w:ascii="仿宋" w:hAnsi="仿宋" w:eastAsia="仿宋" w:cs="仿宋"/>
          <w:b/>
          <w:color w:val="auto"/>
          <w:sz w:val="28"/>
          <w:szCs w:val="28"/>
        </w:rPr>
      </w:pPr>
    </w:p>
    <w:p w14:paraId="1F78BC2D">
      <w:pPr>
        <w:spacing w:line="46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质疑函制作说明：</w:t>
      </w:r>
    </w:p>
    <w:p w14:paraId="698B2DC2">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1.供应商提出质疑时，应提交质疑函和必要的证明材料。</w:t>
      </w:r>
    </w:p>
    <w:p w14:paraId="2A4C0006">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rPr>
        <w:t>供应商签署的授权委托书。授权委托书应载明代理人的姓名或者名称、代理事项、具体权限、期限和相关事项。</w:t>
      </w:r>
    </w:p>
    <w:p w14:paraId="2E187CCE">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3.质疑供应商若对项目的某一分包进行质疑，质疑函中应列明具体分包号。</w:t>
      </w:r>
    </w:p>
    <w:p w14:paraId="588B661B">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4.质疑函的质疑事项应具体、明确，并有必要的事实依据和法律依据。</w:t>
      </w:r>
    </w:p>
    <w:p w14:paraId="04816E1C">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5.质疑函的质疑请求应与质疑事项相关。</w:t>
      </w:r>
    </w:p>
    <w:p w14:paraId="5C06478C">
      <w:pPr>
        <w:widowControl/>
        <w:spacing w:line="46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6.质疑供应商为自然人的，质疑函应由本人签字；质疑供应商为法人或者其他组织的，质疑函应由法定代表人、主要负责人，或者其授权代表签字或者盖章，并加盖公章。</w:t>
      </w:r>
    </w:p>
    <w:p w14:paraId="2EEC367C">
      <w:pPr>
        <w:widowControl/>
        <w:spacing w:line="360" w:lineRule="auto"/>
        <w:ind w:firstLine="560" w:firstLineChars="200"/>
        <w:jc w:val="left"/>
        <w:rPr>
          <w:rFonts w:ascii="仿宋" w:hAnsi="仿宋" w:eastAsia="仿宋" w:cs="仿宋"/>
          <w:color w:val="auto"/>
          <w:sz w:val="28"/>
          <w:szCs w:val="28"/>
        </w:rPr>
      </w:pPr>
    </w:p>
    <w:sectPr>
      <w:pgSz w:w="11907" w:h="16839"/>
      <w:pgMar w:top="1440" w:right="1803" w:bottom="1440" w:left="1803"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61F822B-04DE-4C5E-B6C8-31C6FCA87852}"/>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E1388D6B-3DB5-4452-836B-CE892D4B07DA}"/>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3" w:fontKey="{6932A019-B513-407D-B30D-38F4316A4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CF263">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C2B8">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27C410">
                          <w:pPr>
                            <w:pStyle w:val="20"/>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14:paraId="1F27C410">
                    <w:pPr>
                      <w:pStyle w:val="2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B206">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ADC9">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BEB2">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9"/>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14"/>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C959152A"/>
    <w:multiLevelType w:val="singleLevel"/>
    <w:tmpl w:val="C959152A"/>
    <w:lvl w:ilvl="0" w:tentative="0">
      <w:start w:val="1"/>
      <w:numFmt w:val="bullet"/>
      <w:pStyle w:val="116"/>
      <w:lvlText w:val=""/>
      <w:lvlJc w:val="left"/>
      <w:pPr>
        <w:tabs>
          <w:tab w:val="left" w:pos="780"/>
        </w:tabs>
        <w:ind w:left="780" w:hanging="360"/>
      </w:pPr>
      <w:rPr>
        <w:rFonts w:ascii="Wingdings" w:hAnsi="Wingdings"/>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104"/>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4">
    <w:nsid w:val="56898123"/>
    <w:multiLevelType w:val="singleLevel"/>
    <w:tmpl w:val="56898123"/>
    <w:lvl w:ilvl="0" w:tentative="0">
      <w:start w:val="1"/>
      <w:numFmt w:val="decimal"/>
      <w:pStyle w:val="16"/>
      <w:lvlText w:val="%1."/>
      <w:lvlJc w:val="left"/>
      <w:pPr>
        <w:tabs>
          <w:tab w:val="left" w:pos="2040"/>
        </w:tabs>
        <w:ind w:left="204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2JkZmIyOTY3NTdjNmZkNzE4ZTgzYzMxMDhmMDMifQ=="/>
    <w:docVar w:name="KSO_WPS_MARK_KEY" w:val="edd408a1-b375-4b40-a9cb-3acf64b7781a"/>
  </w:docVars>
  <w:rsids>
    <w:rsidRoot w:val="00E1428C"/>
    <w:rsid w:val="000027DF"/>
    <w:rsid w:val="00004FB3"/>
    <w:rsid w:val="00006069"/>
    <w:rsid w:val="00006222"/>
    <w:rsid w:val="00006B64"/>
    <w:rsid w:val="00006E64"/>
    <w:rsid w:val="00007342"/>
    <w:rsid w:val="00011F29"/>
    <w:rsid w:val="00012899"/>
    <w:rsid w:val="00012F0F"/>
    <w:rsid w:val="00013834"/>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4E00"/>
    <w:rsid w:val="00077641"/>
    <w:rsid w:val="00080EE8"/>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66BC"/>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ACE"/>
    <w:rsid w:val="000F7D4F"/>
    <w:rsid w:val="00101E0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51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1F5"/>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4EAC"/>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2D5"/>
    <w:rsid w:val="001E1433"/>
    <w:rsid w:val="001E53BC"/>
    <w:rsid w:val="001E601F"/>
    <w:rsid w:val="001E70A4"/>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4D6"/>
    <w:rsid w:val="00314C38"/>
    <w:rsid w:val="003164A3"/>
    <w:rsid w:val="00320476"/>
    <w:rsid w:val="00320B07"/>
    <w:rsid w:val="00320C34"/>
    <w:rsid w:val="003212C2"/>
    <w:rsid w:val="00321CBF"/>
    <w:rsid w:val="0032216A"/>
    <w:rsid w:val="003228A9"/>
    <w:rsid w:val="00322B57"/>
    <w:rsid w:val="00330686"/>
    <w:rsid w:val="0033200D"/>
    <w:rsid w:val="003333E4"/>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2397"/>
    <w:rsid w:val="0037319F"/>
    <w:rsid w:val="00375458"/>
    <w:rsid w:val="00375F02"/>
    <w:rsid w:val="00381D8F"/>
    <w:rsid w:val="00383292"/>
    <w:rsid w:val="00385B36"/>
    <w:rsid w:val="00386909"/>
    <w:rsid w:val="0039137F"/>
    <w:rsid w:val="00395FAE"/>
    <w:rsid w:val="00395FE0"/>
    <w:rsid w:val="003979A3"/>
    <w:rsid w:val="003A3808"/>
    <w:rsid w:val="003A42A7"/>
    <w:rsid w:val="003A4DE4"/>
    <w:rsid w:val="003B0863"/>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128F"/>
    <w:rsid w:val="00412036"/>
    <w:rsid w:val="0041532A"/>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0C61"/>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6618"/>
    <w:rsid w:val="0050700C"/>
    <w:rsid w:val="005119D2"/>
    <w:rsid w:val="00513B39"/>
    <w:rsid w:val="00513FF3"/>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139"/>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169D"/>
    <w:rsid w:val="00553179"/>
    <w:rsid w:val="00554692"/>
    <w:rsid w:val="00554B19"/>
    <w:rsid w:val="00555573"/>
    <w:rsid w:val="00556006"/>
    <w:rsid w:val="005569D2"/>
    <w:rsid w:val="00561A91"/>
    <w:rsid w:val="005627F2"/>
    <w:rsid w:val="00562FB5"/>
    <w:rsid w:val="005632D0"/>
    <w:rsid w:val="005638DD"/>
    <w:rsid w:val="00564B31"/>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4FDD"/>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22D"/>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5EF"/>
    <w:rsid w:val="006746C4"/>
    <w:rsid w:val="00677100"/>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6F7226"/>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582"/>
    <w:rsid w:val="00732767"/>
    <w:rsid w:val="0073472E"/>
    <w:rsid w:val="00736373"/>
    <w:rsid w:val="007371F5"/>
    <w:rsid w:val="0073758F"/>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5F8"/>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3DA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0DD3"/>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3EC4"/>
    <w:rsid w:val="008346D9"/>
    <w:rsid w:val="00834E31"/>
    <w:rsid w:val="00835269"/>
    <w:rsid w:val="00837419"/>
    <w:rsid w:val="00841969"/>
    <w:rsid w:val="0084230F"/>
    <w:rsid w:val="00843586"/>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2ED"/>
    <w:rsid w:val="00870789"/>
    <w:rsid w:val="0087299F"/>
    <w:rsid w:val="00873EBB"/>
    <w:rsid w:val="0087426A"/>
    <w:rsid w:val="0087707F"/>
    <w:rsid w:val="00880AE4"/>
    <w:rsid w:val="00881756"/>
    <w:rsid w:val="0088337A"/>
    <w:rsid w:val="008858B1"/>
    <w:rsid w:val="0088599A"/>
    <w:rsid w:val="0088631F"/>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1C77"/>
    <w:rsid w:val="008D231E"/>
    <w:rsid w:val="008D5920"/>
    <w:rsid w:val="008D5D69"/>
    <w:rsid w:val="008E05A2"/>
    <w:rsid w:val="008E0F02"/>
    <w:rsid w:val="008E4EB6"/>
    <w:rsid w:val="008E4EE4"/>
    <w:rsid w:val="008E61F1"/>
    <w:rsid w:val="008E6ABA"/>
    <w:rsid w:val="008E6C8B"/>
    <w:rsid w:val="008E7641"/>
    <w:rsid w:val="008E7728"/>
    <w:rsid w:val="008F141B"/>
    <w:rsid w:val="008F5E85"/>
    <w:rsid w:val="008F70FC"/>
    <w:rsid w:val="00900A08"/>
    <w:rsid w:val="00900FB2"/>
    <w:rsid w:val="009015EF"/>
    <w:rsid w:val="00901DB7"/>
    <w:rsid w:val="00904499"/>
    <w:rsid w:val="00904AA6"/>
    <w:rsid w:val="00905D01"/>
    <w:rsid w:val="00906B25"/>
    <w:rsid w:val="00906EE0"/>
    <w:rsid w:val="00911523"/>
    <w:rsid w:val="00912E3B"/>
    <w:rsid w:val="00916987"/>
    <w:rsid w:val="00916E16"/>
    <w:rsid w:val="009209D2"/>
    <w:rsid w:val="009235DA"/>
    <w:rsid w:val="00925E36"/>
    <w:rsid w:val="00927377"/>
    <w:rsid w:val="00930118"/>
    <w:rsid w:val="009313F0"/>
    <w:rsid w:val="009325CD"/>
    <w:rsid w:val="00935232"/>
    <w:rsid w:val="009357B9"/>
    <w:rsid w:val="00937D34"/>
    <w:rsid w:val="00941FC0"/>
    <w:rsid w:val="009462EB"/>
    <w:rsid w:val="009501A5"/>
    <w:rsid w:val="0095029E"/>
    <w:rsid w:val="00951CB7"/>
    <w:rsid w:val="009540D3"/>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7D1"/>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0F6E"/>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5BE7"/>
    <w:rsid w:val="00A062B5"/>
    <w:rsid w:val="00A06A12"/>
    <w:rsid w:val="00A1045F"/>
    <w:rsid w:val="00A1184C"/>
    <w:rsid w:val="00A12970"/>
    <w:rsid w:val="00A13ECB"/>
    <w:rsid w:val="00A140A1"/>
    <w:rsid w:val="00A14A4A"/>
    <w:rsid w:val="00A16E4A"/>
    <w:rsid w:val="00A20293"/>
    <w:rsid w:val="00A21B17"/>
    <w:rsid w:val="00A22E72"/>
    <w:rsid w:val="00A26193"/>
    <w:rsid w:val="00A30B64"/>
    <w:rsid w:val="00A3120C"/>
    <w:rsid w:val="00A314A5"/>
    <w:rsid w:val="00A31C8C"/>
    <w:rsid w:val="00A31DD8"/>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46F9"/>
    <w:rsid w:val="00A767FF"/>
    <w:rsid w:val="00A769D3"/>
    <w:rsid w:val="00A82845"/>
    <w:rsid w:val="00A839D1"/>
    <w:rsid w:val="00A85F9C"/>
    <w:rsid w:val="00A86330"/>
    <w:rsid w:val="00A86999"/>
    <w:rsid w:val="00A90599"/>
    <w:rsid w:val="00A9167C"/>
    <w:rsid w:val="00A934AA"/>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1F9"/>
    <w:rsid w:val="00AF35AC"/>
    <w:rsid w:val="00AF3DFF"/>
    <w:rsid w:val="00AF400D"/>
    <w:rsid w:val="00AF5F84"/>
    <w:rsid w:val="00B012B5"/>
    <w:rsid w:val="00B03B6E"/>
    <w:rsid w:val="00B041B3"/>
    <w:rsid w:val="00B04FC9"/>
    <w:rsid w:val="00B07CFC"/>
    <w:rsid w:val="00B12763"/>
    <w:rsid w:val="00B12DBC"/>
    <w:rsid w:val="00B13F4C"/>
    <w:rsid w:val="00B14D7D"/>
    <w:rsid w:val="00B16451"/>
    <w:rsid w:val="00B208BA"/>
    <w:rsid w:val="00B22B58"/>
    <w:rsid w:val="00B23416"/>
    <w:rsid w:val="00B24B44"/>
    <w:rsid w:val="00B2548E"/>
    <w:rsid w:val="00B30803"/>
    <w:rsid w:val="00B31C19"/>
    <w:rsid w:val="00B347B2"/>
    <w:rsid w:val="00B34F46"/>
    <w:rsid w:val="00B36C5C"/>
    <w:rsid w:val="00B37478"/>
    <w:rsid w:val="00B400DA"/>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77B18"/>
    <w:rsid w:val="00B80736"/>
    <w:rsid w:val="00B81902"/>
    <w:rsid w:val="00B84694"/>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0D7F"/>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461"/>
    <w:rsid w:val="00C1162E"/>
    <w:rsid w:val="00C13466"/>
    <w:rsid w:val="00C134F4"/>
    <w:rsid w:val="00C14370"/>
    <w:rsid w:val="00C148C0"/>
    <w:rsid w:val="00C14E6E"/>
    <w:rsid w:val="00C15F9E"/>
    <w:rsid w:val="00C16B38"/>
    <w:rsid w:val="00C22980"/>
    <w:rsid w:val="00C23B0F"/>
    <w:rsid w:val="00C261EA"/>
    <w:rsid w:val="00C327D0"/>
    <w:rsid w:val="00C348D9"/>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708CD"/>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1FB3"/>
    <w:rsid w:val="00CB25CD"/>
    <w:rsid w:val="00CB38D7"/>
    <w:rsid w:val="00CB6600"/>
    <w:rsid w:val="00CB7762"/>
    <w:rsid w:val="00CC30E1"/>
    <w:rsid w:val="00CC3303"/>
    <w:rsid w:val="00CC423B"/>
    <w:rsid w:val="00CC56AF"/>
    <w:rsid w:val="00CD225E"/>
    <w:rsid w:val="00CD3182"/>
    <w:rsid w:val="00CD3768"/>
    <w:rsid w:val="00CD5D9B"/>
    <w:rsid w:val="00CD756F"/>
    <w:rsid w:val="00CE08D4"/>
    <w:rsid w:val="00CE299E"/>
    <w:rsid w:val="00CE3B6F"/>
    <w:rsid w:val="00CF2F8E"/>
    <w:rsid w:val="00CF494E"/>
    <w:rsid w:val="00D016D5"/>
    <w:rsid w:val="00D02743"/>
    <w:rsid w:val="00D0448D"/>
    <w:rsid w:val="00D10242"/>
    <w:rsid w:val="00D11C98"/>
    <w:rsid w:val="00D12B3D"/>
    <w:rsid w:val="00D13E9D"/>
    <w:rsid w:val="00D148F7"/>
    <w:rsid w:val="00D15552"/>
    <w:rsid w:val="00D15FA8"/>
    <w:rsid w:val="00D165E8"/>
    <w:rsid w:val="00D17359"/>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3D1A"/>
    <w:rsid w:val="00D55A52"/>
    <w:rsid w:val="00D5633E"/>
    <w:rsid w:val="00D5795F"/>
    <w:rsid w:val="00D617EB"/>
    <w:rsid w:val="00D61D14"/>
    <w:rsid w:val="00D64133"/>
    <w:rsid w:val="00D64977"/>
    <w:rsid w:val="00D65F8D"/>
    <w:rsid w:val="00D71A37"/>
    <w:rsid w:val="00D71C81"/>
    <w:rsid w:val="00D7394A"/>
    <w:rsid w:val="00D7641E"/>
    <w:rsid w:val="00D816AA"/>
    <w:rsid w:val="00D82DC6"/>
    <w:rsid w:val="00D83BDC"/>
    <w:rsid w:val="00D851A1"/>
    <w:rsid w:val="00D8597C"/>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412C"/>
    <w:rsid w:val="00DE6465"/>
    <w:rsid w:val="00DE6711"/>
    <w:rsid w:val="00DF3105"/>
    <w:rsid w:val="00DF3DE4"/>
    <w:rsid w:val="00DF3E87"/>
    <w:rsid w:val="00DF756F"/>
    <w:rsid w:val="00E0036C"/>
    <w:rsid w:val="00E00B2E"/>
    <w:rsid w:val="00E01843"/>
    <w:rsid w:val="00E023DF"/>
    <w:rsid w:val="00E05508"/>
    <w:rsid w:val="00E0551F"/>
    <w:rsid w:val="00E05E14"/>
    <w:rsid w:val="00E1428C"/>
    <w:rsid w:val="00E14366"/>
    <w:rsid w:val="00E1739C"/>
    <w:rsid w:val="00E179B2"/>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3FC9"/>
    <w:rsid w:val="00E846EF"/>
    <w:rsid w:val="00E849D1"/>
    <w:rsid w:val="00E84B4C"/>
    <w:rsid w:val="00E84C36"/>
    <w:rsid w:val="00E86621"/>
    <w:rsid w:val="00E93AC5"/>
    <w:rsid w:val="00E94579"/>
    <w:rsid w:val="00E9459D"/>
    <w:rsid w:val="00E96448"/>
    <w:rsid w:val="00E967EF"/>
    <w:rsid w:val="00E96FDF"/>
    <w:rsid w:val="00E97110"/>
    <w:rsid w:val="00E9798C"/>
    <w:rsid w:val="00EA0B57"/>
    <w:rsid w:val="00EA1035"/>
    <w:rsid w:val="00EA1F98"/>
    <w:rsid w:val="00EA3C4B"/>
    <w:rsid w:val="00EA5869"/>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06FD"/>
    <w:rsid w:val="00ED088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0FA"/>
    <w:rsid w:val="00EF2803"/>
    <w:rsid w:val="00EF32E8"/>
    <w:rsid w:val="00EF3C12"/>
    <w:rsid w:val="00EF4E2B"/>
    <w:rsid w:val="00EF6658"/>
    <w:rsid w:val="00F00CF3"/>
    <w:rsid w:val="00F01411"/>
    <w:rsid w:val="00F01B5D"/>
    <w:rsid w:val="00F06553"/>
    <w:rsid w:val="00F11E42"/>
    <w:rsid w:val="00F11FCA"/>
    <w:rsid w:val="00F12347"/>
    <w:rsid w:val="00F123BB"/>
    <w:rsid w:val="00F13525"/>
    <w:rsid w:val="00F14271"/>
    <w:rsid w:val="00F16830"/>
    <w:rsid w:val="00F209DC"/>
    <w:rsid w:val="00F22592"/>
    <w:rsid w:val="00F23ECA"/>
    <w:rsid w:val="00F24DD9"/>
    <w:rsid w:val="00F2528C"/>
    <w:rsid w:val="00F32735"/>
    <w:rsid w:val="00F348A6"/>
    <w:rsid w:val="00F35C73"/>
    <w:rsid w:val="00F36F9F"/>
    <w:rsid w:val="00F42327"/>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59126E"/>
    <w:rsid w:val="01C51F26"/>
    <w:rsid w:val="021B6523"/>
    <w:rsid w:val="02861C5D"/>
    <w:rsid w:val="02864E82"/>
    <w:rsid w:val="028E5BF7"/>
    <w:rsid w:val="029175FA"/>
    <w:rsid w:val="02A46519"/>
    <w:rsid w:val="02C34EEE"/>
    <w:rsid w:val="02F30FA1"/>
    <w:rsid w:val="02F70D3E"/>
    <w:rsid w:val="030663D5"/>
    <w:rsid w:val="0319135E"/>
    <w:rsid w:val="031D75DC"/>
    <w:rsid w:val="034F46D6"/>
    <w:rsid w:val="03784CB1"/>
    <w:rsid w:val="04051239"/>
    <w:rsid w:val="04736AA8"/>
    <w:rsid w:val="04CC6B4B"/>
    <w:rsid w:val="05161060"/>
    <w:rsid w:val="053E2C54"/>
    <w:rsid w:val="0654321E"/>
    <w:rsid w:val="068C1FDE"/>
    <w:rsid w:val="06B0131B"/>
    <w:rsid w:val="06ED1BCA"/>
    <w:rsid w:val="06F91383"/>
    <w:rsid w:val="079A247E"/>
    <w:rsid w:val="079B2882"/>
    <w:rsid w:val="07B71116"/>
    <w:rsid w:val="07F27FE4"/>
    <w:rsid w:val="08190C3F"/>
    <w:rsid w:val="08405380"/>
    <w:rsid w:val="084C7301"/>
    <w:rsid w:val="08980A8D"/>
    <w:rsid w:val="08A07782"/>
    <w:rsid w:val="09572537"/>
    <w:rsid w:val="09694699"/>
    <w:rsid w:val="09992B4F"/>
    <w:rsid w:val="09E8138B"/>
    <w:rsid w:val="0A6071C9"/>
    <w:rsid w:val="0AA572D2"/>
    <w:rsid w:val="0AD03B89"/>
    <w:rsid w:val="0AD74C6D"/>
    <w:rsid w:val="0AF60B0D"/>
    <w:rsid w:val="0B067BB8"/>
    <w:rsid w:val="0B124F09"/>
    <w:rsid w:val="0B896BF3"/>
    <w:rsid w:val="0B8B296C"/>
    <w:rsid w:val="0B8E5FB8"/>
    <w:rsid w:val="0B8F7378"/>
    <w:rsid w:val="0B9818EB"/>
    <w:rsid w:val="0BA5348D"/>
    <w:rsid w:val="0BC31006"/>
    <w:rsid w:val="0C26412E"/>
    <w:rsid w:val="0C9B41C4"/>
    <w:rsid w:val="0CC93385"/>
    <w:rsid w:val="0CF757AC"/>
    <w:rsid w:val="0D2C751C"/>
    <w:rsid w:val="0D57008A"/>
    <w:rsid w:val="0D7D135A"/>
    <w:rsid w:val="0D9E4C87"/>
    <w:rsid w:val="0DA56F93"/>
    <w:rsid w:val="0DB52476"/>
    <w:rsid w:val="0DCE1A94"/>
    <w:rsid w:val="0DDC0C86"/>
    <w:rsid w:val="0DDC3FD5"/>
    <w:rsid w:val="0E7E1C83"/>
    <w:rsid w:val="0E7E5E5F"/>
    <w:rsid w:val="0F603F8D"/>
    <w:rsid w:val="0F747D3A"/>
    <w:rsid w:val="1049527D"/>
    <w:rsid w:val="106A2B50"/>
    <w:rsid w:val="10B34976"/>
    <w:rsid w:val="110F725F"/>
    <w:rsid w:val="11163121"/>
    <w:rsid w:val="11285B62"/>
    <w:rsid w:val="11380EA0"/>
    <w:rsid w:val="11B30526"/>
    <w:rsid w:val="12214824"/>
    <w:rsid w:val="12315DC0"/>
    <w:rsid w:val="12362D47"/>
    <w:rsid w:val="12DD0C75"/>
    <w:rsid w:val="12FA67BA"/>
    <w:rsid w:val="13304B67"/>
    <w:rsid w:val="134566BC"/>
    <w:rsid w:val="135774FE"/>
    <w:rsid w:val="13A46379"/>
    <w:rsid w:val="13AD66FE"/>
    <w:rsid w:val="13F310AE"/>
    <w:rsid w:val="13FA243C"/>
    <w:rsid w:val="142011A6"/>
    <w:rsid w:val="144C6CB5"/>
    <w:rsid w:val="14564609"/>
    <w:rsid w:val="14583120"/>
    <w:rsid w:val="15215C70"/>
    <w:rsid w:val="15495F87"/>
    <w:rsid w:val="1574342C"/>
    <w:rsid w:val="15965C16"/>
    <w:rsid w:val="15A444A6"/>
    <w:rsid w:val="16277A0B"/>
    <w:rsid w:val="162E6FC6"/>
    <w:rsid w:val="16802C5C"/>
    <w:rsid w:val="16852D6C"/>
    <w:rsid w:val="16884649"/>
    <w:rsid w:val="16907088"/>
    <w:rsid w:val="16C94348"/>
    <w:rsid w:val="17517F11"/>
    <w:rsid w:val="17B24919"/>
    <w:rsid w:val="17B4163D"/>
    <w:rsid w:val="17C9694A"/>
    <w:rsid w:val="17F94FFE"/>
    <w:rsid w:val="1813218C"/>
    <w:rsid w:val="181745F5"/>
    <w:rsid w:val="182F467F"/>
    <w:rsid w:val="185B7983"/>
    <w:rsid w:val="18AF29F3"/>
    <w:rsid w:val="18DC65B5"/>
    <w:rsid w:val="190805F5"/>
    <w:rsid w:val="19371006"/>
    <w:rsid w:val="19660714"/>
    <w:rsid w:val="197C2955"/>
    <w:rsid w:val="19E82C89"/>
    <w:rsid w:val="1A4268EB"/>
    <w:rsid w:val="1A444411"/>
    <w:rsid w:val="1A5279E9"/>
    <w:rsid w:val="1AD43112"/>
    <w:rsid w:val="1B3063A9"/>
    <w:rsid w:val="1B920893"/>
    <w:rsid w:val="1B925650"/>
    <w:rsid w:val="1BEB63D8"/>
    <w:rsid w:val="1C78157F"/>
    <w:rsid w:val="1C8B1F64"/>
    <w:rsid w:val="1CD25790"/>
    <w:rsid w:val="1D050C0D"/>
    <w:rsid w:val="1D3544E5"/>
    <w:rsid w:val="1D787557"/>
    <w:rsid w:val="1E036392"/>
    <w:rsid w:val="1E097B16"/>
    <w:rsid w:val="1E53284B"/>
    <w:rsid w:val="1E5F512D"/>
    <w:rsid w:val="1E892E63"/>
    <w:rsid w:val="1EE70F94"/>
    <w:rsid w:val="1F4F3A29"/>
    <w:rsid w:val="1F9B16E8"/>
    <w:rsid w:val="20085EE1"/>
    <w:rsid w:val="20255070"/>
    <w:rsid w:val="202B6819"/>
    <w:rsid w:val="20E92EC4"/>
    <w:rsid w:val="20EE6FC1"/>
    <w:rsid w:val="20EF1D98"/>
    <w:rsid w:val="21606878"/>
    <w:rsid w:val="2193780B"/>
    <w:rsid w:val="219C0FD7"/>
    <w:rsid w:val="21FA130C"/>
    <w:rsid w:val="22027AEB"/>
    <w:rsid w:val="22271B75"/>
    <w:rsid w:val="2235090D"/>
    <w:rsid w:val="22547340"/>
    <w:rsid w:val="226570FE"/>
    <w:rsid w:val="230A5C39"/>
    <w:rsid w:val="23545E69"/>
    <w:rsid w:val="23A42D0F"/>
    <w:rsid w:val="23A60FED"/>
    <w:rsid w:val="24062928"/>
    <w:rsid w:val="240E3E21"/>
    <w:rsid w:val="244217C3"/>
    <w:rsid w:val="24446463"/>
    <w:rsid w:val="24462A2D"/>
    <w:rsid w:val="246B6A3F"/>
    <w:rsid w:val="24AF1021"/>
    <w:rsid w:val="255E9A8F"/>
    <w:rsid w:val="25625F13"/>
    <w:rsid w:val="25761FE8"/>
    <w:rsid w:val="25A55F80"/>
    <w:rsid w:val="26B36D0C"/>
    <w:rsid w:val="26C70FC3"/>
    <w:rsid w:val="271F7DFA"/>
    <w:rsid w:val="272F3A51"/>
    <w:rsid w:val="27333F23"/>
    <w:rsid w:val="27C63A92"/>
    <w:rsid w:val="27E17743"/>
    <w:rsid w:val="27F00097"/>
    <w:rsid w:val="27F8287A"/>
    <w:rsid w:val="280803EC"/>
    <w:rsid w:val="281C69CE"/>
    <w:rsid w:val="282E0237"/>
    <w:rsid w:val="28643197"/>
    <w:rsid w:val="28B44E58"/>
    <w:rsid w:val="28C01D17"/>
    <w:rsid w:val="28C661CF"/>
    <w:rsid w:val="29362D86"/>
    <w:rsid w:val="293E0BC6"/>
    <w:rsid w:val="29A11347"/>
    <w:rsid w:val="29D3144C"/>
    <w:rsid w:val="2A27165A"/>
    <w:rsid w:val="2A2F3040"/>
    <w:rsid w:val="2A4E3D69"/>
    <w:rsid w:val="2B5F21E3"/>
    <w:rsid w:val="2B7566BF"/>
    <w:rsid w:val="2B987F6F"/>
    <w:rsid w:val="2BAD5B8F"/>
    <w:rsid w:val="2BAE36BF"/>
    <w:rsid w:val="2BCB3F2A"/>
    <w:rsid w:val="2C102611"/>
    <w:rsid w:val="2C29369E"/>
    <w:rsid w:val="2C35294C"/>
    <w:rsid w:val="2C9B7CA1"/>
    <w:rsid w:val="2CF27CFD"/>
    <w:rsid w:val="2D5914BC"/>
    <w:rsid w:val="2D821071"/>
    <w:rsid w:val="2DC14C40"/>
    <w:rsid w:val="2DCD2FDA"/>
    <w:rsid w:val="2DD81DDD"/>
    <w:rsid w:val="2E057444"/>
    <w:rsid w:val="2E216B3B"/>
    <w:rsid w:val="2E4A46A0"/>
    <w:rsid w:val="2E513149"/>
    <w:rsid w:val="2E7D5CEC"/>
    <w:rsid w:val="2EB07E70"/>
    <w:rsid w:val="2EB23ECC"/>
    <w:rsid w:val="2EF72DA2"/>
    <w:rsid w:val="2F0267D5"/>
    <w:rsid w:val="2F3515C3"/>
    <w:rsid w:val="2F391C13"/>
    <w:rsid w:val="2F3F38D4"/>
    <w:rsid w:val="2F7970D7"/>
    <w:rsid w:val="2FE64400"/>
    <w:rsid w:val="301339CC"/>
    <w:rsid w:val="3083145F"/>
    <w:rsid w:val="30A7668A"/>
    <w:rsid w:val="30E958BB"/>
    <w:rsid w:val="30F20D3F"/>
    <w:rsid w:val="31320866"/>
    <w:rsid w:val="313B43AB"/>
    <w:rsid w:val="317407C0"/>
    <w:rsid w:val="31AB7E01"/>
    <w:rsid w:val="32207518"/>
    <w:rsid w:val="32A45578"/>
    <w:rsid w:val="32B3311C"/>
    <w:rsid w:val="3312555B"/>
    <w:rsid w:val="33274478"/>
    <w:rsid w:val="334502B8"/>
    <w:rsid w:val="3384079C"/>
    <w:rsid w:val="33AA6EA7"/>
    <w:rsid w:val="33DC5692"/>
    <w:rsid w:val="33E54C86"/>
    <w:rsid w:val="342F6C69"/>
    <w:rsid w:val="34535057"/>
    <w:rsid w:val="34A00986"/>
    <w:rsid w:val="34D8684E"/>
    <w:rsid w:val="34FF1114"/>
    <w:rsid w:val="35386E11"/>
    <w:rsid w:val="355B5F06"/>
    <w:rsid w:val="35BD291C"/>
    <w:rsid w:val="35EA1EB9"/>
    <w:rsid w:val="36BE3D73"/>
    <w:rsid w:val="36E44AE2"/>
    <w:rsid w:val="37741972"/>
    <w:rsid w:val="377443BF"/>
    <w:rsid w:val="37C45D5C"/>
    <w:rsid w:val="380A6843"/>
    <w:rsid w:val="380F3DCD"/>
    <w:rsid w:val="389E2A5F"/>
    <w:rsid w:val="38BD73CD"/>
    <w:rsid w:val="39243934"/>
    <w:rsid w:val="39535BFE"/>
    <w:rsid w:val="398B7F95"/>
    <w:rsid w:val="39A96F72"/>
    <w:rsid w:val="39B5458C"/>
    <w:rsid w:val="39CE38A0"/>
    <w:rsid w:val="3A1C4963"/>
    <w:rsid w:val="3A5570FB"/>
    <w:rsid w:val="3A563FC1"/>
    <w:rsid w:val="3A97759B"/>
    <w:rsid w:val="3A990BD3"/>
    <w:rsid w:val="3AC86541"/>
    <w:rsid w:val="3AF953E5"/>
    <w:rsid w:val="3B4E2FFF"/>
    <w:rsid w:val="3B6049CB"/>
    <w:rsid w:val="3B8107CA"/>
    <w:rsid w:val="3B9C47C1"/>
    <w:rsid w:val="3BAC29ED"/>
    <w:rsid w:val="3BB367AF"/>
    <w:rsid w:val="3BB40923"/>
    <w:rsid w:val="3BD03227"/>
    <w:rsid w:val="3C024B7D"/>
    <w:rsid w:val="3C4E0CC8"/>
    <w:rsid w:val="3C562E53"/>
    <w:rsid w:val="3C7F4EBC"/>
    <w:rsid w:val="3C862210"/>
    <w:rsid w:val="3CA37CE2"/>
    <w:rsid w:val="3D205A10"/>
    <w:rsid w:val="3D5671AA"/>
    <w:rsid w:val="3D8E2068"/>
    <w:rsid w:val="3DFF4595"/>
    <w:rsid w:val="3E1D7CAF"/>
    <w:rsid w:val="3E7E66A3"/>
    <w:rsid w:val="3EA27DBD"/>
    <w:rsid w:val="3EAD286A"/>
    <w:rsid w:val="3F676329"/>
    <w:rsid w:val="3F676452"/>
    <w:rsid w:val="3FE756BB"/>
    <w:rsid w:val="40972C3D"/>
    <w:rsid w:val="40AF50B1"/>
    <w:rsid w:val="40B777E0"/>
    <w:rsid w:val="40C96B6F"/>
    <w:rsid w:val="40E26775"/>
    <w:rsid w:val="40FF1D3F"/>
    <w:rsid w:val="410A55DA"/>
    <w:rsid w:val="41445C3F"/>
    <w:rsid w:val="41655958"/>
    <w:rsid w:val="418954B3"/>
    <w:rsid w:val="4194717D"/>
    <w:rsid w:val="42075459"/>
    <w:rsid w:val="42661790"/>
    <w:rsid w:val="42AC628E"/>
    <w:rsid w:val="42E163F2"/>
    <w:rsid w:val="43087E22"/>
    <w:rsid w:val="43240916"/>
    <w:rsid w:val="435528D9"/>
    <w:rsid w:val="4357078B"/>
    <w:rsid w:val="4379029A"/>
    <w:rsid w:val="43A46303"/>
    <w:rsid w:val="43A7763B"/>
    <w:rsid w:val="43AC108E"/>
    <w:rsid w:val="43CA2CF3"/>
    <w:rsid w:val="43E42978"/>
    <w:rsid w:val="43F42D41"/>
    <w:rsid w:val="440A1978"/>
    <w:rsid w:val="441962C2"/>
    <w:rsid w:val="4440689F"/>
    <w:rsid w:val="447E0969"/>
    <w:rsid w:val="44DA1D47"/>
    <w:rsid w:val="45647867"/>
    <w:rsid w:val="4582210E"/>
    <w:rsid w:val="45C86CE6"/>
    <w:rsid w:val="45F14B9E"/>
    <w:rsid w:val="45FA5F64"/>
    <w:rsid w:val="460743C1"/>
    <w:rsid w:val="46144D30"/>
    <w:rsid w:val="467F21AA"/>
    <w:rsid w:val="46BF4C9C"/>
    <w:rsid w:val="47883ED1"/>
    <w:rsid w:val="47986C63"/>
    <w:rsid w:val="47D6229D"/>
    <w:rsid w:val="47FE7A46"/>
    <w:rsid w:val="48374FFD"/>
    <w:rsid w:val="487E1EBD"/>
    <w:rsid w:val="48EE6CFE"/>
    <w:rsid w:val="49264B98"/>
    <w:rsid w:val="49602681"/>
    <w:rsid w:val="497C0C22"/>
    <w:rsid w:val="49BF2FBD"/>
    <w:rsid w:val="4AA01CFD"/>
    <w:rsid w:val="4AB80DFE"/>
    <w:rsid w:val="4AFA3073"/>
    <w:rsid w:val="4B477F40"/>
    <w:rsid w:val="4BE66A88"/>
    <w:rsid w:val="4BEE392E"/>
    <w:rsid w:val="4C1F5F2B"/>
    <w:rsid w:val="4C46012D"/>
    <w:rsid w:val="4CB532A8"/>
    <w:rsid w:val="4CCC1976"/>
    <w:rsid w:val="4CD174D7"/>
    <w:rsid w:val="4D4B48F3"/>
    <w:rsid w:val="4DF27B79"/>
    <w:rsid w:val="4E1729CD"/>
    <w:rsid w:val="4E296E9F"/>
    <w:rsid w:val="4EE942B4"/>
    <w:rsid w:val="4F0227BF"/>
    <w:rsid w:val="4F31106F"/>
    <w:rsid w:val="4F55619D"/>
    <w:rsid w:val="4F633558"/>
    <w:rsid w:val="4F653C2C"/>
    <w:rsid w:val="4F8E1D24"/>
    <w:rsid w:val="50067556"/>
    <w:rsid w:val="50257DA7"/>
    <w:rsid w:val="50266D04"/>
    <w:rsid w:val="50414974"/>
    <w:rsid w:val="50504182"/>
    <w:rsid w:val="505C5D66"/>
    <w:rsid w:val="50753163"/>
    <w:rsid w:val="50817137"/>
    <w:rsid w:val="509E5922"/>
    <w:rsid w:val="50B11EC2"/>
    <w:rsid w:val="50C37CBB"/>
    <w:rsid w:val="50C71A45"/>
    <w:rsid w:val="510451A5"/>
    <w:rsid w:val="51410B71"/>
    <w:rsid w:val="51A554F3"/>
    <w:rsid w:val="51ED50E8"/>
    <w:rsid w:val="523D7A9D"/>
    <w:rsid w:val="52C15655"/>
    <w:rsid w:val="52C250C7"/>
    <w:rsid w:val="52CB62CE"/>
    <w:rsid w:val="52E1539C"/>
    <w:rsid w:val="530B344E"/>
    <w:rsid w:val="5314011E"/>
    <w:rsid w:val="53B44FB9"/>
    <w:rsid w:val="53C733E2"/>
    <w:rsid w:val="53FF0DCE"/>
    <w:rsid w:val="54066594"/>
    <w:rsid w:val="54154F71"/>
    <w:rsid w:val="544C01DA"/>
    <w:rsid w:val="54826A6F"/>
    <w:rsid w:val="548E6FCC"/>
    <w:rsid w:val="54B41BB8"/>
    <w:rsid w:val="54BC3371"/>
    <w:rsid w:val="54EC13E3"/>
    <w:rsid w:val="55985036"/>
    <w:rsid w:val="55E54A69"/>
    <w:rsid w:val="55F00D79"/>
    <w:rsid w:val="560358E7"/>
    <w:rsid w:val="56682C5A"/>
    <w:rsid w:val="56905D0D"/>
    <w:rsid w:val="56D1451A"/>
    <w:rsid w:val="5737456A"/>
    <w:rsid w:val="573D3418"/>
    <w:rsid w:val="578C3B2F"/>
    <w:rsid w:val="57CE5A99"/>
    <w:rsid w:val="57E1275E"/>
    <w:rsid w:val="57FD3B20"/>
    <w:rsid w:val="583730A7"/>
    <w:rsid w:val="589D4368"/>
    <w:rsid w:val="58CB74D0"/>
    <w:rsid w:val="595F6971"/>
    <w:rsid w:val="597C1F53"/>
    <w:rsid w:val="597F295B"/>
    <w:rsid w:val="59896DA8"/>
    <w:rsid w:val="5A170196"/>
    <w:rsid w:val="5A36306F"/>
    <w:rsid w:val="5A473E48"/>
    <w:rsid w:val="5A6E45B7"/>
    <w:rsid w:val="5A7D0C9E"/>
    <w:rsid w:val="5B0740EA"/>
    <w:rsid w:val="5B247141"/>
    <w:rsid w:val="5B603133"/>
    <w:rsid w:val="5B9837E7"/>
    <w:rsid w:val="5BA734AB"/>
    <w:rsid w:val="5BB168EF"/>
    <w:rsid w:val="5BB40E40"/>
    <w:rsid w:val="5BE95C7A"/>
    <w:rsid w:val="5BEF76E9"/>
    <w:rsid w:val="5C0D2A63"/>
    <w:rsid w:val="5C3D2493"/>
    <w:rsid w:val="5C5D0A1B"/>
    <w:rsid w:val="5C5F065B"/>
    <w:rsid w:val="5C627D9A"/>
    <w:rsid w:val="5CB079DC"/>
    <w:rsid w:val="5CBD7200"/>
    <w:rsid w:val="5CC70097"/>
    <w:rsid w:val="5CE337FB"/>
    <w:rsid w:val="5CF12C9A"/>
    <w:rsid w:val="5D437F7D"/>
    <w:rsid w:val="5D706898"/>
    <w:rsid w:val="5D7B40D5"/>
    <w:rsid w:val="5DCFAE16"/>
    <w:rsid w:val="5E7F498A"/>
    <w:rsid w:val="5EA21F2F"/>
    <w:rsid w:val="5EA91689"/>
    <w:rsid w:val="5F0822F6"/>
    <w:rsid w:val="5F1662FE"/>
    <w:rsid w:val="5F3A0F0C"/>
    <w:rsid w:val="5F57386C"/>
    <w:rsid w:val="5F803FFB"/>
    <w:rsid w:val="5FDD3055"/>
    <w:rsid w:val="60134695"/>
    <w:rsid w:val="60464B44"/>
    <w:rsid w:val="60625971"/>
    <w:rsid w:val="60643A84"/>
    <w:rsid w:val="60BB3DF4"/>
    <w:rsid w:val="60F670B5"/>
    <w:rsid w:val="61FE0917"/>
    <w:rsid w:val="62375736"/>
    <w:rsid w:val="62834BFD"/>
    <w:rsid w:val="62B95263"/>
    <w:rsid w:val="63070B25"/>
    <w:rsid w:val="63312CBB"/>
    <w:rsid w:val="634C5B54"/>
    <w:rsid w:val="635A4871"/>
    <w:rsid w:val="635F44F0"/>
    <w:rsid w:val="639A641D"/>
    <w:rsid w:val="64CE4547"/>
    <w:rsid w:val="65007790"/>
    <w:rsid w:val="65071890"/>
    <w:rsid w:val="65362175"/>
    <w:rsid w:val="655A4F13"/>
    <w:rsid w:val="65624D19"/>
    <w:rsid w:val="65735178"/>
    <w:rsid w:val="657A7089"/>
    <w:rsid w:val="65B6317D"/>
    <w:rsid w:val="66416381"/>
    <w:rsid w:val="6688682D"/>
    <w:rsid w:val="66AB22D9"/>
    <w:rsid w:val="66D41533"/>
    <w:rsid w:val="66DC6D4D"/>
    <w:rsid w:val="673D49E3"/>
    <w:rsid w:val="674072DB"/>
    <w:rsid w:val="675532C8"/>
    <w:rsid w:val="679F7DEF"/>
    <w:rsid w:val="67EB657A"/>
    <w:rsid w:val="680633E1"/>
    <w:rsid w:val="68226616"/>
    <w:rsid w:val="6844104D"/>
    <w:rsid w:val="684921C0"/>
    <w:rsid w:val="68576F69"/>
    <w:rsid w:val="68B00491"/>
    <w:rsid w:val="68B735CD"/>
    <w:rsid w:val="68B84DB4"/>
    <w:rsid w:val="68C66BD6"/>
    <w:rsid w:val="69005E96"/>
    <w:rsid w:val="694035C3"/>
    <w:rsid w:val="6A2054D5"/>
    <w:rsid w:val="6A4F42B1"/>
    <w:rsid w:val="6A693B40"/>
    <w:rsid w:val="6A6D2E29"/>
    <w:rsid w:val="6AB53B3C"/>
    <w:rsid w:val="6AF74155"/>
    <w:rsid w:val="6AFD34C8"/>
    <w:rsid w:val="6B0B7C86"/>
    <w:rsid w:val="6B80414A"/>
    <w:rsid w:val="6B97675D"/>
    <w:rsid w:val="6C3F7AD0"/>
    <w:rsid w:val="6CCE6403"/>
    <w:rsid w:val="6CDA7624"/>
    <w:rsid w:val="6CE81713"/>
    <w:rsid w:val="6D070BEB"/>
    <w:rsid w:val="6D0B6015"/>
    <w:rsid w:val="6D3276C6"/>
    <w:rsid w:val="6D3333CB"/>
    <w:rsid w:val="6D7B2E1B"/>
    <w:rsid w:val="6D7B76B4"/>
    <w:rsid w:val="6D8F2D6B"/>
    <w:rsid w:val="6D9143ED"/>
    <w:rsid w:val="6DB74CDB"/>
    <w:rsid w:val="6DB91B96"/>
    <w:rsid w:val="6DB932C1"/>
    <w:rsid w:val="6E1437DA"/>
    <w:rsid w:val="6E1F0847"/>
    <w:rsid w:val="6E3520A2"/>
    <w:rsid w:val="6E3A43BC"/>
    <w:rsid w:val="6EF6485A"/>
    <w:rsid w:val="6F394D3C"/>
    <w:rsid w:val="6F572DF1"/>
    <w:rsid w:val="6F7264A0"/>
    <w:rsid w:val="6FA843BB"/>
    <w:rsid w:val="6FBC771B"/>
    <w:rsid w:val="6FF4591D"/>
    <w:rsid w:val="70A66401"/>
    <w:rsid w:val="713F6A92"/>
    <w:rsid w:val="71877781"/>
    <w:rsid w:val="71B66B18"/>
    <w:rsid w:val="722C52AF"/>
    <w:rsid w:val="728C5ACB"/>
    <w:rsid w:val="72944086"/>
    <w:rsid w:val="72954F16"/>
    <w:rsid w:val="72D82ABE"/>
    <w:rsid w:val="733B0CDF"/>
    <w:rsid w:val="7350785D"/>
    <w:rsid w:val="7354438F"/>
    <w:rsid w:val="73852C46"/>
    <w:rsid w:val="73A07A74"/>
    <w:rsid w:val="73C86E78"/>
    <w:rsid w:val="73CB43D1"/>
    <w:rsid w:val="747D391D"/>
    <w:rsid w:val="74CD211B"/>
    <w:rsid w:val="74DD1DA7"/>
    <w:rsid w:val="752C1393"/>
    <w:rsid w:val="7547449C"/>
    <w:rsid w:val="755548B4"/>
    <w:rsid w:val="7580588A"/>
    <w:rsid w:val="762C6FE5"/>
    <w:rsid w:val="7630052F"/>
    <w:rsid w:val="7634380D"/>
    <w:rsid w:val="7639386A"/>
    <w:rsid w:val="76575EBB"/>
    <w:rsid w:val="766069C2"/>
    <w:rsid w:val="7686683E"/>
    <w:rsid w:val="76877ABF"/>
    <w:rsid w:val="76A84E99"/>
    <w:rsid w:val="76E12833"/>
    <w:rsid w:val="76E4232A"/>
    <w:rsid w:val="76F55A77"/>
    <w:rsid w:val="77633752"/>
    <w:rsid w:val="77646A47"/>
    <w:rsid w:val="778B45A3"/>
    <w:rsid w:val="77E638B0"/>
    <w:rsid w:val="77EF7281"/>
    <w:rsid w:val="786170B2"/>
    <w:rsid w:val="788D4480"/>
    <w:rsid w:val="78A32008"/>
    <w:rsid w:val="78C57F86"/>
    <w:rsid w:val="78D11888"/>
    <w:rsid w:val="78F53F2C"/>
    <w:rsid w:val="796912D5"/>
    <w:rsid w:val="796C36EE"/>
    <w:rsid w:val="79893713"/>
    <w:rsid w:val="79C344AC"/>
    <w:rsid w:val="79DA1E2B"/>
    <w:rsid w:val="79F62C66"/>
    <w:rsid w:val="7A9B4AFD"/>
    <w:rsid w:val="7ADB314B"/>
    <w:rsid w:val="7AE04C06"/>
    <w:rsid w:val="7AFD2666"/>
    <w:rsid w:val="7AFD7B90"/>
    <w:rsid w:val="7AFE6E3A"/>
    <w:rsid w:val="7B2033F0"/>
    <w:rsid w:val="7B2D0AFC"/>
    <w:rsid w:val="7B4A02D1"/>
    <w:rsid w:val="7B4A6DD9"/>
    <w:rsid w:val="7B570271"/>
    <w:rsid w:val="7C4A67DB"/>
    <w:rsid w:val="7CA848E7"/>
    <w:rsid w:val="7CDB5685"/>
    <w:rsid w:val="7CE915AD"/>
    <w:rsid w:val="7D0821F2"/>
    <w:rsid w:val="7D3A560F"/>
    <w:rsid w:val="7DCF0593"/>
    <w:rsid w:val="7DD74128"/>
    <w:rsid w:val="7E1F194A"/>
    <w:rsid w:val="7E7A1CAE"/>
    <w:rsid w:val="7EC34622"/>
    <w:rsid w:val="7F493897"/>
    <w:rsid w:val="7FA833B8"/>
    <w:rsid w:val="FDF61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jc w:val="center"/>
      <w:outlineLvl w:val="3"/>
    </w:pPr>
    <w:rPr>
      <w:rFonts w:eastAsia="新宋体"/>
      <w:sz w:val="30"/>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3"/>
    <w:qFormat/>
    <w:uiPriority w:val="0"/>
    <w:pPr>
      <w:ind w:firstLine="420"/>
    </w:pPr>
    <w:rPr>
      <w:szCs w:val="20"/>
    </w:rPr>
  </w:style>
  <w:style w:type="paragraph" w:styleId="7">
    <w:name w:val="Document Map"/>
    <w:basedOn w:val="1"/>
    <w:link w:val="54"/>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55"/>
    <w:unhideWhenUsed/>
    <w:qFormat/>
    <w:uiPriority w:val="99"/>
    <w:pPr>
      <w:jc w:val="left"/>
    </w:pPr>
  </w:style>
  <w:style w:type="paragraph" w:styleId="10">
    <w:name w:val="Body Text"/>
    <w:basedOn w:val="1"/>
    <w:next w:val="1"/>
    <w:qFormat/>
    <w:uiPriority w:val="0"/>
    <w:pPr>
      <w:spacing w:line="400" w:lineRule="exact"/>
    </w:pPr>
    <w:rPr>
      <w:rFonts w:ascii="楷体_GB2312"/>
      <w:sz w:val="28"/>
    </w:rPr>
  </w:style>
  <w:style w:type="paragraph" w:styleId="11">
    <w:name w:val="Body Text Indent"/>
    <w:basedOn w:val="1"/>
    <w:next w:val="12"/>
    <w:link w:val="56"/>
    <w:qFormat/>
    <w:uiPriority w:val="0"/>
    <w:pPr>
      <w:spacing w:after="120"/>
      <w:ind w:left="420" w:leftChars="200"/>
    </w:pPr>
  </w:style>
  <w:style w:type="paragraph" w:styleId="12">
    <w:name w:val="envelope return"/>
    <w:basedOn w:val="1"/>
    <w:unhideWhenUsed/>
    <w:qFormat/>
    <w:uiPriority w:val="99"/>
    <w:pPr>
      <w:snapToGrid w:val="0"/>
    </w:pPr>
    <w:rPr>
      <w:rFonts w:ascii="Arial" w:hAnsi="Arial"/>
    </w:rPr>
  </w:style>
  <w:style w:type="paragraph" w:styleId="13">
    <w:name w:val="Block Text"/>
    <w:basedOn w:val="1"/>
    <w:next w:val="10"/>
    <w:qFormat/>
    <w:uiPriority w:val="99"/>
    <w:pPr>
      <w:ind w:left="1440" w:leftChars="700" w:right="700" w:rightChars="700"/>
    </w:pPr>
    <w:rPr>
      <w:color w:val="FF0000"/>
      <w:sz w:val="18"/>
    </w:rPr>
  </w:style>
  <w:style w:type="paragraph" w:styleId="14">
    <w:name w:val="index 4"/>
    <w:basedOn w:val="1"/>
    <w:next w:val="1"/>
    <w:semiHidden/>
    <w:qFormat/>
    <w:uiPriority w:val="0"/>
    <w:pPr>
      <w:ind w:left="1260"/>
    </w:pPr>
  </w:style>
  <w:style w:type="paragraph" w:styleId="15">
    <w:name w:val="Plain Text"/>
    <w:basedOn w:val="1"/>
    <w:next w:val="16"/>
    <w:qFormat/>
    <w:uiPriority w:val="0"/>
    <w:rPr>
      <w:rFonts w:ascii="宋体" w:hAnsi="Courier New"/>
      <w:szCs w:val="20"/>
    </w:rPr>
  </w:style>
  <w:style w:type="paragraph" w:styleId="16">
    <w:name w:val="List Number 5"/>
    <w:basedOn w:val="1"/>
    <w:unhideWhenUsed/>
    <w:qFormat/>
    <w:uiPriority w:val="99"/>
    <w:pPr>
      <w:numPr>
        <w:ilvl w:val="0"/>
        <w:numId w:val="1"/>
      </w:numPr>
    </w:pPr>
  </w:style>
  <w:style w:type="paragraph" w:styleId="17">
    <w:name w:val="Date"/>
    <w:basedOn w:val="1"/>
    <w:next w:val="1"/>
    <w:link w:val="57"/>
    <w:qFormat/>
    <w:uiPriority w:val="0"/>
    <w:pPr>
      <w:ind w:left="100" w:leftChars="2500"/>
    </w:pPr>
  </w:style>
  <w:style w:type="paragraph" w:styleId="18">
    <w:name w:val="Body Text Indent 2"/>
    <w:basedOn w:val="1"/>
    <w:unhideWhenUsed/>
    <w:qFormat/>
    <w:uiPriority w:val="0"/>
    <w:pPr>
      <w:spacing w:line="500" w:lineRule="exact"/>
      <w:ind w:firstLine="560" w:firstLineChars="200"/>
    </w:pPr>
    <w:rPr>
      <w:rFonts w:eastAsia="仿宋_GB2312"/>
      <w:kern w:val="0"/>
      <w:sz w:val="28"/>
      <w:szCs w:val="20"/>
    </w:rPr>
  </w:style>
  <w:style w:type="paragraph" w:styleId="19">
    <w:name w:val="Balloon Text"/>
    <w:basedOn w:val="1"/>
    <w:link w:val="58"/>
    <w:semiHidden/>
    <w:qFormat/>
    <w:uiPriority w:val="0"/>
    <w:rPr>
      <w:sz w:val="18"/>
      <w:szCs w:val="18"/>
    </w:rPr>
  </w:style>
  <w:style w:type="paragraph" w:styleId="20">
    <w:name w:val="footer"/>
    <w:basedOn w:val="1"/>
    <w:link w:val="59"/>
    <w:qFormat/>
    <w:uiPriority w:val="99"/>
    <w:pPr>
      <w:tabs>
        <w:tab w:val="center" w:pos="4153"/>
        <w:tab w:val="right" w:pos="8306"/>
      </w:tabs>
      <w:snapToGrid w:val="0"/>
      <w:jc w:val="left"/>
    </w:pPr>
    <w:rPr>
      <w:sz w:val="18"/>
      <w:szCs w:val="18"/>
    </w:rPr>
  </w:style>
  <w:style w:type="paragraph" w:styleId="21">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2">
    <w:name w:val="Body Text Indent 3"/>
    <w:basedOn w:val="1"/>
    <w:next w:val="8"/>
    <w:link w:val="63"/>
    <w:qFormat/>
    <w:uiPriority w:val="0"/>
    <w:pPr>
      <w:spacing w:line="520" w:lineRule="exact"/>
      <w:ind w:firstLine="539" w:firstLineChars="184"/>
    </w:pPr>
    <w:rPr>
      <w:rFonts w:ascii="宋体"/>
      <w:b/>
      <w:spacing w:val="6"/>
      <w:sz w:val="28"/>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10"/>
    <w:pPr>
      <w:spacing w:before="240" w:after="60"/>
      <w:jc w:val="center"/>
      <w:outlineLvl w:val="0"/>
    </w:pPr>
    <w:rPr>
      <w:rFonts w:ascii="Cambria" w:hAnsi="Cambria"/>
      <w:b/>
      <w:bCs/>
      <w:sz w:val="32"/>
      <w:szCs w:val="32"/>
    </w:rPr>
  </w:style>
  <w:style w:type="paragraph" w:styleId="25">
    <w:name w:val="annotation subject"/>
    <w:basedOn w:val="9"/>
    <w:next w:val="9"/>
    <w:link w:val="64"/>
    <w:unhideWhenUsed/>
    <w:qFormat/>
    <w:uiPriority w:val="99"/>
    <w:rPr>
      <w:b/>
      <w:bCs/>
    </w:rPr>
  </w:style>
  <w:style w:type="paragraph" w:styleId="26">
    <w:name w:val="Body Text First Indent"/>
    <w:basedOn w:val="10"/>
    <w:qFormat/>
    <w:uiPriority w:val="0"/>
    <w:pPr>
      <w:spacing w:after="120"/>
      <w:ind w:firstLine="420" w:firstLineChars="100"/>
    </w:pPr>
    <w:rPr>
      <w:rFonts w:ascii="Times New Roman"/>
    </w:rPr>
  </w:style>
  <w:style w:type="paragraph" w:styleId="27">
    <w:name w:val="Body Text First Indent 2"/>
    <w:basedOn w:val="11"/>
    <w:next w:val="22"/>
    <w:qFormat/>
    <w:uiPriority w:val="99"/>
    <w:pPr>
      <w:ind w:firstLine="20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style>
  <w:style w:type="character" w:styleId="33">
    <w:name w:val="Emphasis"/>
    <w:qFormat/>
    <w:uiPriority w:val="0"/>
    <w:rPr>
      <w:b/>
      <w:bCs/>
    </w:rPr>
  </w:style>
  <w:style w:type="character" w:styleId="34">
    <w:name w:val="HTML Definition"/>
    <w:unhideWhenUsed/>
    <w:qFormat/>
    <w:uiPriority w:val="99"/>
  </w:style>
  <w:style w:type="character" w:styleId="35">
    <w:name w:val="HTML Typewriter"/>
    <w:unhideWhenUsed/>
    <w:qFormat/>
    <w:uiPriority w:val="99"/>
    <w:rPr>
      <w:rFonts w:hint="default" w:ascii="monospace" w:hAnsi="monospace" w:eastAsia="monospace" w:cs="monospace"/>
      <w:sz w:val="20"/>
    </w:rPr>
  </w:style>
  <w:style w:type="character" w:styleId="36">
    <w:name w:val="HTML Acronym"/>
    <w:unhideWhenUsed/>
    <w:qFormat/>
    <w:uiPriority w:val="99"/>
  </w:style>
  <w:style w:type="character" w:styleId="37">
    <w:name w:val="HTML Variable"/>
    <w:unhideWhenUsed/>
    <w:qFormat/>
    <w:uiPriority w:val="99"/>
  </w:style>
  <w:style w:type="character" w:styleId="38">
    <w:name w:val="Hyperlink"/>
    <w:unhideWhenUsed/>
    <w:qFormat/>
    <w:uiPriority w:val="99"/>
    <w:rPr>
      <w:color w:val="0000FF"/>
      <w:u w:val="none"/>
    </w:rPr>
  </w:style>
  <w:style w:type="character" w:styleId="39">
    <w:name w:val="HTML Code"/>
    <w:unhideWhenUsed/>
    <w:qFormat/>
    <w:uiPriority w:val="99"/>
    <w:rPr>
      <w:rFonts w:hint="default" w:ascii="monospace" w:hAnsi="monospace" w:eastAsia="monospace" w:cs="monospace"/>
      <w:sz w:val="20"/>
    </w:rPr>
  </w:style>
  <w:style w:type="character" w:styleId="40">
    <w:name w:val="annotation reference"/>
    <w:unhideWhenUsed/>
    <w:qFormat/>
    <w:uiPriority w:val="99"/>
    <w:rPr>
      <w:sz w:val="21"/>
      <w:szCs w:val="21"/>
    </w:rPr>
  </w:style>
  <w:style w:type="character" w:styleId="41">
    <w:name w:val="HTML Cite"/>
    <w:unhideWhenUsed/>
    <w:qFormat/>
    <w:uiPriority w:val="99"/>
  </w:style>
  <w:style w:type="character" w:styleId="42">
    <w:name w:val="HTML Keyboard"/>
    <w:unhideWhenUsed/>
    <w:qFormat/>
    <w:uiPriority w:val="99"/>
    <w:rPr>
      <w:rFonts w:ascii="monospace" w:hAnsi="monospace" w:eastAsia="monospace" w:cs="monospace"/>
      <w:sz w:val="20"/>
    </w:rPr>
  </w:style>
  <w:style w:type="character" w:styleId="43">
    <w:name w:val="HTML Sample"/>
    <w:unhideWhenUsed/>
    <w:qFormat/>
    <w:uiPriority w:val="99"/>
    <w:rPr>
      <w:rFonts w:hint="default" w:ascii="monospace" w:hAnsi="monospace" w:eastAsia="monospace" w:cs="monospace"/>
    </w:rPr>
  </w:style>
  <w:style w:type="paragraph" w:customStyle="1" w:styleId="44">
    <w:name w:val="正文首行缩进1"/>
    <w:basedOn w:val="45"/>
    <w:qFormat/>
    <w:uiPriority w:val="0"/>
    <w:pPr>
      <w:spacing w:line="360" w:lineRule="auto"/>
      <w:ind w:firstLine="200"/>
    </w:pPr>
    <w:rPr>
      <w:rFonts w:ascii="仿宋_GB2312" w:hAnsi="Times New Roman" w:eastAsia="仿宋_GB2312"/>
      <w:sz w:val="30"/>
      <w:szCs w:val="30"/>
    </w:rPr>
  </w:style>
  <w:style w:type="paragraph" w:customStyle="1" w:styleId="45">
    <w:name w:val="正文文本11"/>
    <w:basedOn w:val="1"/>
    <w:next w:val="1"/>
    <w:qFormat/>
    <w:uiPriority w:val="0"/>
    <w:rPr>
      <w:rFonts w:ascii="楷体_GB2312" w:hAnsi="Arial" w:eastAsia="楷体_GB2312"/>
      <w:sz w:val="28"/>
      <w:szCs w:val="28"/>
    </w:rPr>
  </w:style>
  <w:style w:type="paragraph" w:customStyle="1" w:styleId="46">
    <w:name w:val="style4"/>
    <w:basedOn w:val="1"/>
    <w:next w:val="47"/>
    <w:qFormat/>
    <w:uiPriority w:val="0"/>
    <w:pPr>
      <w:widowControl/>
      <w:spacing w:before="280" w:after="280"/>
    </w:pPr>
    <w:rPr>
      <w:rFonts w:ascii="宋体"/>
      <w:sz w:val="18"/>
    </w:rPr>
  </w:style>
  <w:style w:type="paragraph" w:customStyle="1" w:styleId="4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8">
    <w:name w:val="标题 31"/>
    <w:basedOn w:val="1"/>
    <w:next w:val="1"/>
    <w:qFormat/>
    <w:uiPriority w:val="0"/>
    <w:pPr>
      <w:keepNext/>
      <w:keepLines/>
      <w:spacing w:before="260" w:after="260" w:line="416" w:lineRule="auto"/>
      <w:outlineLvl w:val="2"/>
    </w:pPr>
    <w:rPr>
      <w:b/>
      <w:bCs/>
      <w:sz w:val="32"/>
      <w:szCs w:val="32"/>
    </w:rPr>
  </w:style>
  <w:style w:type="character" w:customStyle="1" w:styleId="49">
    <w:name w:val="标题 1 Char"/>
    <w:link w:val="2"/>
    <w:qFormat/>
    <w:uiPriority w:val="0"/>
    <w:rPr>
      <w:b/>
      <w:bCs/>
      <w:kern w:val="44"/>
      <w:sz w:val="44"/>
      <w:szCs w:val="44"/>
    </w:rPr>
  </w:style>
  <w:style w:type="character" w:customStyle="1" w:styleId="50">
    <w:name w:val="标题 2 Char"/>
    <w:link w:val="3"/>
    <w:qFormat/>
    <w:uiPriority w:val="0"/>
    <w:rPr>
      <w:rFonts w:ascii="Arial" w:hAnsi="Arial" w:eastAsia="黑体"/>
      <w:b/>
      <w:bCs/>
      <w:kern w:val="2"/>
      <w:sz w:val="32"/>
      <w:szCs w:val="32"/>
    </w:rPr>
  </w:style>
  <w:style w:type="character" w:customStyle="1" w:styleId="51">
    <w:name w:val="标题 3 Char"/>
    <w:link w:val="4"/>
    <w:qFormat/>
    <w:uiPriority w:val="0"/>
    <w:rPr>
      <w:b/>
      <w:bCs/>
      <w:kern w:val="2"/>
      <w:sz w:val="32"/>
      <w:szCs w:val="32"/>
    </w:rPr>
  </w:style>
  <w:style w:type="character" w:customStyle="1" w:styleId="52">
    <w:name w:val="标题 4 Char"/>
    <w:link w:val="5"/>
    <w:qFormat/>
    <w:uiPriority w:val="0"/>
    <w:rPr>
      <w:rFonts w:eastAsia="新宋体"/>
      <w:kern w:val="2"/>
      <w:sz w:val="30"/>
      <w:szCs w:val="21"/>
    </w:rPr>
  </w:style>
  <w:style w:type="character" w:customStyle="1" w:styleId="53">
    <w:name w:val="正文缩进 Char"/>
    <w:link w:val="6"/>
    <w:qFormat/>
    <w:uiPriority w:val="0"/>
    <w:rPr>
      <w:kern w:val="2"/>
      <w:sz w:val="21"/>
    </w:rPr>
  </w:style>
  <w:style w:type="character" w:customStyle="1" w:styleId="54">
    <w:name w:val="文档结构图 Char"/>
    <w:link w:val="7"/>
    <w:semiHidden/>
    <w:qFormat/>
    <w:uiPriority w:val="0"/>
    <w:rPr>
      <w:kern w:val="2"/>
      <w:sz w:val="21"/>
      <w:szCs w:val="24"/>
      <w:shd w:val="clear" w:color="auto" w:fill="000080"/>
    </w:rPr>
  </w:style>
  <w:style w:type="character" w:customStyle="1" w:styleId="55">
    <w:name w:val="批注文字 Char"/>
    <w:link w:val="9"/>
    <w:qFormat/>
    <w:uiPriority w:val="99"/>
    <w:rPr>
      <w:kern w:val="2"/>
      <w:sz w:val="21"/>
      <w:szCs w:val="24"/>
    </w:rPr>
  </w:style>
  <w:style w:type="character" w:customStyle="1" w:styleId="56">
    <w:name w:val="正文文本缩进 Char"/>
    <w:link w:val="11"/>
    <w:qFormat/>
    <w:uiPriority w:val="0"/>
    <w:rPr>
      <w:kern w:val="2"/>
      <w:sz w:val="21"/>
      <w:szCs w:val="24"/>
    </w:rPr>
  </w:style>
  <w:style w:type="character" w:customStyle="1" w:styleId="57">
    <w:name w:val="日期 Char"/>
    <w:link w:val="17"/>
    <w:qFormat/>
    <w:uiPriority w:val="0"/>
    <w:rPr>
      <w:kern w:val="2"/>
      <w:sz w:val="21"/>
      <w:szCs w:val="24"/>
    </w:rPr>
  </w:style>
  <w:style w:type="character" w:customStyle="1" w:styleId="58">
    <w:name w:val="批注框文本 Char"/>
    <w:link w:val="19"/>
    <w:semiHidden/>
    <w:qFormat/>
    <w:uiPriority w:val="0"/>
    <w:rPr>
      <w:kern w:val="2"/>
      <w:sz w:val="18"/>
      <w:szCs w:val="18"/>
    </w:rPr>
  </w:style>
  <w:style w:type="character" w:customStyle="1" w:styleId="59">
    <w:name w:val="页脚 Char"/>
    <w:link w:val="20"/>
    <w:qFormat/>
    <w:uiPriority w:val="99"/>
    <w:rPr>
      <w:kern w:val="2"/>
      <w:sz w:val="18"/>
      <w:szCs w:val="18"/>
    </w:rPr>
  </w:style>
  <w:style w:type="character" w:customStyle="1" w:styleId="60">
    <w:name w:val="页眉 Char"/>
    <w:link w:val="21"/>
    <w:qFormat/>
    <w:uiPriority w:val="0"/>
    <w:rPr>
      <w:kern w:val="2"/>
      <w:sz w:val="18"/>
      <w:szCs w:val="18"/>
    </w:rPr>
  </w:style>
  <w:style w:type="paragraph" w:customStyle="1" w:styleId="61">
    <w:name w:val="TOC 1"/>
    <w:basedOn w:val="1"/>
    <w:next w:val="1"/>
    <w:qFormat/>
    <w:uiPriority w:val="0"/>
    <w:pPr>
      <w:tabs>
        <w:tab w:val="right" w:leader="dot" w:pos="8296"/>
      </w:tabs>
      <w:spacing w:line="360" w:lineRule="auto"/>
    </w:pPr>
  </w:style>
  <w:style w:type="paragraph" w:customStyle="1" w:styleId="62">
    <w:name w:val="TOC 6"/>
    <w:basedOn w:val="1"/>
    <w:next w:val="1"/>
    <w:qFormat/>
    <w:uiPriority w:val="0"/>
    <w:pPr>
      <w:ind w:left="2100"/>
    </w:pPr>
  </w:style>
  <w:style w:type="character" w:customStyle="1" w:styleId="63">
    <w:name w:val="正文文本缩进 3 Char"/>
    <w:link w:val="22"/>
    <w:qFormat/>
    <w:uiPriority w:val="0"/>
    <w:rPr>
      <w:rFonts w:ascii="宋体"/>
      <w:b/>
      <w:spacing w:val="6"/>
      <w:kern w:val="2"/>
      <w:sz w:val="28"/>
      <w:szCs w:val="24"/>
    </w:rPr>
  </w:style>
  <w:style w:type="character" w:customStyle="1" w:styleId="64">
    <w:name w:val="批注主题 Char"/>
    <w:link w:val="25"/>
    <w:semiHidden/>
    <w:qFormat/>
    <w:uiPriority w:val="99"/>
    <w:rPr>
      <w:b/>
      <w:bCs/>
      <w:kern w:val="2"/>
      <w:sz w:val="21"/>
      <w:szCs w:val="24"/>
    </w:rPr>
  </w:style>
  <w:style w:type="paragraph" w:customStyle="1" w:styleId="65">
    <w:name w:val="正文文本首行缩进"/>
    <w:basedOn w:val="10"/>
    <w:next w:val="62"/>
    <w:qFormat/>
    <w:uiPriority w:val="0"/>
    <w:pPr>
      <w:spacing w:line="360" w:lineRule="auto"/>
      <w:ind w:firstLine="200" w:firstLineChars="200"/>
    </w:pPr>
    <w:rPr>
      <w:rFonts w:ascii="仿宋_GB2312" w:eastAsia="仿宋_GB2312"/>
      <w:kern w:val="0"/>
      <w:sz w:val="30"/>
      <w:szCs w:val="30"/>
    </w:rPr>
  </w:style>
  <w:style w:type="paragraph" w:customStyle="1" w:styleId="66">
    <w:name w:val="正文文本首行缩进 2"/>
    <w:basedOn w:val="11"/>
    <w:next w:val="1"/>
    <w:link w:val="67"/>
    <w:unhideWhenUsed/>
    <w:qFormat/>
    <w:uiPriority w:val="99"/>
    <w:pPr>
      <w:ind w:firstLine="200" w:firstLineChars="200"/>
    </w:pPr>
  </w:style>
  <w:style w:type="character" w:customStyle="1" w:styleId="67">
    <w:name w:val="正文文本首行缩进 2 字符"/>
    <w:link w:val="66"/>
    <w:qFormat/>
    <w:uiPriority w:val="99"/>
  </w:style>
  <w:style w:type="character" w:customStyle="1" w:styleId="68">
    <w:name w:val="访问过的超链接"/>
    <w:unhideWhenUsed/>
    <w:qFormat/>
    <w:uiPriority w:val="99"/>
    <w:rPr>
      <w:color w:val="800080"/>
      <w:u w:val="none"/>
    </w:rPr>
  </w:style>
  <w:style w:type="paragraph" w:customStyle="1" w:styleId="69">
    <w:name w:val="正文缩进1"/>
    <w:basedOn w:val="1"/>
    <w:qFormat/>
    <w:uiPriority w:val="0"/>
    <w:pPr>
      <w:widowControl/>
      <w:ind w:firstLine="420"/>
      <w:jc w:val="left"/>
    </w:pPr>
    <w:rPr>
      <w:kern w:val="0"/>
    </w:rPr>
  </w:style>
  <w:style w:type="paragraph" w:customStyle="1" w:styleId="70">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71">
    <w:name w:val="正文缩进2格 Char"/>
    <w:link w:val="72"/>
    <w:qFormat/>
    <w:locked/>
    <w:uiPriority w:val="0"/>
    <w:rPr>
      <w:rFonts w:ascii="仿宋_GB2312" w:hAnsi="宋体" w:eastAsia="仿宋_GB2312"/>
      <w:kern w:val="2"/>
      <w:sz w:val="31"/>
      <w:szCs w:val="28"/>
    </w:rPr>
  </w:style>
  <w:style w:type="paragraph" w:customStyle="1" w:styleId="72">
    <w:name w:val="正文缩进2格"/>
    <w:basedOn w:val="1"/>
    <w:link w:val="71"/>
    <w:qFormat/>
    <w:uiPriority w:val="0"/>
    <w:pPr>
      <w:spacing w:line="600" w:lineRule="exact"/>
      <w:ind w:firstLine="639" w:firstLineChars="206"/>
    </w:pPr>
    <w:rPr>
      <w:rFonts w:ascii="仿宋_GB2312" w:hAnsi="宋体" w:eastAsia="仿宋_GB2312"/>
      <w:sz w:val="31"/>
      <w:szCs w:val="28"/>
    </w:rPr>
  </w:style>
  <w:style w:type="character" w:customStyle="1" w:styleId="73">
    <w:name w:val="标题 3.1 Char"/>
    <w:link w:val="74"/>
    <w:qFormat/>
    <w:locked/>
    <w:uiPriority w:val="0"/>
    <w:rPr>
      <w:rFonts w:ascii="宋体" w:hAnsi="宋体"/>
      <w:b/>
      <w:bCs/>
      <w:color w:val="000000"/>
      <w:kern w:val="2"/>
      <w:sz w:val="32"/>
      <w:szCs w:val="32"/>
    </w:rPr>
  </w:style>
  <w:style w:type="paragraph" w:customStyle="1" w:styleId="74">
    <w:name w:val="标题 3.1"/>
    <w:basedOn w:val="4"/>
    <w:link w:val="73"/>
    <w:qFormat/>
    <w:uiPriority w:val="0"/>
    <w:pPr>
      <w:tabs>
        <w:tab w:val="left" w:pos="1440"/>
        <w:tab w:val="left" w:pos="1620"/>
      </w:tabs>
      <w:spacing w:line="600" w:lineRule="exact"/>
    </w:pPr>
    <w:rPr>
      <w:rFonts w:ascii="宋体" w:hAnsi="宋体"/>
      <w:color w:val="000000"/>
    </w:rPr>
  </w:style>
  <w:style w:type="paragraph" w:customStyle="1" w:styleId="75">
    <w:name w:val="Char"/>
    <w:basedOn w:val="1"/>
    <w:qFormat/>
    <w:uiPriority w:val="0"/>
    <w:rPr>
      <w:rFonts w:ascii="Tahoma" w:hAnsi="Tahoma"/>
      <w:sz w:val="24"/>
      <w:szCs w:val="20"/>
    </w:rPr>
  </w:style>
  <w:style w:type="paragraph" w:customStyle="1" w:styleId="76">
    <w:name w:val="正文缩进4格"/>
    <w:basedOn w:val="72"/>
    <w:qFormat/>
    <w:uiPriority w:val="0"/>
    <w:pPr>
      <w:ind w:left="2" w:firstLine="538" w:firstLineChars="192"/>
    </w:pPr>
    <w:rPr>
      <w:color w:val="000000"/>
      <w:sz w:val="28"/>
    </w:rPr>
  </w:style>
  <w:style w:type="paragraph" w:customStyle="1" w:styleId="77">
    <w:name w:val="Char Char Char Char"/>
    <w:basedOn w:val="1"/>
    <w:qFormat/>
    <w:uiPriority w:val="0"/>
    <w:rPr>
      <w:rFonts w:ascii="Tahoma" w:hAnsi="Tahoma"/>
      <w:sz w:val="24"/>
      <w:szCs w:val="20"/>
    </w:rPr>
  </w:style>
  <w:style w:type="paragraph" w:customStyle="1" w:styleId="78">
    <w:name w:val="Char1"/>
    <w:basedOn w:val="1"/>
    <w:qFormat/>
    <w:uiPriority w:val="0"/>
    <w:pPr>
      <w:tabs>
        <w:tab w:val="left" w:pos="840"/>
      </w:tabs>
      <w:ind w:left="840" w:hanging="420"/>
    </w:pPr>
    <w:rPr>
      <w:sz w:val="24"/>
    </w:rPr>
  </w:style>
  <w:style w:type="paragraph" w:customStyle="1" w:styleId="7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0">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Char Char 字元 字元 字元 Char Char Char Char"/>
    <w:basedOn w:val="1"/>
    <w:qFormat/>
    <w:uiPriority w:val="0"/>
    <w:pPr>
      <w:adjustRightInd w:val="0"/>
      <w:spacing w:line="360" w:lineRule="auto"/>
    </w:pPr>
    <w:rPr>
      <w:kern w:val="0"/>
      <w:sz w:val="24"/>
      <w:szCs w:val="20"/>
    </w:rPr>
  </w:style>
  <w:style w:type="paragraph" w:customStyle="1" w:styleId="82">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3">
    <w:name w:val="Char2"/>
    <w:basedOn w:val="1"/>
    <w:qFormat/>
    <w:uiPriority w:val="0"/>
    <w:rPr>
      <w:rFonts w:ascii="Tahoma" w:hAnsi="Tahoma"/>
      <w:sz w:val="24"/>
      <w:szCs w:val="20"/>
    </w:rPr>
  </w:style>
  <w:style w:type="paragraph" w:customStyle="1" w:styleId="84">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5">
    <w:name w:val="普通正文 Char"/>
    <w:link w:val="86"/>
    <w:qFormat/>
    <w:uiPriority w:val="0"/>
    <w:rPr>
      <w:rFonts w:ascii="Arial" w:hAnsi="Arial"/>
      <w:sz w:val="24"/>
      <w:szCs w:val="24"/>
    </w:rPr>
  </w:style>
  <w:style w:type="paragraph" w:customStyle="1" w:styleId="86">
    <w:name w:val="普通正文"/>
    <w:basedOn w:val="1"/>
    <w:link w:val="85"/>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7">
    <w:name w:val="mini-outputtext1"/>
    <w:qFormat/>
    <w:uiPriority w:val="0"/>
  </w:style>
  <w:style w:type="character" w:customStyle="1" w:styleId="88">
    <w:name w:val="font31"/>
    <w:qFormat/>
    <w:uiPriority w:val="0"/>
    <w:rPr>
      <w:rFonts w:hint="eastAsia" w:ascii="宋体" w:hAnsi="宋体" w:eastAsia="宋体" w:cs="宋体"/>
      <w:color w:val="000000"/>
      <w:sz w:val="21"/>
      <w:szCs w:val="21"/>
      <w:u w:val="none"/>
    </w:rPr>
  </w:style>
  <w:style w:type="character" w:customStyle="1" w:styleId="89">
    <w:name w:val="font61"/>
    <w:qFormat/>
    <w:uiPriority w:val="0"/>
    <w:rPr>
      <w:rFonts w:hint="default" w:ascii="Times New Roman" w:hAnsi="Times New Roman" w:cs="Times New Roman"/>
      <w:color w:val="000000"/>
      <w:sz w:val="21"/>
      <w:szCs w:val="21"/>
      <w:u w:val="none"/>
    </w:rPr>
  </w:style>
  <w:style w:type="character" w:customStyle="1" w:styleId="90">
    <w:name w:val="font01"/>
    <w:qFormat/>
    <w:uiPriority w:val="0"/>
    <w:rPr>
      <w:rFonts w:hint="default" w:ascii="等线" w:hAnsi="等线" w:eastAsia="等线" w:cs="等线"/>
      <w:color w:val="000000"/>
      <w:sz w:val="22"/>
      <w:szCs w:val="22"/>
      <w:u w:val="none"/>
    </w:rPr>
  </w:style>
  <w:style w:type="character" w:customStyle="1" w:styleId="91">
    <w:name w:val="font51"/>
    <w:qFormat/>
    <w:uiPriority w:val="0"/>
    <w:rPr>
      <w:rFonts w:hint="default" w:ascii="等线" w:hAnsi="等线" w:eastAsia="等线" w:cs="等线"/>
      <w:b/>
      <w:bCs/>
      <w:color w:val="000000"/>
      <w:sz w:val="22"/>
      <w:szCs w:val="22"/>
      <w:u w:val="none"/>
    </w:rPr>
  </w:style>
  <w:style w:type="paragraph" w:customStyle="1" w:styleId="92">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3">
    <w:name w:val="sh1"/>
    <w:basedOn w:val="24"/>
    <w:qFormat/>
    <w:uiPriority w:val="0"/>
    <w:pPr>
      <w:adjustRightInd w:val="0"/>
      <w:spacing w:before="0"/>
    </w:pPr>
    <w:rPr>
      <w:rFonts w:ascii="Arial" w:hAnsi="Arial"/>
      <w:bCs w:val="0"/>
    </w:rPr>
  </w:style>
  <w:style w:type="paragraph" w:customStyle="1" w:styleId="94">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95">
    <w:name w:val="正文1"/>
    <w:basedOn w:val="1"/>
    <w:qFormat/>
    <w:uiPriority w:val="0"/>
    <w:pPr>
      <w:spacing w:line="360" w:lineRule="auto"/>
      <w:ind w:firstLine="361"/>
    </w:pPr>
    <w:rPr>
      <w:rFonts w:ascii="宋体" w:hAnsi="宋体"/>
    </w:rPr>
  </w:style>
  <w:style w:type="paragraph" w:customStyle="1" w:styleId="96">
    <w:name w:val="首行缩进"/>
    <w:basedOn w:val="1"/>
    <w:next w:val="1"/>
    <w:qFormat/>
    <w:uiPriority w:val="0"/>
    <w:pPr>
      <w:ind w:firstLine="480" w:firstLineChars="200"/>
    </w:pPr>
    <w:rPr>
      <w:rFonts w:ascii="Calibri" w:hAnsi="Calibri"/>
      <w:szCs w:val="21"/>
    </w:rPr>
  </w:style>
  <w:style w:type="paragraph" w:customStyle="1" w:styleId="97">
    <w:name w:val="Table Paragraph"/>
    <w:basedOn w:val="1"/>
    <w:qFormat/>
    <w:uiPriority w:val="1"/>
    <w:rPr>
      <w:rFonts w:ascii="宋体" w:hAnsi="宋体" w:cs="宋体"/>
      <w:lang w:val="zh-CN" w:bidi="zh-CN"/>
    </w:rPr>
  </w:style>
  <w:style w:type="paragraph" w:customStyle="1" w:styleId="98">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99">
    <w:name w:val="Table Normal"/>
    <w:unhideWhenUsed/>
    <w:qFormat/>
    <w:uiPriority w:val="0"/>
    <w:tblPr>
      <w:tblCellMar>
        <w:top w:w="0" w:type="dxa"/>
        <w:left w:w="0" w:type="dxa"/>
        <w:bottom w:w="0" w:type="dxa"/>
        <w:right w:w="0" w:type="dxa"/>
      </w:tblCellMar>
    </w:tblPr>
  </w:style>
  <w:style w:type="table" w:customStyle="1" w:styleId="100">
    <w:name w:val="网格型4"/>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1">
    <w:name w:val="列表段落"/>
    <w:basedOn w:val="1"/>
    <w:qFormat/>
    <w:uiPriority w:val="34"/>
    <w:pPr>
      <w:ind w:firstLine="420" w:firstLineChars="200"/>
    </w:pPr>
  </w:style>
  <w:style w:type="paragraph" w:customStyle="1" w:styleId="102">
    <w:name w:val="Table Text"/>
    <w:basedOn w:val="1"/>
    <w:semiHidden/>
    <w:qFormat/>
    <w:uiPriority w:val="0"/>
    <w:rPr>
      <w:rFonts w:ascii="宋体" w:hAnsi="宋体" w:cs="宋体"/>
      <w:sz w:val="19"/>
      <w:szCs w:val="19"/>
      <w:lang w:eastAsia="en-US"/>
    </w:rPr>
  </w:style>
  <w:style w:type="paragraph" w:customStyle="1" w:styleId="103">
    <w:name w:val="*正文"/>
    <w:basedOn w:val="1"/>
    <w:qFormat/>
    <w:uiPriority w:val="0"/>
    <w:pPr>
      <w:spacing w:line="360" w:lineRule="auto"/>
    </w:pPr>
    <w:rPr>
      <w:sz w:val="24"/>
    </w:rPr>
  </w:style>
  <w:style w:type="paragraph" w:customStyle="1" w:styleId="104">
    <w:name w:val="2 级标题"/>
    <w:qFormat/>
    <w:uiPriority w:val="0"/>
    <w:pPr>
      <w:keepNext/>
      <w:keepLines/>
      <w:widowControl w:val="0"/>
      <w:numPr>
        <w:ilvl w:val="1"/>
        <w:numId w:val="2"/>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5">
    <w:name w:val="列出段落1"/>
    <w:basedOn w:val="1"/>
    <w:qFormat/>
    <w:uiPriority w:val="34"/>
    <w:pPr>
      <w:widowControl/>
      <w:ind w:left="720"/>
      <w:contextualSpacing/>
      <w:jc w:val="left"/>
    </w:pPr>
    <w:rPr>
      <w:kern w:val="0"/>
      <w:sz w:val="24"/>
      <w:lang w:eastAsia="en-US" w:bidi="en-US"/>
    </w:rPr>
  </w:style>
  <w:style w:type="paragraph" w:customStyle="1" w:styleId="106">
    <w:name w:val="样式 正文（缩进） + (中文) 楷体_GB2312"/>
    <w:basedOn w:val="107"/>
    <w:qFormat/>
    <w:uiPriority w:val="0"/>
    <w:pPr>
      <w:ind w:left="-2" w:leftChars="-1" w:firstLine="567" w:firstLineChars="0"/>
      <w:jc w:val="left"/>
    </w:pPr>
    <w:rPr>
      <w:rFonts w:eastAsia="楷体_GB2312"/>
      <w:sz w:val="28"/>
      <w:szCs w:val="28"/>
    </w:rPr>
  </w:style>
  <w:style w:type="paragraph" w:customStyle="1" w:styleId="107">
    <w:name w:val="正文（缩进）"/>
    <w:basedOn w:val="1"/>
    <w:qFormat/>
    <w:uiPriority w:val="0"/>
    <w:pPr>
      <w:spacing w:beforeLines="50" w:afterLines="50" w:line="360" w:lineRule="auto"/>
      <w:ind w:firstLine="480" w:firstLineChars="200"/>
    </w:pPr>
    <w:rPr>
      <w:sz w:val="24"/>
    </w:rPr>
  </w:style>
  <w:style w:type="paragraph" w:customStyle="1" w:styleId="108">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9">
    <w:name w:val="正文表标题"/>
    <w:next w:val="110"/>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1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1">
    <w:name w:val="二级无"/>
    <w:basedOn w:val="112"/>
    <w:qFormat/>
    <w:uiPriority w:val="0"/>
    <w:pPr>
      <w:spacing w:beforeLines="0" w:afterLines="0"/>
    </w:pPr>
    <w:rPr>
      <w:rFonts w:ascii="宋体" w:eastAsia="宋体"/>
    </w:rPr>
  </w:style>
  <w:style w:type="paragraph" w:customStyle="1" w:styleId="112">
    <w:name w:val="二级条标题"/>
    <w:basedOn w:val="113"/>
    <w:next w:val="110"/>
    <w:qFormat/>
    <w:uiPriority w:val="0"/>
    <w:pPr>
      <w:numPr>
        <w:ilvl w:val="0"/>
        <w:numId w:val="0"/>
      </w:numPr>
      <w:spacing w:before="50" w:after="50"/>
      <w:ind w:left="850"/>
      <w:outlineLvl w:val="3"/>
    </w:pPr>
  </w:style>
  <w:style w:type="paragraph" w:customStyle="1" w:styleId="113">
    <w:name w:val="一级条标题"/>
    <w:next w:val="110"/>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114">
    <w:name w:val="三级无"/>
    <w:basedOn w:val="115"/>
    <w:qFormat/>
    <w:uiPriority w:val="0"/>
    <w:pPr>
      <w:numPr>
        <w:numId w:val="3"/>
      </w:numPr>
      <w:tabs>
        <w:tab w:val="left" w:pos="1984"/>
      </w:tabs>
      <w:spacing w:beforeLines="0" w:afterLines="0"/>
    </w:pPr>
    <w:rPr>
      <w:rFonts w:ascii="宋体" w:eastAsia="宋体"/>
    </w:rPr>
  </w:style>
  <w:style w:type="paragraph" w:customStyle="1" w:styleId="115">
    <w:name w:val="三级条标题"/>
    <w:basedOn w:val="112"/>
    <w:next w:val="110"/>
    <w:qFormat/>
    <w:uiPriority w:val="0"/>
    <w:pPr>
      <w:numPr>
        <w:ilvl w:val="3"/>
      </w:numPr>
      <w:ind w:left="850"/>
      <w:outlineLvl w:val="4"/>
    </w:pPr>
  </w:style>
  <w:style w:type="paragraph" w:customStyle="1" w:styleId="116">
    <w:name w:val="ListBullet2"/>
    <w:basedOn w:val="1"/>
    <w:qFormat/>
    <w:uiPriority w:val="0"/>
    <w:pPr>
      <w:numPr>
        <w:ilvl w:val="0"/>
        <w:numId w:val="5"/>
      </w:numPr>
    </w:pPr>
  </w:style>
  <w:style w:type="paragraph" w:customStyle="1" w:styleId="117">
    <w:name w:val="正文文本1"/>
    <w:basedOn w:val="1"/>
    <w:next w:val="1"/>
    <w:qFormat/>
    <w:uiPriority w:val="0"/>
    <w:rPr>
      <w:rFonts w:ascii="楷体_GB2312" w:hAnsi="Arial" w:eastAsia="楷体_GB2312"/>
      <w:sz w:val="28"/>
      <w:szCs w:val="28"/>
    </w:rPr>
  </w:style>
  <w:style w:type="character" w:customStyle="1" w:styleId="118">
    <w:name w:val="NormalCharacter"/>
    <w:qFormat/>
    <w:uiPriority w:val="0"/>
    <w:rPr>
      <w:rFonts w:ascii="Calibri" w:hAnsi="Calibri" w:eastAsia="宋体" w:cs="Times New Roman"/>
    </w:rPr>
  </w:style>
  <w:style w:type="paragraph" w:customStyle="1" w:styleId="119">
    <w:name w:val="标题 41"/>
    <w:basedOn w:val="1"/>
    <w:next w:val="1"/>
    <w:qFormat/>
    <w:uiPriority w:val="0"/>
    <w:pPr>
      <w:keepNext/>
      <w:jc w:val="center"/>
      <w:outlineLvl w:val="3"/>
    </w:pPr>
    <w:rPr>
      <w:rFonts w:eastAsia="新宋体"/>
      <w:sz w:val="3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57412-1DEA-4F38-8B7B-2B0B6729E4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3975</Words>
  <Characters>4204</Characters>
  <Lines>125</Lines>
  <Paragraphs>35</Paragraphs>
  <TotalTime>0</TotalTime>
  <ScaleCrop>false</ScaleCrop>
  <LinksUpToDate>false</LinksUpToDate>
  <CharactersWithSpaces>4261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2025-03-03T05:17:00Z</dcterms:created>
  <dc:creator>User</dc:creator>
  <cp:lastModifiedBy>Syan</cp:lastModifiedBy>
  <cp:lastPrinted>2024-01-10T02:35:00Z</cp:lastPrinted>
  <dcterms:modified xsi:type="dcterms:W3CDTF">2025-08-12T03:16:44Z</dcterms:modified>
  <dc:title>南通市环境监测中心站火焰原子吸收光谱仪项目</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0101A21BE14F4CCDBD6F38EA27235B60_13</vt:lpwstr>
  </property>
  <property fmtid="{D5CDD505-2E9C-101B-9397-08002B2CF9AE}" pid="4" name="KSOTemplateDocerSaveRecord">
    <vt:lpwstr>eyJoZGlkIjoiMTg3N2UwNmNjMDJkYTRlMWQ4ZDQ4MDZkYWJkNDA4Y2MiLCJ1c2VySWQiOiIzNTQ2OTAxMzkifQ==</vt:lpwstr>
  </property>
</Properties>
</file>