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C131F4">
      <w:pPr>
        <w:tabs>
          <w:tab w:val="left" w:pos="5760"/>
          <w:tab w:val="left" w:pos="6300"/>
        </w:tabs>
        <w:spacing w:line="360" w:lineRule="auto"/>
        <w:jc w:val="center"/>
        <w:rPr>
          <w:rFonts w:ascii="Times New Roman" w:hAnsi="Times New Roman"/>
          <w:sz w:val="44"/>
          <w:szCs w:val="44"/>
          <w:highlight w:val="none"/>
        </w:rPr>
      </w:pPr>
    </w:p>
    <w:p w14:paraId="5B066C53">
      <w:pPr>
        <w:spacing w:line="360" w:lineRule="auto"/>
        <w:jc w:val="center"/>
        <w:rPr>
          <w:rFonts w:ascii="Times New Roman" w:hAnsi="Times New Roman"/>
          <w:b/>
          <w:sz w:val="48"/>
          <w:szCs w:val="72"/>
          <w:highlight w:val="none"/>
        </w:rPr>
      </w:pPr>
    </w:p>
    <w:p w14:paraId="5EF62FDA">
      <w:pPr>
        <w:spacing w:line="360" w:lineRule="auto"/>
        <w:jc w:val="center"/>
        <w:rPr>
          <w:rFonts w:hint="eastAsia" w:ascii="Times New Roman" w:hAnsi="Times New Roman"/>
          <w:b/>
          <w:sz w:val="52"/>
          <w:szCs w:val="44"/>
          <w:highlight w:val="none"/>
          <w:lang w:eastAsia="zh-CN"/>
        </w:rPr>
      </w:pPr>
      <w:r>
        <w:rPr>
          <w:rFonts w:hint="eastAsia" w:ascii="Times New Roman" w:hAnsi="Times New Roman"/>
          <w:b/>
          <w:sz w:val="52"/>
          <w:szCs w:val="44"/>
          <w:highlight w:val="none"/>
          <w:lang w:eastAsia="zh-CN"/>
        </w:rPr>
        <w:t>南通公安大病特困救助基金会2025民警</w:t>
      </w:r>
    </w:p>
    <w:p w14:paraId="6F2BB407">
      <w:pPr>
        <w:spacing w:line="360" w:lineRule="auto"/>
        <w:jc w:val="center"/>
        <w:rPr>
          <w:rFonts w:hint="eastAsia" w:ascii="Times New Roman" w:hAnsi="Times New Roman" w:eastAsia="宋体"/>
          <w:b/>
          <w:sz w:val="52"/>
          <w:szCs w:val="44"/>
          <w:highlight w:val="none"/>
          <w:lang w:eastAsia="zh-CN"/>
        </w:rPr>
      </w:pPr>
      <w:r>
        <w:rPr>
          <w:rFonts w:hint="eastAsia" w:ascii="Times New Roman" w:hAnsi="Times New Roman"/>
          <w:b/>
          <w:sz w:val="52"/>
          <w:szCs w:val="44"/>
          <w:highlight w:val="none"/>
          <w:lang w:eastAsia="zh-CN"/>
        </w:rPr>
        <w:t>家庭医疗保险项目（</w:t>
      </w:r>
      <w:r>
        <w:rPr>
          <w:rFonts w:hint="eastAsia" w:ascii="Times New Roman" w:hAnsi="Times New Roman"/>
          <w:b/>
          <w:sz w:val="52"/>
          <w:szCs w:val="44"/>
          <w:highlight w:val="none"/>
          <w:lang w:val="en-US" w:eastAsia="zh-CN"/>
        </w:rPr>
        <w:t>二次</w:t>
      </w:r>
      <w:r>
        <w:rPr>
          <w:rFonts w:hint="eastAsia" w:ascii="Times New Roman" w:hAnsi="Times New Roman"/>
          <w:b/>
          <w:sz w:val="52"/>
          <w:szCs w:val="44"/>
          <w:highlight w:val="none"/>
          <w:lang w:eastAsia="zh-CN"/>
        </w:rPr>
        <w:t>）</w:t>
      </w:r>
    </w:p>
    <w:p w14:paraId="57637145">
      <w:pPr>
        <w:spacing w:line="360" w:lineRule="auto"/>
        <w:jc w:val="center"/>
        <w:rPr>
          <w:rFonts w:ascii="Times New Roman" w:hAnsi="Times New Roman"/>
          <w:b/>
          <w:sz w:val="72"/>
          <w:szCs w:val="56"/>
          <w:highlight w:val="none"/>
        </w:rPr>
      </w:pPr>
    </w:p>
    <w:p w14:paraId="1F33EC21">
      <w:pPr>
        <w:pStyle w:val="2"/>
        <w:rPr>
          <w:highlight w:val="none"/>
        </w:rPr>
      </w:pPr>
    </w:p>
    <w:p w14:paraId="5B0B15AA">
      <w:pPr>
        <w:pStyle w:val="219"/>
        <w:rPr>
          <w:highlight w:val="none"/>
        </w:rPr>
      </w:pPr>
    </w:p>
    <w:p w14:paraId="6190976B">
      <w:pPr>
        <w:spacing w:line="360" w:lineRule="auto"/>
        <w:jc w:val="center"/>
        <w:rPr>
          <w:rFonts w:ascii="Times New Roman" w:hAnsi="Times New Roman"/>
          <w:b/>
          <w:sz w:val="72"/>
          <w:szCs w:val="56"/>
          <w:highlight w:val="none"/>
        </w:rPr>
      </w:pPr>
      <w:r>
        <w:rPr>
          <w:rFonts w:ascii="Times New Roman" w:hAnsi="Times New Roman"/>
          <w:b/>
          <w:sz w:val="72"/>
          <w:szCs w:val="56"/>
          <w:highlight w:val="none"/>
        </w:rPr>
        <w:t>竞争性磋商文件</w:t>
      </w:r>
    </w:p>
    <w:p w14:paraId="784FE09C">
      <w:pPr>
        <w:spacing w:line="360" w:lineRule="auto"/>
        <w:jc w:val="center"/>
        <w:rPr>
          <w:rFonts w:ascii="Times New Roman" w:hAnsi="Times New Roman"/>
          <w:b/>
          <w:sz w:val="44"/>
          <w:szCs w:val="44"/>
          <w:highlight w:val="none"/>
        </w:rPr>
      </w:pPr>
      <w:r>
        <w:rPr>
          <w:rFonts w:hint="eastAsia" w:ascii="Times New Roman" w:hAnsi="Times New Roman"/>
          <w:b/>
          <w:sz w:val="44"/>
          <w:szCs w:val="44"/>
          <w:highlight w:val="none"/>
        </w:rPr>
        <w:t>（资格后审）</w:t>
      </w:r>
    </w:p>
    <w:p w14:paraId="56EA4801">
      <w:pPr>
        <w:spacing w:line="360" w:lineRule="auto"/>
        <w:jc w:val="center"/>
        <w:rPr>
          <w:rFonts w:ascii="Times New Roman" w:hAnsi="Times New Roman"/>
          <w:b/>
          <w:sz w:val="36"/>
          <w:highlight w:val="none"/>
        </w:rPr>
      </w:pPr>
    </w:p>
    <w:p w14:paraId="5F03CC9D">
      <w:pPr>
        <w:spacing w:line="360" w:lineRule="auto"/>
        <w:rPr>
          <w:rFonts w:ascii="Times New Roman" w:hAnsi="Times New Roman"/>
          <w:b/>
          <w:sz w:val="36"/>
          <w:highlight w:val="none"/>
        </w:rPr>
      </w:pPr>
    </w:p>
    <w:p w14:paraId="115A9AEF">
      <w:pPr>
        <w:spacing w:line="360" w:lineRule="auto"/>
        <w:jc w:val="center"/>
        <w:rPr>
          <w:rFonts w:ascii="Times New Roman" w:hAnsi="Times New Roman"/>
          <w:b/>
          <w:sz w:val="36"/>
          <w:highlight w:val="none"/>
        </w:rPr>
      </w:pPr>
    </w:p>
    <w:p w14:paraId="51C5152B">
      <w:pPr>
        <w:spacing w:line="360" w:lineRule="auto"/>
        <w:jc w:val="center"/>
        <w:rPr>
          <w:rFonts w:ascii="Times New Roman" w:hAnsi="Times New Roman"/>
          <w:b/>
          <w:sz w:val="36"/>
          <w:highlight w:val="none"/>
        </w:rPr>
      </w:pPr>
    </w:p>
    <w:p w14:paraId="0FADFF95">
      <w:pPr>
        <w:pStyle w:val="2"/>
        <w:rPr>
          <w:rFonts w:ascii="Times New Roman" w:hAnsi="Times New Roman"/>
          <w:b/>
          <w:sz w:val="36"/>
          <w:highlight w:val="none"/>
        </w:rPr>
      </w:pPr>
    </w:p>
    <w:p w14:paraId="1E4E8C5F">
      <w:pPr>
        <w:pStyle w:val="2"/>
        <w:rPr>
          <w:rFonts w:ascii="Times New Roman" w:hAnsi="Times New Roman"/>
          <w:b/>
          <w:sz w:val="36"/>
          <w:highlight w:val="none"/>
        </w:rPr>
      </w:pPr>
    </w:p>
    <w:p w14:paraId="5E319B83">
      <w:pPr>
        <w:spacing w:line="360" w:lineRule="auto"/>
        <w:jc w:val="center"/>
        <w:rPr>
          <w:rFonts w:ascii="Times New Roman" w:hAnsi="Times New Roman" w:cs="宋体"/>
          <w:b/>
          <w:sz w:val="30"/>
          <w:szCs w:val="30"/>
          <w:highlight w:val="none"/>
        </w:rPr>
      </w:pPr>
    </w:p>
    <w:p w14:paraId="369A561F">
      <w:pPr>
        <w:spacing w:line="360" w:lineRule="auto"/>
        <w:jc w:val="center"/>
        <w:rPr>
          <w:rFonts w:hint="eastAsia" w:ascii="Times New Roman" w:hAnsi="Times New Roman" w:eastAsia="宋体" w:cs="宋体"/>
          <w:b/>
          <w:sz w:val="30"/>
          <w:szCs w:val="30"/>
          <w:highlight w:val="none"/>
          <w:lang w:eastAsia="zh-CN"/>
        </w:rPr>
      </w:pPr>
      <w:r>
        <w:rPr>
          <w:rFonts w:hint="eastAsia" w:ascii="Times New Roman" w:hAnsi="Times New Roman" w:cs="宋体"/>
          <w:b/>
          <w:sz w:val="30"/>
          <w:szCs w:val="30"/>
          <w:highlight w:val="none"/>
        </w:rPr>
        <w:t>采购单位：</w:t>
      </w:r>
      <w:r>
        <w:rPr>
          <w:rFonts w:hint="eastAsia" w:ascii="Times New Roman" w:hAnsi="Times New Roman" w:cs="宋体"/>
          <w:b/>
          <w:sz w:val="30"/>
          <w:szCs w:val="30"/>
          <w:highlight w:val="none"/>
          <w:lang w:eastAsia="zh-CN"/>
        </w:rPr>
        <w:t>南通公安大病特困救助基金会</w:t>
      </w:r>
    </w:p>
    <w:p w14:paraId="3080A805">
      <w:pPr>
        <w:spacing w:line="360" w:lineRule="auto"/>
        <w:jc w:val="center"/>
        <w:rPr>
          <w:rFonts w:ascii="Times New Roman" w:hAnsi="Times New Roman" w:cs="宋体"/>
          <w:b/>
          <w:sz w:val="30"/>
          <w:szCs w:val="30"/>
          <w:highlight w:val="none"/>
        </w:rPr>
      </w:pPr>
      <w:r>
        <w:rPr>
          <w:rFonts w:hint="eastAsia" w:ascii="Times New Roman" w:hAnsi="Times New Roman" w:cs="宋体"/>
          <w:b/>
          <w:sz w:val="30"/>
          <w:szCs w:val="30"/>
          <w:highlight w:val="none"/>
        </w:rPr>
        <w:t>202</w:t>
      </w:r>
      <w:r>
        <w:rPr>
          <w:rFonts w:hint="eastAsia" w:ascii="Times New Roman" w:hAnsi="Times New Roman" w:cs="宋体"/>
          <w:b/>
          <w:sz w:val="30"/>
          <w:szCs w:val="30"/>
          <w:highlight w:val="none"/>
          <w:lang w:val="en-US" w:eastAsia="zh-CN"/>
        </w:rPr>
        <w:t>5</w:t>
      </w:r>
      <w:r>
        <w:rPr>
          <w:rFonts w:hint="eastAsia" w:ascii="Times New Roman" w:hAnsi="Times New Roman" w:cs="宋体"/>
          <w:b/>
          <w:sz w:val="30"/>
          <w:szCs w:val="30"/>
          <w:highlight w:val="none"/>
        </w:rPr>
        <w:t>年</w:t>
      </w:r>
      <w:r>
        <w:rPr>
          <w:rFonts w:hint="eastAsia" w:ascii="Times New Roman" w:hAnsi="Times New Roman" w:cs="宋体"/>
          <w:b/>
          <w:sz w:val="30"/>
          <w:szCs w:val="30"/>
          <w:highlight w:val="none"/>
          <w:lang w:val="en-US" w:eastAsia="zh-CN"/>
        </w:rPr>
        <w:t>7</w:t>
      </w:r>
      <w:r>
        <w:rPr>
          <w:rFonts w:hint="eastAsia" w:ascii="Times New Roman" w:hAnsi="Times New Roman" w:cs="宋体"/>
          <w:b/>
          <w:sz w:val="30"/>
          <w:szCs w:val="30"/>
          <w:highlight w:val="none"/>
        </w:rPr>
        <w:t>月</w:t>
      </w:r>
      <w:r>
        <w:rPr>
          <w:rFonts w:hint="eastAsia" w:ascii="Times New Roman" w:hAnsi="Times New Roman" w:cs="宋体"/>
          <w:b/>
          <w:sz w:val="30"/>
          <w:szCs w:val="30"/>
          <w:highlight w:val="none"/>
          <w:lang w:val="en-US" w:eastAsia="zh-CN"/>
        </w:rPr>
        <w:t>7</w:t>
      </w:r>
      <w:r>
        <w:rPr>
          <w:rFonts w:hint="eastAsia" w:ascii="Times New Roman" w:hAnsi="Times New Roman" w:cs="宋体"/>
          <w:b/>
          <w:sz w:val="30"/>
          <w:szCs w:val="30"/>
          <w:highlight w:val="none"/>
        </w:rPr>
        <w:t>日</w:t>
      </w:r>
    </w:p>
    <w:p w14:paraId="3AD90DBD">
      <w:pPr>
        <w:widowControl/>
        <w:jc w:val="left"/>
        <w:rPr>
          <w:rFonts w:ascii="Times New Roman" w:hAnsi="Times New Roman"/>
          <w:b/>
          <w:sz w:val="44"/>
          <w:szCs w:val="44"/>
          <w:highlight w:val="none"/>
        </w:rPr>
      </w:pPr>
    </w:p>
    <w:p w14:paraId="41C65BF5">
      <w:pPr>
        <w:spacing w:line="360" w:lineRule="auto"/>
        <w:jc w:val="center"/>
        <w:rPr>
          <w:rFonts w:ascii="Times New Roman" w:hAnsi="Times New Roman"/>
          <w:b/>
          <w:sz w:val="30"/>
          <w:szCs w:val="30"/>
          <w:highlight w:val="none"/>
        </w:rPr>
      </w:pPr>
      <w:r>
        <w:rPr>
          <w:rFonts w:hint="eastAsia" w:ascii="Times New Roman" w:hAnsi="Times New Roman"/>
          <w:b/>
          <w:sz w:val="44"/>
          <w:szCs w:val="44"/>
          <w:highlight w:val="none"/>
        </w:rPr>
        <w:t>目录</w:t>
      </w:r>
    </w:p>
    <w:p w14:paraId="3B28883F">
      <w:pPr>
        <w:pStyle w:val="11"/>
        <w:ind w:firstLine="0"/>
        <w:jc w:val="center"/>
        <w:rPr>
          <w:rFonts w:ascii="Times New Roman" w:hAnsi="Times New Roman" w:eastAsia="宋体"/>
          <w:sz w:val="30"/>
          <w:highlight w:val="none"/>
          <w:lang w:eastAsia="zh-CN"/>
        </w:rPr>
      </w:pPr>
    </w:p>
    <w:p w14:paraId="52F5DC10">
      <w:pPr>
        <w:pStyle w:val="247"/>
        <w:tabs>
          <w:tab w:val="right" w:leader="dot" w:pos="9528"/>
        </w:tabs>
        <w:spacing w:line="1200" w:lineRule="exact"/>
        <w:rPr>
          <w:rFonts w:ascii="Times New Roman" w:hAnsi="Times New Roman" w:eastAsia="宋体"/>
          <w:sz w:val="32"/>
          <w:szCs w:val="32"/>
          <w:highlight w:val="none"/>
        </w:rPr>
      </w:pPr>
      <w:r>
        <w:rPr>
          <w:rFonts w:ascii="Times New Roman" w:hAnsi="Times New Roman" w:eastAsia="宋体"/>
          <w:b/>
          <w:bCs/>
          <w:sz w:val="36"/>
          <w:szCs w:val="36"/>
          <w:highlight w:val="none"/>
        </w:rPr>
        <w:fldChar w:fldCharType="begin"/>
      </w:r>
      <w:r>
        <w:rPr>
          <w:rFonts w:ascii="Times New Roman" w:hAnsi="Times New Roman" w:eastAsia="宋体"/>
          <w:b/>
          <w:bCs/>
          <w:sz w:val="36"/>
          <w:szCs w:val="36"/>
          <w:highlight w:val="none"/>
        </w:rPr>
        <w:instrText xml:space="preserve"> TOC \o "1-1"</w:instrText>
      </w:r>
      <w:r>
        <w:rPr>
          <w:rFonts w:ascii="Times New Roman" w:hAnsi="Times New Roman" w:eastAsia="宋体"/>
          <w:b/>
          <w:bCs/>
          <w:sz w:val="36"/>
          <w:szCs w:val="36"/>
          <w:highlight w:val="none"/>
        </w:rPr>
        <w:fldChar w:fldCharType="separate"/>
      </w:r>
      <w:r>
        <w:rPr>
          <w:rFonts w:ascii="Times New Roman" w:hAnsi="Times New Roman" w:eastAsia="宋体"/>
          <w:sz w:val="32"/>
          <w:szCs w:val="32"/>
          <w:highlight w:val="none"/>
        </w:rPr>
        <w:t>第一章</w:t>
      </w:r>
      <w:r>
        <w:rPr>
          <w:rFonts w:hint="eastAsia" w:ascii="Times New Roman" w:hAnsi="Times New Roman" w:eastAsia="宋体"/>
          <w:sz w:val="32"/>
          <w:szCs w:val="32"/>
          <w:highlight w:val="none"/>
        </w:rPr>
        <w:t xml:space="preserve"> 竞争性磋商公告</w:t>
      </w:r>
    </w:p>
    <w:p w14:paraId="234DFD44">
      <w:pPr>
        <w:pStyle w:val="247"/>
        <w:tabs>
          <w:tab w:val="right" w:leader="dot" w:pos="9528"/>
        </w:tabs>
        <w:spacing w:line="1200" w:lineRule="exact"/>
        <w:rPr>
          <w:rFonts w:ascii="Times New Roman" w:hAnsi="Times New Roman" w:eastAsia="宋体"/>
          <w:sz w:val="32"/>
          <w:szCs w:val="32"/>
          <w:highlight w:val="none"/>
        </w:rPr>
      </w:pPr>
      <w:r>
        <w:rPr>
          <w:rFonts w:ascii="Times New Roman" w:hAnsi="Times New Roman" w:eastAsia="宋体"/>
          <w:sz w:val="32"/>
          <w:szCs w:val="32"/>
          <w:highlight w:val="none"/>
        </w:rPr>
        <w:t>第二章</w:t>
      </w:r>
      <w:r>
        <w:rPr>
          <w:rFonts w:hint="eastAsia" w:ascii="Times New Roman" w:hAnsi="Times New Roman" w:eastAsia="宋体"/>
          <w:sz w:val="32"/>
          <w:szCs w:val="32"/>
          <w:highlight w:val="none"/>
        </w:rPr>
        <w:t xml:space="preserve"> 供应商</w:t>
      </w:r>
      <w:r>
        <w:rPr>
          <w:rFonts w:ascii="Times New Roman" w:hAnsi="Times New Roman" w:eastAsia="宋体"/>
          <w:sz w:val="32"/>
          <w:szCs w:val="32"/>
          <w:highlight w:val="none"/>
        </w:rPr>
        <w:t>须知</w:t>
      </w:r>
    </w:p>
    <w:p w14:paraId="31EFED62">
      <w:pPr>
        <w:pStyle w:val="247"/>
        <w:tabs>
          <w:tab w:val="right" w:leader="dot" w:pos="9528"/>
        </w:tabs>
        <w:spacing w:line="1200" w:lineRule="exact"/>
        <w:rPr>
          <w:rFonts w:ascii="Times New Roman" w:hAnsi="Times New Roman" w:eastAsia="宋体"/>
          <w:sz w:val="32"/>
          <w:szCs w:val="32"/>
          <w:highlight w:val="none"/>
        </w:rPr>
      </w:pPr>
      <w:r>
        <w:rPr>
          <w:rFonts w:ascii="Times New Roman" w:hAnsi="Times New Roman" w:eastAsia="宋体"/>
          <w:sz w:val="32"/>
          <w:szCs w:val="32"/>
          <w:highlight w:val="none"/>
        </w:rPr>
        <w:t>第三章</w:t>
      </w:r>
      <w:r>
        <w:rPr>
          <w:rFonts w:hint="eastAsia" w:ascii="Times New Roman" w:hAnsi="Times New Roman" w:eastAsia="宋体"/>
          <w:sz w:val="32"/>
          <w:szCs w:val="32"/>
          <w:highlight w:val="none"/>
          <w:lang w:val="en-US" w:eastAsia="zh-CN"/>
        </w:rPr>
        <w:t xml:space="preserve"> </w:t>
      </w:r>
      <w:r>
        <w:rPr>
          <w:rFonts w:ascii="Times New Roman" w:hAnsi="Times New Roman" w:eastAsia="宋体"/>
          <w:sz w:val="32"/>
          <w:szCs w:val="32"/>
          <w:highlight w:val="none"/>
        </w:rPr>
        <w:t>项目需求</w:t>
      </w:r>
    </w:p>
    <w:p w14:paraId="56AEB9DD">
      <w:pPr>
        <w:pStyle w:val="247"/>
        <w:tabs>
          <w:tab w:val="right" w:leader="dot" w:pos="9528"/>
        </w:tabs>
        <w:spacing w:line="1200" w:lineRule="exact"/>
        <w:rPr>
          <w:rFonts w:ascii="Times New Roman" w:hAnsi="Times New Roman" w:eastAsia="宋体"/>
          <w:sz w:val="32"/>
          <w:szCs w:val="32"/>
          <w:highlight w:val="none"/>
        </w:rPr>
      </w:pPr>
      <w:r>
        <w:rPr>
          <w:rFonts w:ascii="Times New Roman" w:hAnsi="Times New Roman" w:eastAsia="宋体"/>
          <w:sz w:val="32"/>
          <w:szCs w:val="32"/>
          <w:highlight w:val="none"/>
        </w:rPr>
        <w:t>第</w:t>
      </w:r>
      <w:r>
        <w:rPr>
          <w:rFonts w:hint="eastAsia" w:ascii="Times New Roman" w:hAnsi="Times New Roman" w:eastAsia="宋体"/>
          <w:sz w:val="32"/>
          <w:szCs w:val="32"/>
          <w:highlight w:val="none"/>
        </w:rPr>
        <w:t>四</w:t>
      </w:r>
      <w:r>
        <w:rPr>
          <w:rFonts w:ascii="Times New Roman" w:hAnsi="Times New Roman" w:eastAsia="宋体"/>
          <w:sz w:val="32"/>
          <w:szCs w:val="32"/>
          <w:highlight w:val="none"/>
        </w:rPr>
        <w:t>章</w:t>
      </w:r>
      <w:r>
        <w:rPr>
          <w:rFonts w:hint="eastAsia" w:ascii="Times New Roman" w:hAnsi="Times New Roman" w:eastAsia="宋体"/>
          <w:sz w:val="32"/>
          <w:szCs w:val="32"/>
          <w:highlight w:val="none"/>
        </w:rPr>
        <w:t xml:space="preserve"> 评审方法和程序</w:t>
      </w:r>
    </w:p>
    <w:p w14:paraId="2A4ABF6C">
      <w:pPr>
        <w:pStyle w:val="247"/>
        <w:tabs>
          <w:tab w:val="right" w:leader="dot" w:pos="9528"/>
        </w:tabs>
        <w:spacing w:line="1200" w:lineRule="exact"/>
        <w:rPr>
          <w:rFonts w:ascii="Times New Roman" w:hAnsi="Times New Roman" w:eastAsia="宋体"/>
          <w:sz w:val="32"/>
          <w:szCs w:val="32"/>
          <w:highlight w:val="none"/>
        </w:rPr>
      </w:pPr>
      <w:r>
        <w:rPr>
          <w:rFonts w:ascii="Times New Roman" w:hAnsi="Times New Roman" w:eastAsia="宋体"/>
          <w:sz w:val="32"/>
          <w:szCs w:val="32"/>
          <w:highlight w:val="none"/>
        </w:rPr>
        <w:t>第</w:t>
      </w:r>
      <w:r>
        <w:rPr>
          <w:rFonts w:hint="eastAsia" w:ascii="Times New Roman" w:hAnsi="Times New Roman" w:eastAsia="宋体"/>
          <w:sz w:val="32"/>
          <w:szCs w:val="32"/>
          <w:highlight w:val="none"/>
        </w:rPr>
        <w:t>五</w:t>
      </w:r>
      <w:r>
        <w:rPr>
          <w:rFonts w:ascii="Times New Roman" w:hAnsi="Times New Roman" w:eastAsia="宋体"/>
          <w:sz w:val="32"/>
          <w:szCs w:val="32"/>
          <w:highlight w:val="none"/>
        </w:rPr>
        <w:t>章</w:t>
      </w:r>
      <w:r>
        <w:rPr>
          <w:rFonts w:hint="eastAsia" w:ascii="Times New Roman" w:hAnsi="Times New Roman" w:eastAsia="宋体"/>
          <w:sz w:val="32"/>
          <w:szCs w:val="32"/>
          <w:highlight w:val="none"/>
        </w:rPr>
        <w:t xml:space="preserve"> 合同主要条款</w:t>
      </w:r>
    </w:p>
    <w:p w14:paraId="0674ABA8">
      <w:pPr>
        <w:pStyle w:val="247"/>
        <w:tabs>
          <w:tab w:val="right" w:leader="dot" w:pos="9528"/>
        </w:tabs>
        <w:spacing w:line="1200" w:lineRule="exact"/>
        <w:rPr>
          <w:rFonts w:ascii="Times New Roman" w:hAnsi="Times New Roman" w:eastAsia="宋体"/>
          <w:sz w:val="32"/>
          <w:szCs w:val="32"/>
          <w:highlight w:val="none"/>
        </w:rPr>
      </w:pPr>
      <w:r>
        <w:rPr>
          <w:rFonts w:hint="eastAsia" w:ascii="Times New Roman" w:hAnsi="Times New Roman" w:eastAsia="宋体"/>
          <w:sz w:val="32"/>
          <w:szCs w:val="32"/>
          <w:highlight w:val="none"/>
        </w:rPr>
        <w:t>第六章 合同授予</w:t>
      </w:r>
    </w:p>
    <w:p w14:paraId="765C4268">
      <w:pPr>
        <w:spacing w:line="1200" w:lineRule="exact"/>
        <w:rPr>
          <w:rFonts w:ascii="Times New Roman" w:hAnsi="Times New Roman"/>
          <w:sz w:val="32"/>
          <w:szCs w:val="32"/>
          <w:highlight w:val="none"/>
        </w:rPr>
      </w:pPr>
      <w:r>
        <w:rPr>
          <w:rFonts w:ascii="Times New Roman" w:hAnsi="Times New Roman"/>
          <w:sz w:val="32"/>
          <w:szCs w:val="32"/>
          <w:highlight w:val="none"/>
        </w:rPr>
        <w:t>第七章</w:t>
      </w:r>
      <w:r>
        <w:rPr>
          <w:rFonts w:hint="eastAsia" w:ascii="Times New Roman" w:hAnsi="Times New Roman"/>
          <w:sz w:val="32"/>
          <w:szCs w:val="32"/>
          <w:highlight w:val="none"/>
        </w:rPr>
        <w:t xml:space="preserve"> 质疑提出和处理</w:t>
      </w:r>
    </w:p>
    <w:p w14:paraId="0987399A">
      <w:pPr>
        <w:spacing w:line="1200" w:lineRule="exact"/>
        <w:rPr>
          <w:rFonts w:ascii="Times New Roman" w:hAnsi="Times New Roman"/>
          <w:sz w:val="36"/>
          <w:szCs w:val="36"/>
          <w:highlight w:val="none"/>
        </w:rPr>
      </w:pPr>
      <w:r>
        <w:rPr>
          <w:rFonts w:ascii="Times New Roman" w:hAnsi="Times New Roman"/>
          <w:sz w:val="32"/>
          <w:szCs w:val="32"/>
          <w:highlight w:val="none"/>
        </w:rPr>
        <w:t>第八章</w:t>
      </w:r>
      <w:r>
        <w:rPr>
          <w:rFonts w:hint="eastAsia" w:ascii="Times New Roman" w:hAnsi="Times New Roman"/>
          <w:sz w:val="32"/>
          <w:szCs w:val="32"/>
          <w:highlight w:val="none"/>
        </w:rPr>
        <w:t xml:space="preserve"> 响应文件组成及格式</w:t>
      </w:r>
    </w:p>
    <w:p w14:paraId="1326EB1B">
      <w:pPr>
        <w:rPr>
          <w:rFonts w:ascii="Times New Roman" w:hAnsi="Times New Roman" w:cs="宋体"/>
          <w:b/>
          <w:sz w:val="24"/>
          <w:szCs w:val="24"/>
          <w:highlight w:val="none"/>
        </w:rPr>
      </w:pPr>
      <w:r>
        <w:rPr>
          <w:rFonts w:ascii="Times New Roman" w:hAnsi="Times New Roman"/>
          <w:b/>
          <w:bCs/>
          <w:sz w:val="36"/>
          <w:szCs w:val="36"/>
          <w:highlight w:val="none"/>
        </w:rPr>
        <w:fldChar w:fldCharType="end"/>
      </w:r>
    </w:p>
    <w:p w14:paraId="1D68C71F">
      <w:pPr>
        <w:pStyle w:val="219"/>
        <w:rPr>
          <w:rFonts w:ascii="Times New Roman" w:hAnsi="Times New Roman"/>
          <w:highlight w:val="none"/>
        </w:rPr>
      </w:pPr>
    </w:p>
    <w:p w14:paraId="01FDCE0F">
      <w:pPr>
        <w:rPr>
          <w:rFonts w:ascii="Times New Roman" w:hAnsi="Times New Roman" w:cs="宋体"/>
          <w:b/>
          <w:sz w:val="24"/>
          <w:szCs w:val="24"/>
          <w:highlight w:val="none"/>
        </w:rPr>
      </w:pPr>
    </w:p>
    <w:p w14:paraId="78C6E890">
      <w:pPr>
        <w:pStyle w:val="6"/>
        <w:keepNext w:val="0"/>
        <w:keepLines w:val="0"/>
        <w:spacing w:before="0" w:after="0" w:line="240" w:lineRule="auto"/>
        <w:jc w:val="center"/>
        <w:rPr>
          <w:rFonts w:ascii="Times New Roman" w:hAnsi="Times New Roman" w:eastAsia="宋体"/>
          <w:sz w:val="48"/>
          <w:szCs w:val="44"/>
          <w:highlight w:val="none"/>
        </w:rPr>
      </w:pPr>
      <w:r>
        <w:rPr>
          <w:rFonts w:ascii="Times New Roman" w:hAnsi="Times New Roman" w:eastAsia="宋体"/>
          <w:sz w:val="48"/>
          <w:szCs w:val="44"/>
          <w:highlight w:val="none"/>
        </w:rPr>
        <w:br w:type="page" w:clear="all"/>
      </w:r>
      <w:r>
        <w:rPr>
          <w:rFonts w:hint="eastAsia" w:ascii="Times New Roman" w:hAnsi="Times New Roman" w:eastAsia="宋体"/>
          <w:sz w:val="48"/>
          <w:szCs w:val="44"/>
          <w:highlight w:val="none"/>
        </w:rPr>
        <w:t>第一章 竞争性磋商公告</w:t>
      </w:r>
    </w:p>
    <w:p w14:paraId="54519554">
      <w:pPr>
        <w:pBdr>
          <w:top w:val="single" w:color="000000" w:sz="4" w:space="1"/>
          <w:left w:val="single" w:color="000000" w:sz="4" w:space="4"/>
          <w:bottom w:val="single" w:color="000000" w:sz="4" w:space="1"/>
          <w:right w:val="single" w:color="000000" w:sz="4" w:space="4"/>
        </w:pBdr>
        <w:spacing w:line="440" w:lineRule="exact"/>
        <w:ind w:firstLine="482"/>
        <w:rPr>
          <w:rFonts w:ascii="Times New Roman" w:hAnsi="Times New Roman"/>
          <w:sz w:val="24"/>
          <w:highlight w:val="none"/>
        </w:rPr>
      </w:pPr>
      <w:r>
        <w:rPr>
          <w:rFonts w:hint="eastAsia" w:ascii="Times New Roman" w:hAnsi="Times New Roman"/>
          <w:sz w:val="24"/>
          <w:highlight w:val="none"/>
        </w:rPr>
        <w:t>项目概况</w:t>
      </w:r>
    </w:p>
    <w:p w14:paraId="68CEAA33">
      <w:pPr>
        <w:pBdr>
          <w:top w:val="single" w:color="000000" w:sz="4" w:space="1"/>
          <w:left w:val="single" w:color="000000" w:sz="4" w:space="4"/>
          <w:bottom w:val="single" w:color="000000" w:sz="4" w:space="1"/>
          <w:right w:val="single" w:color="000000" w:sz="4" w:space="4"/>
        </w:pBdr>
        <w:spacing w:line="440" w:lineRule="exact"/>
        <w:ind w:firstLine="482"/>
        <w:rPr>
          <w:rFonts w:ascii="Times New Roman" w:hAnsi="Times New Roman"/>
          <w:sz w:val="24"/>
          <w:highlight w:val="none"/>
        </w:rPr>
      </w:pPr>
      <w:r>
        <w:rPr>
          <w:rFonts w:hint="eastAsia" w:ascii="Times New Roman" w:hAnsi="Times New Roman"/>
          <w:sz w:val="24"/>
          <w:highlight w:val="none"/>
          <w:lang w:eastAsia="zh-CN"/>
        </w:rPr>
        <w:t>南通公安大病特困救助基金会2025民警家庭医疗保险项目（二次）</w:t>
      </w:r>
      <w:r>
        <w:rPr>
          <w:rFonts w:hint="eastAsia" w:ascii="Times New Roman" w:hAnsi="Times New Roman"/>
          <w:sz w:val="24"/>
          <w:highlight w:val="none"/>
        </w:rPr>
        <w:t>的潜在供应商应在南通市公安局官网（http://gaj.nantong.gov.cn/ntsgaj/zfcg/zfcg.html）公示公告--政府采购获取采购文件，并于2025年</w:t>
      </w:r>
      <w:r>
        <w:rPr>
          <w:rFonts w:hint="eastAsia" w:ascii="Times New Roman" w:hAnsi="Times New Roman"/>
          <w:sz w:val="24"/>
          <w:highlight w:val="none"/>
          <w:lang w:val="en-US" w:eastAsia="zh-CN"/>
        </w:rPr>
        <w:t>7</w:t>
      </w:r>
      <w:r>
        <w:rPr>
          <w:rFonts w:hint="eastAsia" w:ascii="Times New Roman" w:hAnsi="Times New Roman"/>
          <w:sz w:val="24"/>
          <w:highlight w:val="none"/>
        </w:rPr>
        <w:t>月</w:t>
      </w:r>
      <w:r>
        <w:rPr>
          <w:rFonts w:hint="eastAsia" w:ascii="Times New Roman" w:hAnsi="Times New Roman"/>
          <w:sz w:val="24"/>
          <w:highlight w:val="none"/>
          <w:lang w:val="en-US" w:eastAsia="zh-CN"/>
        </w:rPr>
        <w:t>18</w:t>
      </w:r>
      <w:r>
        <w:rPr>
          <w:rFonts w:hint="eastAsia" w:ascii="Times New Roman" w:hAnsi="Times New Roman"/>
          <w:sz w:val="24"/>
          <w:highlight w:val="none"/>
        </w:rPr>
        <w:t>日</w:t>
      </w:r>
      <w:r>
        <w:rPr>
          <w:rFonts w:hint="eastAsia" w:ascii="Times New Roman" w:hAnsi="Times New Roman"/>
          <w:sz w:val="24"/>
          <w:highlight w:val="none"/>
          <w:lang w:val="en-US" w:eastAsia="zh-CN"/>
        </w:rPr>
        <w:t>9</w:t>
      </w:r>
      <w:r>
        <w:rPr>
          <w:rFonts w:hint="eastAsia" w:ascii="Times New Roman" w:hAnsi="Times New Roman"/>
          <w:sz w:val="24"/>
          <w:highlight w:val="none"/>
        </w:rPr>
        <w:t>时30分前提交响应文件。</w:t>
      </w:r>
    </w:p>
    <w:p w14:paraId="6BAEAFC6">
      <w:pPr>
        <w:keepNext w:val="0"/>
        <w:keepLines w:val="0"/>
        <w:pageBreakBefore w:val="0"/>
        <w:kinsoku/>
        <w:wordWrap/>
        <w:overflowPunct/>
        <w:topLinePunct w:val="0"/>
        <w:autoSpaceDE/>
        <w:autoSpaceDN/>
        <w:bidi w:val="0"/>
        <w:adjustRightInd/>
        <w:snapToGrid/>
        <w:spacing w:line="360" w:lineRule="auto"/>
        <w:ind w:left="0" w:firstLine="482" w:firstLineChars="200"/>
        <w:textAlignment w:val="auto"/>
        <w:rPr>
          <w:rFonts w:ascii="Times New Roman" w:hAnsi="Times New Roman"/>
          <w:b/>
          <w:sz w:val="24"/>
          <w:szCs w:val="24"/>
          <w:highlight w:val="none"/>
        </w:rPr>
      </w:pPr>
      <w:r>
        <w:rPr>
          <w:rFonts w:hint="eastAsia" w:ascii="Times New Roman" w:hAnsi="Times New Roman"/>
          <w:b/>
          <w:sz w:val="24"/>
          <w:szCs w:val="24"/>
          <w:highlight w:val="none"/>
        </w:rPr>
        <w:t>一、项目基本情况</w:t>
      </w:r>
    </w:p>
    <w:p w14:paraId="655F05E2">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sz w:val="24"/>
          <w:szCs w:val="24"/>
          <w:highlight w:val="none"/>
          <w:lang w:eastAsia="zh-CN"/>
        </w:rPr>
      </w:pPr>
      <w:r>
        <w:rPr>
          <w:rFonts w:hint="eastAsia" w:ascii="宋体" w:hAnsi="宋体" w:cs="宋体"/>
          <w:bCs/>
          <w:sz w:val="24"/>
          <w:szCs w:val="24"/>
          <w:highlight w:val="none"/>
        </w:rPr>
        <w:t>1、项目名称：</w:t>
      </w:r>
      <w:r>
        <w:rPr>
          <w:rFonts w:hint="eastAsia" w:ascii="宋体" w:hAnsi="宋体" w:cs="宋体"/>
          <w:bCs/>
          <w:sz w:val="24"/>
          <w:szCs w:val="24"/>
          <w:highlight w:val="none"/>
          <w:lang w:eastAsia="zh-CN"/>
        </w:rPr>
        <w:t>南通公安大病特困救助基金会2025民警家庭医疗保险项目（二次）</w:t>
      </w:r>
    </w:p>
    <w:p w14:paraId="54D12F63">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、项目类型：服务</w:t>
      </w:r>
    </w:p>
    <w:p w14:paraId="7F4F7246">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cs="宋体"/>
          <w:bCs/>
          <w:sz w:val="24"/>
          <w:szCs w:val="24"/>
          <w:highlight w:val="none"/>
        </w:rPr>
      </w:pPr>
      <w:r>
        <w:rPr>
          <w:rFonts w:hint="eastAsia" w:ascii="宋体" w:hAnsi="宋体" w:cs="宋体"/>
          <w:bCs/>
          <w:sz w:val="24"/>
          <w:szCs w:val="24"/>
          <w:highlight w:val="none"/>
          <w:lang w:val="en-US" w:eastAsia="zh-CN"/>
        </w:rPr>
        <w:t>3</w:t>
      </w:r>
      <w:r>
        <w:rPr>
          <w:rFonts w:hint="eastAsia" w:ascii="宋体" w:hAnsi="宋体" w:cs="宋体"/>
          <w:bCs/>
          <w:sz w:val="24"/>
          <w:szCs w:val="24"/>
          <w:highlight w:val="none"/>
        </w:rPr>
        <w:t>、采购方式：</w:t>
      </w:r>
      <w:r>
        <w:rPr>
          <w:rFonts w:hint="eastAsia" w:ascii="宋体" w:hAnsi="宋体" w:cs="宋体"/>
          <w:sz w:val="24"/>
          <w:szCs w:val="24"/>
          <w:highlight w:val="none"/>
        </w:rPr>
        <w:t>竞争性磋商</w:t>
      </w:r>
    </w:p>
    <w:p w14:paraId="7A25B01F">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cs="宋体"/>
          <w:bCs/>
          <w:sz w:val="24"/>
          <w:szCs w:val="24"/>
          <w:highlight w:val="none"/>
        </w:rPr>
      </w:pPr>
      <w:r>
        <w:rPr>
          <w:rFonts w:hint="eastAsia" w:ascii="宋体" w:hAnsi="宋体" w:cs="宋体"/>
          <w:bCs/>
          <w:sz w:val="24"/>
          <w:szCs w:val="24"/>
          <w:highlight w:val="none"/>
          <w:lang w:val="en-US" w:eastAsia="zh-CN"/>
        </w:rPr>
        <w:t>4</w:t>
      </w:r>
      <w:r>
        <w:rPr>
          <w:rFonts w:hint="eastAsia" w:ascii="宋体" w:hAnsi="宋体" w:cs="宋体"/>
          <w:bCs/>
          <w:sz w:val="24"/>
          <w:szCs w:val="24"/>
          <w:highlight w:val="none"/>
        </w:rPr>
        <w:t>、预算金额：人民币</w:t>
      </w:r>
      <w:r>
        <w:rPr>
          <w:rFonts w:hint="eastAsia" w:ascii="宋体" w:hAnsi="宋体" w:cs="宋体"/>
          <w:bCs/>
          <w:sz w:val="24"/>
          <w:szCs w:val="24"/>
          <w:highlight w:val="none"/>
          <w:lang w:val="en-US" w:eastAsia="zh-CN"/>
        </w:rPr>
        <w:t>130</w:t>
      </w:r>
      <w:r>
        <w:rPr>
          <w:rFonts w:hint="eastAsia" w:ascii="宋体" w:hAnsi="宋体" w:cs="宋体"/>
          <w:bCs/>
          <w:sz w:val="24"/>
          <w:szCs w:val="24"/>
          <w:highlight w:val="none"/>
        </w:rPr>
        <w:t>万元</w:t>
      </w:r>
    </w:p>
    <w:p w14:paraId="34B4C9A3">
      <w:pPr>
        <w:keepNext w:val="0"/>
        <w:keepLines w:val="0"/>
        <w:pageBreakBefore w:val="0"/>
        <w:kinsoku/>
        <w:wordWrap/>
        <w:overflowPunct/>
        <w:topLinePunct w:val="0"/>
        <w:autoSpaceDE/>
        <w:autoSpaceDN/>
        <w:bidi w:val="0"/>
        <w:adjustRightInd/>
        <w:snapToGrid/>
        <w:spacing w:line="360" w:lineRule="auto"/>
        <w:ind w:left="0" w:firstLine="482" w:firstLineChars="200"/>
        <w:textAlignment w:val="auto"/>
        <w:rPr>
          <w:rFonts w:ascii="宋体" w:hAnsi="宋体" w:cs="宋体"/>
          <w:b/>
          <w:sz w:val="24"/>
          <w:szCs w:val="24"/>
          <w:highlight w:val="none"/>
        </w:rPr>
      </w:pPr>
      <w:r>
        <w:rPr>
          <w:rFonts w:hint="eastAsia" w:ascii="宋体" w:hAnsi="宋体" w:cs="宋体"/>
          <w:b/>
          <w:sz w:val="24"/>
          <w:szCs w:val="24"/>
          <w:highlight w:val="none"/>
          <w:lang w:val="en-US" w:eastAsia="zh-CN"/>
        </w:rPr>
        <w:t>5</w:t>
      </w:r>
      <w:r>
        <w:rPr>
          <w:rFonts w:hint="eastAsia" w:ascii="宋体" w:hAnsi="宋体" w:cs="宋体"/>
          <w:b/>
          <w:sz w:val="24"/>
          <w:szCs w:val="24"/>
          <w:highlight w:val="none"/>
        </w:rPr>
        <w:t>、最高限价：</w:t>
      </w:r>
      <w:r>
        <w:rPr>
          <w:rFonts w:hint="eastAsia" w:ascii="宋体" w:hAnsi="宋体" w:eastAsia="宋体" w:cs="Times New Roman"/>
          <w:sz w:val="24"/>
          <w:szCs w:val="24"/>
          <w:highlight w:val="none"/>
          <w:lang w:eastAsia="zh-CN"/>
        </w:rPr>
        <w:t>在职民警人均保费200元</w:t>
      </w:r>
      <w:r>
        <w:rPr>
          <w:rFonts w:hint="eastAsia" w:ascii="宋体" w:hAnsi="宋体" w:eastAsia="宋体" w:cs="Times New Roman"/>
          <w:sz w:val="24"/>
          <w:szCs w:val="24"/>
          <w:highlight w:val="none"/>
          <w:lang w:val="en-US" w:eastAsia="zh-CN"/>
        </w:rPr>
        <w:t>/人</w:t>
      </w:r>
      <w:r>
        <w:rPr>
          <w:rFonts w:hint="eastAsia" w:ascii="宋体" w:hAnsi="宋体" w:eastAsia="宋体" w:cs="Times New Roman"/>
          <w:sz w:val="24"/>
          <w:szCs w:val="24"/>
          <w:highlight w:val="none"/>
          <w:lang w:eastAsia="zh-CN"/>
        </w:rPr>
        <w:t>、在职民警配偶及成年子女和未成年子女人均保费100元</w:t>
      </w:r>
      <w:r>
        <w:rPr>
          <w:rFonts w:hint="eastAsia" w:ascii="宋体" w:hAnsi="宋体" w:eastAsia="宋体" w:cs="Times New Roman"/>
          <w:sz w:val="24"/>
          <w:szCs w:val="24"/>
          <w:highlight w:val="none"/>
          <w:lang w:val="en-US" w:eastAsia="zh-CN"/>
        </w:rPr>
        <w:t>/人</w:t>
      </w:r>
      <w:r>
        <w:rPr>
          <w:rFonts w:hint="eastAsia" w:ascii="宋体" w:hAnsi="宋体" w:eastAsia="宋体" w:cs="Times New Roman"/>
          <w:sz w:val="24"/>
          <w:szCs w:val="24"/>
          <w:highlight w:val="none"/>
          <w:lang w:eastAsia="zh-CN"/>
        </w:rPr>
        <w:t>，</w:t>
      </w:r>
      <w:r>
        <w:rPr>
          <w:rFonts w:hint="eastAsia" w:ascii="宋体" w:hAnsi="宋体" w:eastAsia="宋体" w:cs="Times New Roman"/>
          <w:b/>
          <w:bCs/>
          <w:sz w:val="24"/>
          <w:szCs w:val="24"/>
          <w:highlight w:val="none"/>
          <w:lang w:eastAsia="zh-CN"/>
        </w:rPr>
        <w:t>报</w:t>
      </w:r>
      <w:r>
        <w:rPr>
          <w:rFonts w:hint="eastAsia" w:ascii="宋体" w:hAnsi="宋体"/>
          <w:b/>
          <w:bCs/>
          <w:sz w:val="24"/>
          <w:szCs w:val="24"/>
          <w:highlight w:val="none"/>
        </w:rPr>
        <w:t>价超过最高限价的将作为无效响应处理。</w:t>
      </w:r>
    </w:p>
    <w:p w14:paraId="66A824C3">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cs="宋体"/>
          <w:bCs/>
          <w:sz w:val="24"/>
          <w:szCs w:val="24"/>
          <w:highlight w:val="none"/>
        </w:rPr>
      </w:pPr>
      <w:r>
        <w:rPr>
          <w:rFonts w:hint="eastAsia" w:ascii="宋体" w:hAnsi="宋体" w:cs="宋体"/>
          <w:bCs/>
          <w:sz w:val="24"/>
          <w:szCs w:val="24"/>
          <w:highlight w:val="none"/>
          <w:lang w:val="en-US" w:eastAsia="zh-CN"/>
        </w:rPr>
        <w:t>6</w:t>
      </w:r>
      <w:r>
        <w:rPr>
          <w:rFonts w:hint="eastAsia" w:ascii="宋体" w:hAnsi="宋体" w:cs="宋体"/>
          <w:bCs/>
          <w:sz w:val="24"/>
          <w:szCs w:val="24"/>
          <w:highlight w:val="none"/>
        </w:rPr>
        <w:t>、采购需求：具体内容详见采购文件第三章项目需求。</w:t>
      </w:r>
    </w:p>
    <w:p w14:paraId="77F88E15">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7</w:t>
      </w:r>
      <w:r>
        <w:rPr>
          <w:rFonts w:hint="eastAsia" w:ascii="宋体" w:hAnsi="宋体" w:eastAsia="宋体" w:cs="宋体"/>
          <w:bCs/>
          <w:sz w:val="24"/>
          <w:szCs w:val="24"/>
          <w:highlight w:val="none"/>
        </w:rPr>
        <w:t>、服务期限</w:t>
      </w:r>
      <w:r>
        <w:rPr>
          <w:rFonts w:hint="eastAsia" w:ascii="宋体" w:hAnsi="宋体"/>
          <w:sz w:val="24"/>
          <w:szCs w:val="24"/>
          <w:highlight w:val="none"/>
        </w:rPr>
        <w:t>：</w:t>
      </w:r>
      <w:r>
        <w:rPr>
          <w:rFonts w:hint="eastAsia" w:ascii="宋体" w:hAnsi="宋体"/>
          <w:sz w:val="24"/>
          <w:szCs w:val="24"/>
          <w:highlight w:val="none"/>
          <w:lang w:eastAsia="zh-CN"/>
        </w:rPr>
        <w:t>2025年6月30日零时起至2026年6月29日二十四时止（期限一年）</w:t>
      </w:r>
      <w:r>
        <w:rPr>
          <w:rFonts w:hint="eastAsia" w:ascii="宋体" w:hAnsi="宋体"/>
          <w:sz w:val="24"/>
          <w:szCs w:val="24"/>
          <w:highlight w:val="none"/>
        </w:rPr>
        <w:t>。本项目承保期限一年，第二年可视承保情况续签，</w:t>
      </w:r>
      <w:r>
        <w:rPr>
          <w:rFonts w:hint="eastAsia" w:ascii="宋体" w:hAnsi="宋体"/>
          <w:sz w:val="24"/>
          <w:szCs w:val="24"/>
          <w:highlight w:val="none"/>
          <w:lang w:eastAsia="zh-CN"/>
        </w:rPr>
        <w:t>但总承保期限不得超过3年</w:t>
      </w:r>
      <w:r>
        <w:rPr>
          <w:rFonts w:hint="eastAsia" w:ascii="宋体" w:hAnsi="宋体"/>
          <w:sz w:val="24"/>
          <w:szCs w:val="24"/>
          <w:highlight w:val="none"/>
        </w:rPr>
        <w:t>。</w:t>
      </w:r>
    </w:p>
    <w:p w14:paraId="1745E265">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8</w:t>
      </w:r>
      <w:r>
        <w:rPr>
          <w:rFonts w:hint="eastAsia" w:ascii="宋体" w:hAnsi="宋体" w:eastAsia="宋体" w:cs="宋体"/>
          <w:bCs/>
          <w:sz w:val="24"/>
          <w:szCs w:val="24"/>
          <w:highlight w:val="none"/>
        </w:rPr>
        <w:t>、本项目（是/否）接受联合体：否。</w:t>
      </w:r>
    </w:p>
    <w:p w14:paraId="2F827A79">
      <w:pPr>
        <w:keepNext w:val="0"/>
        <w:keepLines w:val="0"/>
        <w:pageBreakBefore w:val="0"/>
        <w:kinsoku/>
        <w:wordWrap/>
        <w:overflowPunct/>
        <w:topLinePunct w:val="0"/>
        <w:autoSpaceDE/>
        <w:autoSpaceDN/>
        <w:bidi w:val="0"/>
        <w:adjustRightInd/>
        <w:snapToGrid/>
        <w:spacing w:line="360" w:lineRule="auto"/>
        <w:ind w:left="0" w:firstLine="482" w:firstLineChars="200"/>
        <w:textAlignment w:val="auto"/>
        <w:rPr>
          <w:rFonts w:ascii="宋体" w:hAnsi="宋体" w:cs="宋体"/>
          <w:b/>
          <w:sz w:val="24"/>
          <w:szCs w:val="24"/>
          <w:highlight w:val="none"/>
        </w:rPr>
      </w:pPr>
      <w:r>
        <w:rPr>
          <w:rFonts w:hint="eastAsia" w:ascii="宋体" w:hAnsi="宋体" w:cs="宋体"/>
          <w:b/>
          <w:sz w:val="24"/>
          <w:szCs w:val="24"/>
          <w:highlight w:val="none"/>
        </w:rPr>
        <w:t>二、申请人的资格要求：</w:t>
      </w:r>
    </w:p>
    <w:p w14:paraId="7516D049">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cs="宋体"/>
          <w:sz w:val="24"/>
          <w:szCs w:val="24"/>
          <w:highlight w:val="none"/>
        </w:rPr>
      </w:pPr>
      <w:r>
        <w:rPr>
          <w:rFonts w:hint="eastAsia" w:ascii="宋体" w:hAnsi="宋体" w:cs="宋体"/>
          <w:sz w:val="24"/>
          <w:szCs w:val="24"/>
          <w:highlight w:val="none"/>
        </w:rPr>
        <w:t>1、满足《中华人民共和国政府采购法》第二十二条规定，并提供声明函：</w:t>
      </w:r>
    </w:p>
    <w:p w14:paraId="236DEB6F">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cs="宋体"/>
          <w:sz w:val="24"/>
          <w:szCs w:val="24"/>
          <w:highlight w:val="none"/>
        </w:rPr>
      </w:pPr>
      <w:r>
        <w:rPr>
          <w:rFonts w:hint="eastAsia" w:ascii="宋体" w:hAnsi="宋体" w:cs="宋体"/>
          <w:sz w:val="24"/>
          <w:szCs w:val="24"/>
          <w:highlight w:val="none"/>
        </w:rPr>
        <w:t>（1）具有独立承担民事责任的能力；</w:t>
      </w:r>
    </w:p>
    <w:p w14:paraId="0A95E0B1">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cs="宋体"/>
          <w:sz w:val="24"/>
          <w:szCs w:val="24"/>
          <w:highlight w:val="none"/>
        </w:rPr>
      </w:pPr>
      <w:r>
        <w:rPr>
          <w:rFonts w:hint="eastAsia" w:ascii="宋体" w:hAnsi="宋体" w:cs="宋体"/>
          <w:sz w:val="24"/>
          <w:szCs w:val="24"/>
          <w:highlight w:val="none"/>
        </w:rPr>
        <w:t>（2）具有良好的商业信誉和健全的财务会计制度；</w:t>
      </w:r>
    </w:p>
    <w:p w14:paraId="7C580946">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cs="宋体"/>
          <w:sz w:val="24"/>
          <w:szCs w:val="24"/>
          <w:highlight w:val="none"/>
        </w:rPr>
      </w:pPr>
      <w:r>
        <w:rPr>
          <w:rFonts w:hint="eastAsia" w:ascii="宋体" w:hAnsi="宋体" w:cs="宋体"/>
          <w:sz w:val="24"/>
          <w:szCs w:val="24"/>
          <w:highlight w:val="none"/>
        </w:rPr>
        <w:t>（3）具有履行合同所必需的设备和专业技术能力；</w:t>
      </w:r>
    </w:p>
    <w:p w14:paraId="3710F9DA">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cs="宋体"/>
          <w:sz w:val="24"/>
          <w:szCs w:val="24"/>
          <w:highlight w:val="none"/>
        </w:rPr>
      </w:pPr>
      <w:r>
        <w:rPr>
          <w:rFonts w:hint="eastAsia" w:ascii="宋体" w:hAnsi="宋体" w:cs="宋体"/>
          <w:sz w:val="24"/>
          <w:szCs w:val="24"/>
          <w:highlight w:val="none"/>
        </w:rPr>
        <w:t>（4）有依法缴纳税收和社会保障资金的良好记录；</w:t>
      </w:r>
    </w:p>
    <w:p w14:paraId="59870C0C">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cs="宋体"/>
          <w:sz w:val="24"/>
          <w:szCs w:val="24"/>
          <w:highlight w:val="none"/>
        </w:rPr>
      </w:pPr>
      <w:r>
        <w:rPr>
          <w:rFonts w:hint="eastAsia" w:ascii="宋体" w:hAnsi="宋体" w:cs="宋体"/>
          <w:sz w:val="24"/>
          <w:szCs w:val="24"/>
          <w:highlight w:val="none"/>
        </w:rPr>
        <w:t>（5）参加政府采购活动前三年内，在经营活动中没有重大违法记录；</w:t>
      </w:r>
    </w:p>
    <w:p w14:paraId="2961F988">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（6）法律、行政法规规定的其他条件。</w:t>
      </w:r>
    </w:p>
    <w:p w14:paraId="31E0AFAF">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cs="宋体"/>
          <w:kern w:val="2"/>
          <w:sz w:val="24"/>
          <w:szCs w:val="24"/>
          <w:highlight w:val="none"/>
        </w:rPr>
      </w:pPr>
      <w:r>
        <w:rPr>
          <w:rFonts w:hint="eastAsia" w:ascii="宋体" w:hAnsi="宋体" w:cs="宋体"/>
          <w:kern w:val="2"/>
          <w:sz w:val="24"/>
          <w:szCs w:val="24"/>
          <w:highlight w:val="none"/>
          <w:lang w:val="en-US" w:eastAsia="zh-CN"/>
        </w:rPr>
        <w:t>2</w:t>
      </w:r>
      <w:r>
        <w:rPr>
          <w:rFonts w:hint="eastAsia" w:ascii="宋体" w:hAnsi="宋体" w:cs="宋体"/>
          <w:kern w:val="2"/>
          <w:sz w:val="24"/>
          <w:szCs w:val="24"/>
          <w:highlight w:val="none"/>
        </w:rPr>
        <w:t>、本项目的特定资格要求：</w:t>
      </w:r>
    </w:p>
    <w:p w14:paraId="4B034FD6">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cs="宋体"/>
          <w:kern w:val="2"/>
          <w:sz w:val="24"/>
          <w:szCs w:val="24"/>
          <w:highlight w:val="none"/>
        </w:rPr>
      </w:pPr>
      <w:bookmarkStart w:id="0" w:name="OLE_LINK11"/>
      <w:r>
        <w:rPr>
          <w:rFonts w:hint="eastAsia" w:ascii="宋体" w:hAnsi="宋体" w:cs="宋体"/>
          <w:kern w:val="2"/>
          <w:sz w:val="24"/>
          <w:szCs w:val="24"/>
          <w:highlight w:val="none"/>
        </w:rPr>
        <w:t>（1）供应商法定代表人</w:t>
      </w:r>
      <w:r>
        <w:rPr>
          <w:rFonts w:hint="eastAsia" w:ascii="宋体" w:hAnsi="宋体" w:cs="宋体"/>
          <w:kern w:val="2"/>
          <w:sz w:val="24"/>
          <w:szCs w:val="24"/>
          <w:highlight w:val="none"/>
          <w:lang w:val="en-US" w:eastAsia="zh-CN"/>
        </w:rPr>
        <w:t>或企业负责人</w:t>
      </w:r>
      <w:r>
        <w:rPr>
          <w:rFonts w:hint="eastAsia" w:ascii="宋体" w:hAnsi="宋体" w:cs="宋体"/>
          <w:kern w:val="2"/>
          <w:sz w:val="24"/>
          <w:szCs w:val="24"/>
          <w:highlight w:val="none"/>
        </w:rPr>
        <w:t>参加采购活动的，必须提供法定代表人</w:t>
      </w:r>
      <w:r>
        <w:rPr>
          <w:rFonts w:hint="eastAsia" w:ascii="宋体" w:hAnsi="宋体" w:cs="宋体"/>
          <w:kern w:val="2"/>
          <w:sz w:val="24"/>
          <w:szCs w:val="24"/>
          <w:highlight w:val="none"/>
          <w:lang w:val="en-US" w:eastAsia="zh-CN"/>
        </w:rPr>
        <w:t>或企业负责人的</w:t>
      </w:r>
      <w:r>
        <w:rPr>
          <w:rFonts w:hint="eastAsia" w:ascii="宋体" w:hAnsi="宋体" w:cs="宋体"/>
          <w:kern w:val="2"/>
          <w:sz w:val="24"/>
          <w:szCs w:val="24"/>
          <w:highlight w:val="none"/>
        </w:rPr>
        <w:t>身份证明及法定代表人本人</w:t>
      </w:r>
      <w:r>
        <w:rPr>
          <w:rFonts w:hint="eastAsia" w:ascii="宋体" w:hAnsi="宋体" w:cs="宋体"/>
          <w:kern w:val="2"/>
          <w:sz w:val="24"/>
          <w:szCs w:val="24"/>
          <w:highlight w:val="none"/>
          <w:lang w:val="en-US" w:eastAsia="zh-CN"/>
        </w:rPr>
        <w:t>或企业负责人的</w:t>
      </w:r>
      <w:r>
        <w:rPr>
          <w:rFonts w:hint="eastAsia" w:ascii="宋体" w:hAnsi="宋体" w:cs="宋体"/>
          <w:kern w:val="2"/>
          <w:sz w:val="24"/>
          <w:szCs w:val="24"/>
          <w:highlight w:val="none"/>
        </w:rPr>
        <w:t>身份证复印件；非法定代表人</w:t>
      </w:r>
      <w:r>
        <w:rPr>
          <w:rFonts w:hint="eastAsia" w:ascii="宋体" w:hAnsi="宋体" w:cs="宋体"/>
          <w:kern w:val="2"/>
          <w:sz w:val="24"/>
          <w:szCs w:val="24"/>
          <w:highlight w:val="none"/>
          <w:lang w:val="en-US" w:eastAsia="zh-CN"/>
        </w:rPr>
        <w:t>或企业负责人</w:t>
      </w:r>
      <w:r>
        <w:rPr>
          <w:rFonts w:hint="eastAsia" w:ascii="宋体" w:hAnsi="宋体" w:cs="宋体"/>
          <w:kern w:val="2"/>
          <w:sz w:val="24"/>
          <w:szCs w:val="24"/>
          <w:highlight w:val="none"/>
        </w:rPr>
        <w:t>参加采购活动的，必须提供法定代表人</w:t>
      </w:r>
      <w:r>
        <w:rPr>
          <w:rFonts w:hint="eastAsia" w:ascii="宋体" w:hAnsi="宋体" w:cs="宋体"/>
          <w:kern w:val="2"/>
          <w:sz w:val="24"/>
          <w:szCs w:val="24"/>
          <w:highlight w:val="none"/>
          <w:lang w:val="en-US" w:eastAsia="zh-CN"/>
        </w:rPr>
        <w:t>或企业负责人的</w:t>
      </w:r>
      <w:r>
        <w:rPr>
          <w:rFonts w:hint="eastAsia" w:ascii="宋体" w:hAnsi="宋体" w:cs="宋体"/>
          <w:kern w:val="2"/>
          <w:sz w:val="24"/>
          <w:szCs w:val="24"/>
          <w:highlight w:val="none"/>
        </w:rPr>
        <w:t>身份证明、法定代表人</w:t>
      </w:r>
      <w:r>
        <w:rPr>
          <w:rFonts w:hint="eastAsia" w:ascii="宋体" w:hAnsi="宋体" w:cs="宋体"/>
          <w:kern w:val="2"/>
          <w:sz w:val="24"/>
          <w:szCs w:val="24"/>
          <w:highlight w:val="none"/>
          <w:lang w:val="en-US" w:eastAsia="zh-CN"/>
        </w:rPr>
        <w:t>或企业负责人</w:t>
      </w:r>
      <w:r>
        <w:rPr>
          <w:rFonts w:hint="eastAsia" w:ascii="宋体" w:hAnsi="宋体" w:cs="宋体"/>
          <w:kern w:val="2"/>
          <w:sz w:val="24"/>
          <w:szCs w:val="24"/>
          <w:highlight w:val="none"/>
        </w:rPr>
        <w:t>签字或盖章的授权委托书、法定代表人</w:t>
      </w:r>
      <w:r>
        <w:rPr>
          <w:rFonts w:hint="eastAsia" w:ascii="宋体" w:hAnsi="宋体" w:cs="宋体"/>
          <w:kern w:val="2"/>
          <w:sz w:val="24"/>
          <w:szCs w:val="24"/>
          <w:highlight w:val="none"/>
          <w:lang w:val="en-US" w:eastAsia="zh-CN"/>
        </w:rPr>
        <w:t>或企业负责人</w:t>
      </w:r>
      <w:r>
        <w:rPr>
          <w:rFonts w:hint="eastAsia" w:ascii="宋体" w:hAnsi="宋体" w:cs="宋体"/>
          <w:kern w:val="2"/>
          <w:sz w:val="24"/>
          <w:szCs w:val="24"/>
          <w:highlight w:val="none"/>
        </w:rPr>
        <w:t>本人身份证复印件及被授权人本人身份证复印件（格式参见</w:t>
      </w:r>
      <w:r>
        <w:rPr>
          <w:rFonts w:hint="eastAsia" w:ascii="宋体" w:hAnsi="宋体" w:cs="宋体"/>
          <w:kern w:val="2"/>
          <w:sz w:val="24"/>
          <w:szCs w:val="24"/>
          <w:highlight w:val="none"/>
          <w:lang w:val="en-US" w:eastAsia="zh-CN"/>
        </w:rPr>
        <w:t>附件</w:t>
      </w:r>
      <w:r>
        <w:rPr>
          <w:rFonts w:hint="eastAsia" w:ascii="宋体" w:hAnsi="宋体" w:cs="宋体"/>
          <w:kern w:val="2"/>
          <w:sz w:val="24"/>
          <w:szCs w:val="24"/>
          <w:highlight w:val="none"/>
        </w:rPr>
        <w:t>）。</w:t>
      </w:r>
    </w:p>
    <w:p w14:paraId="2CFD6BB2">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cs="宋体"/>
          <w:color w:val="auto"/>
          <w:kern w:val="2"/>
          <w:sz w:val="24"/>
          <w:szCs w:val="24"/>
          <w:highlight w:val="none"/>
        </w:rPr>
      </w:pPr>
      <w:r>
        <w:rPr>
          <w:rFonts w:hint="eastAsia" w:ascii="宋体" w:hAnsi="宋体" w:cs="宋体"/>
          <w:kern w:val="2"/>
          <w:sz w:val="24"/>
          <w:szCs w:val="24"/>
          <w:highlight w:val="none"/>
          <w:lang w:eastAsia="zh-CN"/>
        </w:rPr>
        <w:t>（</w:t>
      </w:r>
      <w:r>
        <w:rPr>
          <w:rFonts w:hint="eastAsia" w:ascii="宋体" w:hAnsi="宋体" w:cs="宋体"/>
          <w:kern w:val="2"/>
          <w:sz w:val="24"/>
          <w:szCs w:val="24"/>
          <w:highlight w:val="none"/>
          <w:lang w:val="en-US" w:eastAsia="zh-CN"/>
        </w:rPr>
        <w:t>2</w:t>
      </w:r>
      <w:r>
        <w:rPr>
          <w:rFonts w:hint="eastAsia" w:ascii="宋体" w:hAnsi="宋体" w:cs="宋体"/>
          <w:kern w:val="2"/>
          <w:sz w:val="24"/>
          <w:szCs w:val="24"/>
          <w:highlight w:val="none"/>
        </w:rPr>
        <w:t>）供应商须提供诚信承诺书（格式</w:t>
      </w:r>
      <w:r>
        <w:rPr>
          <w:rFonts w:hint="eastAsia" w:ascii="宋体" w:hAnsi="宋体" w:cs="宋体"/>
          <w:color w:val="auto"/>
          <w:kern w:val="2"/>
          <w:sz w:val="24"/>
          <w:szCs w:val="24"/>
          <w:highlight w:val="none"/>
        </w:rPr>
        <w:t>参见</w:t>
      </w:r>
      <w:r>
        <w:rPr>
          <w:rFonts w:hint="eastAsia" w:ascii="宋体" w:hAnsi="宋体" w:cs="宋体"/>
          <w:color w:val="auto"/>
          <w:kern w:val="2"/>
          <w:sz w:val="24"/>
          <w:szCs w:val="24"/>
          <w:highlight w:val="none"/>
          <w:lang w:val="en-US" w:eastAsia="zh-CN"/>
        </w:rPr>
        <w:t>附件</w:t>
      </w:r>
      <w:r>
        <w:rPr>
          <w:rFonts w:hint="eastAsia" w:ascii="宋体" w:hAnsi="宋体" w:cs="宋体"/>
          <w:color w:val="auto"/>
          <w:kern w:val="2"/>
          <w:sz w:val="24"/>
          <w:szCs w:val="24"/>
          <w:highlight w:val="none"/>
        </w:rPr>
        <w:t>）。</w:t>
      </w:r>
    </w:p>
    <w:p w14:paraId="5A91CD5B">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val="en-US" w:eastAsia="zh-CN"/>
        </w:rPr>
        <w:t>）供应商</w:t>
      </w:r>
      <w:r>
        <w:rPr>
          <w:rFonts w:hint="eastAsia" w:ascii="宋体" w:hAnsi="宋体" w:cs="宋体"/>
          <w:color w:val="auto"/>
          <w:kern w:val="2"/>
          <w:sz w:val="24"/>
          <w:szCs w:val="24"/>
          <w:highlight w:val="none"/>
        </w:rPr>
        <w:t>须</w:t>
      </w:r>
      <w:r>
        <w:rPr>
          <w:rFonts w:hint="eastAsia" w:ascii="宋体" w:hAnsi="宋体" w:eastAsia="宋体" w:cs="宋体"/>
          <w:color w:val="auto"/>
          <w:kern w:val="2"/>
          <w:sz w:val="24"/>
          <w:szCs w:val="24"/>
          <w:highlight w:val="none"/>
          <w:lang w:val="en-US" w:eastAsia="zh-CN"/>
        </w:rPr>
        <w:t>提供保险许可证和营业执照。</w:t>
      </w:r>
      <w:r>
        <w:rPr>
          <w:rFonts w:hint="eastAsia" w:ascii="宋体" w:hAnsi="宋体" w:eastAsia="宋体" w:cs="宋体"/>
          <w:color w:val="auto"/>
          <w:kern w:val="2"/>
          <w:sz w:val="24"/>
          <w:szCs w:val="24"/>
          <w:highlight w:val="none"/>
          <w:lang w:eastAsia="zh-CN"/>
        </w:rPr>
        <w:t>（</w:t>
      </w:r>
      <w:r>
        <w:rPr>
          <w:rFonts w:hint="eastAsia" w:ascii="宋体" w:hAnsi="宋体" w:eastAsia="宋体" w:cs="宋体"/>
          <w:b w:val="0"/>
          <w:bCs w:val="0"/>
          <w:color w:val="auto"/>
          <w:kern w:val="2"/>
          <w:sz w:val="24"/>
          <w:szCs w:val="24"/>
          <w:highlight w:val="none"/>
          <w:lang w:val="en-US" w:eastAsia="zh-CN" w:bidi="ar-SA"/>
        </w:rPr>
        <w:t>如是分支机构</w:t>
      </w:r>
      <w:r>
        <w:rPr>
          <w:rFonts w:hint="eastAsia" w:ascii="宋体" w:hAnsi="宋体" w:cs="宋体"/>
          <w:b w:val="0"/>
          <w:bCs w:val="0"/>
          <w:color w:val="auto"/>
          <w:kern w:val="2"/>
          <w:sz w:val="24"/>
          <w:szCs w:val="24"/>
          <w:highlight w:val="none"/>
          <w:lang w:val="en-US" w:eastAsia="zh-CN" w:bidi="ar-SA"/>
        </w:rPr>
        <w:t>响应</w:t>
      </w:r>
      <w:r>
        <w:rPr>
          <w:rFonts w:hint="eastAsia" w:ascii="宋体" w:hAnsi="宋体" w:eastAsia="宋体" w:cs="宋体"/>
          <w:b w:val="0"/>
          <w:bCs w:val="0"/>
          <w:color w:val="auto"/>
          <w:kern w:val="2"/>
          <w:sz w:val="24"/>
          <w:szCs w:val="24"/>
          <w:highlight w:val="none"/>
          <w:lang w:val="en-US" w:eastAsia="zh-CN" w:bidi="ar-SA"/>
        </w:rPr>
        <w:t>，需提供总公司的《营业执照》及分支机构的《营业执照》扫描件，同时提供总公司的</w:t>
      </w:r>
      <w:r>
        <w:rPr>
          <w:rFonts w:hint="eastAsia" w:ascii="宋体" w:hAnsi="宋体" w:cs="宋体"/>
          <w:b w:val="0"/>
          <w:bCs w:val="0"/>
          <w:color w:val="auto"/>
          <w:kern w:val="2"/>
          <w:sz w:val="24"/>
          <w:szCs w:val="24"/>
          <w:highlight w:val="none"/>
          <w:lang w:val="en-US" w:eastAsia="zh-CN" w:bidi="ar-SA"/>
        </w:rPr>
        <w:t>业务</w:t>
      </w:r>
      <w:r>
        <w:rPr>
          <w:rFonts w:hint="eastAsia" w:ascii="宋体" w:hAnsi="宋体" w:eastAsia="宋体" w:cs="宋体"/>
          <w:b w:val="0"/>
          <w:bCs w:val="0"/>
          <w:color w:val="auto"/>
          <w:kern w:val="2"/>
          <w:sz w:val="24"/>
          <w:szCs w:val="24"/>
          <w:highlight w:val="none"/>
          <w:lang w:val="en-US" w:eastAsia="zh-CN" w:bidi="ar-SA"/>
        </w:rPr>
        <w:t>授权书</w:t>
      </w:r>
      <w:r>
        <w:rPr>
          <w:rFonts w:hint="eastAsia" w:ascii="宋体" w:hAnsi="宋体" w:cs="宋体"/>
          <w:b w:val="0"/>
          <w:bCs w:val="0"/>
          <w:color w:val="auto"/>
          <w:kern w:val="2"/>
          <w:sz w:val="24"/>
          <w:szCs w:val="24"/>
          <w:highlight w:val="none"/>
          <w:lang w:val="en-US" w:eastAsia="zh-CN" w:bidi="ar-SA"/>
        </w:rPr>
        <w:t>及</w:t>
      </w:r>
      <w:r>
        <w:rPr>
          <w:rFonts w:hint="eastAsia" w:ascii="宋体" w:hAnsi="宋体" w:eastAsia="宋体" w:cs="宋体"/>
          <w:color w:val="auto"/>
          <w:kern w:val="2"/>
          <w:sz w:val="24"/>
          <w:szCs w:val="24"/>
          <w:highlight w:val="none"/>
          <w:lang w:val="en-US" w:eastAsia="zh-CN"/>
        </w:rPr>
        <w:t>保险许可证</w:t>
      </w:r>
      <w:r>
        <w:rPr>
          <w:rFonts w:hint="eastAsia" w:ascii="宋体" w:hAnsi="宋体" w:eastAsia="宋体" w:cs="宋体"/>
          <w:b w:val="0"/>
          <w:bCs w:val="0"/>
          <w:color w:val="auto"/>
          <w:kern w:val="2"/>
          <w:sz w:val="24"/>
          <w:szCs w:val="24"/>
          <w:highlight w:val="none"/>
          <w:lang w:val="en-US" w:eastAsia="zh-CN" w:bidi="ar-SA"/>
        </w:rPr>
        <w:t>。同一保险总公司仅能授权其一家分支机构参与本项目磋商。</w:t>
      </w:r>
      <w:r>
        <w:rPr>
          <w:rFonts w:hint="eastAsia" w:ascii="宋体" w:hAnsi="宋体" w:eastAsia="宋体" w:cs="宋体"/>
          <w:color w:val="auto"/>
          <w:kern w:val="2"/>
          <w:sz w:val="24"/>
          <w:szCs w:val="24"/>
          <w:highlight w:val="none"/>
          <w:lang w:eastAsia="zh-CN"/>
        </w:rPr>
        <w:t>）</w:t>
      </w:r>
    </w:p>
    <w:bookmarkEnd w:id="0"/>
    <w:p w14:paraId="087BBA07">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、拒绝下述供应商参加本次采购活动：</w:t>
      </w:r>
    </w:p>
    <w:p w14:paraId="6A441243">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（1）供应商单位负责人为同一人或者存在直接控股、管理关系的不同供应商，不得参加同一合同项下的政府采购活动。</w:t>
      </w:r>
    </w:p>
    <w:p w14:paraId="050142D2">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cs="宋体"/>
          <w:sz w:val="24"/>
          <w:szCs w:val="24"/>
          <w:highlight w:val="none"/>
        </w:rPr>
      </w:pPr>
      <w:r>
        <w:rPr>
          <w:rFonts w:hint="eastAsia" w:ascii="宋体" w:hAnsi="宋体" w:cs="宋体"/>
          <w:sz w:val="24"/>
          <w:szCs w:val="24"/>
          <w:highlight w:val="none"/>
        </w:rPr>
        <w:t>（2）凡为采购项目提供整体设计、规范编制或者项目管理、监理、检测等服务的供应商，不得再参加本项目的采购活动。</w:t>
      </w:r>
    </w:p>
    <w:p w14:paraId="268FCFA7">
      <w:pPr>
        <w:keepNext w:val="0"/>
        <w:keepLines w:val="0"/>
        <w:pageBreakBefore w:val="0"/>
        <w:kinsoku/>
        <w:wordWrap/>
        <w:overflowPunct/>
        <w:topLinePunct w:val="0"/>
        <w:autoSpaceDE/>
        <w:autoSpaceDN/>
        <w:bidi w:val="0"/>
        <w:adjustRightInd/>
        <w:snapToGrid/>
        <w:spacing w:line="360" w:lineRule="auto"/>
        <w:ind w:left="0" w:firstLine="482" w:firstLineChars="200"/>
        <w:textAlignment w:val="auto"/>
        <w:rPr>
          <w:rFonts w:ascii="宋体" w:hAnsi="宋体" w:cs="宋体"/>
          <w:b/>
          <w:sz w:val="24"/>
          <w:szCs w:val="24"/>
          <w:highlight w:val="none"/>
          <w:lang w:val="zh-CN"/>
        </w:rPr>
      </w:pPr>
      <w:r>
        <w:rPr>
          <w:rFonts w:hint="eastAsia" w:ascii="宋体" w:hAnsi="宋体" w:cs="宋体"/>
          <w:b/>
          <w:sz w:val="24"/>
          <w:szCs w:val="24"/>
          <w:highlight w:val="none"/>
          <w:lang w:val="zh-CN"/>
        </w:rPr>
        <w:t>具体资格要求详见第八章中的“资格审查文件”。</w:t>
      </w:r>
    </w:p>
    <w:p w14:paraId="3149E100">
      <w:pPr>
        <w:keepNext w:val="0"/>
        <w:keepLines w:val="0"/>
        <w:pageBreakBefore w:val="0"/>
        <w:kinsoku/>
        <w:wordWrap/>
        <w:overflowPunct/>
        <w:topLinePunct w:val="0"/>
        <w:autoSpaceDE/>
        <w:autoSpaceDN/>
        <w:bidi w:val="0"/>
        <w:adjustRightInd/>
        <w:snapToGrid/>
        <w:spacing w:line="360" w:lineRule="auto"/>
        <w:ind w:left="0" w:firstLine="482" w:firstLineChars="200"/>
        <w:textAlignment w:val="auto"/>
        <w:rPr>
          <w:rFonts w:ascii="宋体" w:hAnsi="宋体" w:cs="宋体"/>
          <w:bCs/>
          <w:sz w:val="24"/>
          <w:szCs w:val="24"/>
          <w:highlight w:val="none"/>
        </w:rPr>
      </w:pPr>
      <w:r>
        <w:rPr>
          <w:rFonts w:hint="eastAsia" w:ascii="宋体" w:hAnsi="宋体" w:cs="宋体"/>
          <w:b/>
          <w:bCs/>
          <w:sz w:val="24"/>
          <w:szCs w:val="24"/>
          <w:highlight w:val="none"/>
        </w:rPr>
        <w:t>三、</w:t>
      </w:r>
      <w:r>
        <w:rPr>
          <w:rFonts w:hint="eastAsia" w:ascii="宋体" w:hAnsi="宋体" w:cs="宋体"/>
          <w:b/>
          <w:sz w:val="24"/>
          <w:szCs w:val="24"/>
          <w:highlight w:val="none"/>
        </w:rPr>
        <w:t>获取采购文件</w:t>
      </w:r>
    </w:p>
    <w:p w14:paraId="28227DA8">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cs="宋体"/>
          <w:bCs/>
          <w:sz w:val="24"/>
          <w:szCs w:val="24"/>
          <w:highlight w:val="none"/>
        </w:rPr>
      </w:pPr>
      <w:r>
        <w:rPr>
          <w:rFonts w:hint="eastAsia" w:ascii="宋体" w:hAnsi="宋体" w:cs="宋体"/>
          <w:bCs/>
          <w:sz w:val="24"/>
          <w:szCs w:val="24"/>
          <w:highlight w:val="none"/>
        </w:rPr>
        <w:t>1、获取时间：</w:t>
      </w:r>
      <w:r>
        <w:rPr>
          <w:rFonts w:hint="eastAsia" w:ascii="宋体" w:hAnsi="宋体" w:cs="宋体"/>
          <w:bCs/>
          <w:sz w:val="24"/>
          <w:szCs w:val="24"/>
          <w:highlight w:val="none"/>
          <w:u w:val="single"/>
        </w:rPr>
        <w:t>202</w:t>
      </w:r>
      <w:r>
        <w:rPr>
          <w:rFonts w:hint="eastAsia" w:ascii="宋体" w:hAnsi="宋体" w:cs="宋体"/>
          <w:bCs/>
          <w:sz w:val="24"/>
          <w:szCs w:val="24"/>
          <w:highlight w:val="none"/>
          <w:u w:val="single"/>
          <w:lang w:val="en-US" w:eastAsia="zh-CN"/>
        </w:rPr>
        <w:t>5</w:t>
      </w:r>
      <w:r>
        <w:rPr>
          <w:rFonts w:hint="eastAsia" w:ascii="宋体" w:hAnsi="宋体" w:cs="宋体"/>
          <w:bCs/>
          <w:sz w:val="24"/>
          <w:szCs w:val="24"/>
          <w:highlight w:val="none"/>
          <w:u w:val="single"/>
        </w:rPr>
        <w:t>年</w:t>
      </w:r>
      <w:r>
        <w:rPr>
          <w:rFonts w:hint="eastAsia" w:ascii="宋体" w:hAnsi="宋体" w:cs="宋体"/>
          <w:bCs/>
          <w:sz w:val="24"/>
          <w:szCs w:val="24"/>
          <w:highlight w:val="none"/>
          <w:u w:val="single"/>
          <w:lang w:val="en-US" w:eastAsia="zh-CN"/>
        </w:rPr>
        <w:t>7</w:t>
      </w:r>
      <w:r>
        <w:rPr>
          <w:rFonts w:hint="eastAsia" w:ascii="宋体" w:hAnsi="宋体" w:cs="宋体"/>
          <w:bCs/>
          <w:sz w:val="24"/>
          <w:szCs w:val="24"/>
          <w:highlight w:val="none"/>
          <w:u w:val="single"/>
        </w:rPr>
        <w:t>月</w:t>
      </w:r>
      <w:r>
        <w:rPr>
          <w:rFonts w:hint="eastAsia" w:ascii="宋体" w:hAnsi="宋体" w:cs="宋体"/>
          <w:bCs/>
          <w:sz w:val="24"/>
          <w:szCs w:val="24"/>
          <w:highlight w:val="none"/>
          <w:u w:val="single"/>
          <w:lang w:val="en-US" w:eastAsia="zh-CN"/>
        </w:rPr>
        <w:t>7</w:t>
      </w:r>
      <w:r>
        <w:rPr>
          <w:rFonts w:hint="eastAsia" w:ascii="宋体" w:hAnsi="宋体" w:cs="宋体"/>
          <w:bCs/>
          <w:sz w:val="24"/>
          <w:szCs w:val="24"/>
          <w:highlight w:val="none"/>
          <w:u w:val="single"/>
        </w:rPr>
        <w:t>日起至2025年</w:t>
      </w:r>
      <w:r>
        <w:rPr>
          <w:rFonts w:hint="eastAsia" w:ascii="宋体" w:hAnsi="宋体" w:cs="宋体"/>
          <w:bCs/>
          <w:sz w:val="24"/>
          <w:szCs w:val="24"/>
          <w:highlight w:val="none"/>
          <w:u w:val="single"/>
          <w:lang w:val="en-US" w:eastAsia="zh-CN"/>
        </w:rPr>
        <w:t>7</w:t>
      </w:r>
      <w:r>
        <w:rPr>
          <w:rFonts w:hint="eastAsia" w:ascii="宋体" w:hAnsi="宋体" w:cs="宋体"/>
          <w:bCs/>
          <w:sz w:val="24"/>
          <w:szCs w:val="24"/>
          <w:highlight w:val="none"/>
          <w:u w:val="single"/>
        </w:rPr>
        <w:t>月</w:t>
      </w:r>
      <w:r>
        <w:rPr>
          <w:rFonts w:hint="eastAsia" w:ascii="宋体" w:hAnsi="宋体" w:cs="宋体"/>
          <w:bCs/>
          <w:sz w:val="24"/>
          <w:szCs w:val="24"/>
          <w:highlight w:val="none"/>
          <w:u w:val="single"/>
          <w:lang w:val="en-US" w:eastAsia="zh-CN"/>
        </w:rPr>
        <w:t>15</w:t>
      </w:r>
      <w:r>
        <w:rPr>
          <w:rFonts w:hint="eastAsia" w:ascii="宋体" w:hAnsi="宋体" w:cs="宋体"/>
          <w:bCs/>
          <w:sz w:val="24"/>
          <w:szCs w:val="24"/>
          <w:highlight w:val="none"/>
          <w:u w:val="single"/>
        </w:rPr>
        <w:t>日</w:t>
      </w:r>
      <w:r>
        <w:rPr>
          <w:rFonts w:hint="eastAsia" w:ascii="宋体" w:hAnsi="宋体" w:cs="宋体"/>
          <w:bCs/>
          <w:sz w:val="24"/>
          <w:szCs w:val="24"/>
          <w:highlight w:val="none"/>
        </w:rPr>
        <w:t>。</w:t>
      </w:r>
    </w:p>
    <w:p w14:paraId="5EA7CD38">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cs="宋体"/>
          <w:bCs/>
          <w:sz w:val="24"/>
          <w:szCs w:val="24"/>
          <w:highlight w:val="none"/>
        </w:rPr>
      </w:pPr>
      <w:r>
        <w:rPr>
          <w:rFonts w:hint="eastAsia" w:ascii="宋体" w:hAnsi="宋体" w:cs="宋体"/>
          <w:sz w:val="24"/>
          <w:szCs w:val="24"/>
          <w:highlight w:val="none"/>
        </w:rPr>
        <w:t>2、地点：</w:t>
      </w:r>
      <w:r>
        <w:rPr>
          <w:rFonts w:hint="eastAsia" w:ascii="宋体" w:hAnsi="宋体" w:cs="宋体"/>
          <w:bCs/>
          <w:sz w:val="24"/>
          <w:szCs w:val="24"/>
          <w:highlight w:val="none"/>
        </w:rPr>
        <w:t>在南通市公安局官网（http://gaj.nantong.gov.cn/ntsgaj/zfcg/zfcg.html）公示公告--政府采购获知本项目采购信息。</w:t>
      </w:r>
    </w:p>
    <w:p w14:paraId="7E2B4DED">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cs="宋体"/>
          <w:bCs/>
          <w:sz w:val="24"/>
          <w:szCs w:val="24"/>
          <w:highlight w:val="none"/>
        </w:rPr>
      </w:pPr>
      <w:r>
        <w:rPr>
          <w:rFonts w:hint="eastAsia" w:ascii="宋体" w:hAnsi="宋体" w:cs="宋体"/>
          <w:sz w:val="24"/>
          <w:szCs w:val="24"/>
          <w:highlight w:val="none"/>
        </w:rPr>
        <w:t>3、方式：自行下载</w:t>
      </w:r>
    </w:p>
    <w:p w14:paraId="0DDB4D88">
      <w:pPr>
        <w:keepNext w:val="0"/>
        <w:keepLines w:val="0"/>
        <w:pageBreakBefore w:val="0"/>
        <w:kinsoku/>
        <w:wordWrap/>
        <w:overflowPunct/>
        <w:topLinePunct w:val="0"/>
        <w:autoSpaceDE/>
        <w:autoSpaceDN/>
        <w:bidi w:val="0"/>
        <w:adjustRightInd/>
        <w:snapToGrid/>
        <w:spacing w:line="360" w:lineRule="auto"/>
        <w:ind w:left="0" w:firstLine="482" w:firstLineChars="200"/>
        <w:textAlignment w:val="auto"/>
        <w:rPr>
          <w:rFonts w:ascii="宋体" w:hAnsi="宋体" w:cs="宋体"/>
          <w:b/>
          <w:bCs/>
          <w:sz w:val="24"/>
          <w:szCs w:val="24"/>
          <w:highlight w:val="none"/>
        </w:rPr>
      </w:pPr>
      <w:r>
        <w:rPr>
          <w:rFonts w:hint="eastAsia" w:ascii="宋体" w:hAnsi="宋体" w:cs="宋体"/>
          <w:b/>
          <w:bCs/>
          <w:sz w:val="24"/>
          <w:szCs w:val="24"/>
          <w:highlight w:val="none"/>
        </w:rPr>
        <w:t>四、响应文件提交</w:t>
      </w:r>
    </w:p>
    <w:p w14:paraId="662B1E7D">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cs="宋体"/>
          <w:sz w:val="24"/>
          <w:szCs w:val="24"/>
          <w:highlight w:val="none"/>
        </w:rPr>
      </w:pPr>
      <w:r>
        <w:rPr>
          <w:rFonts w:hint="eastAsia" w:ascii="宋体" w:hAnsi="宋体" w:cs="宋体"/>
          <w:sz w:val="24"/>
          <w:szCs w:val="24"/>
          <w:highlight w:val="none"/>
        </w:rPr>
        <w:t>1、响应文件接收截止时间：2025年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18</w:t>
      </w:r>
      <w:r>
        <w:rPr>
          <w:rFonts w:hint="eastAsia" w:ascii="宋体" w:hAnsi="宋体" w:cs="宋体"/>
          <w:sz w:val="24"/>
          <w:szCs w:val="24"/>
          <w:highlight w:val="none"/>
        </w:rPr>
        <w:t>日</w:t>
      </w:r>
      <w:r>
        <w:rPr>
          <w:rFonts w:hint="eastAsia" w:ascii="宋体" w:hAnsi="宋体" w:cs="宋体"/>
          <w:sz w:val="24"/>
          <w:szCs w:val="24"/>
          <w:highlight w:val="none"/>
          <w:lang w:val="en-US" w:eastAsia="zh-CN"/>
        </w:rPr>
        <w:t>9</w:t>
      </w:r>
      <w:r>
        <w:rPr>
          <w:rFonts w:hint="eastAsia" w:ascii="宋体" w:hAnsi="宋体" w:cs="宋体"/>
          <w:sz w:val="24"/>
          <w:szCs w:val="24"/>
          <w:highlight w:val="none"/>
        </w:rPr>
        <w:t>时30分（北京时间）。逾时，采购人将拒绝接受响应文件纸质文档。</w:t>
      </w:r>
    </w:p>
    <w:p w14:paraId="2B7ED5E0">
      <w:pPr>
        <w:keepNext w:val="0"/>
        <w:keepLines w:val="0"/>
        <w:pageBreakBefore w:val="0"/>
        <w:kinsoku/>
        <w:wordWrap/>
        <w:overflowPunct/>
        <w:topLinePunct w:val="0"/>
        <w:autoSpaceDE/>
        <w:autoSpaceDN/>
        <w:bidi w:val="0"/>
        <w:adjustRightInd/>
        <w:snapToGrid/>
        <w:spacing w:line="360" w:lineRule="auto"/>
        <w:ind w:left="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2、响应文件递交地址：</w:t>
      </w:r>
      <w:r>
        <w:rPr>
          <w:rFonts w:hint="eastAsia" w:ascii="宋体" w:hAnsi="宋体" w:eastAsia="宋体" w:cs="宋体"/>
          <w:sz w:val="24"/>
          <w:szCs w:val="24"/>
          <w:highlight w:val="none"/>
        </w:rPr>
        <w:t>南通市崇川区青年中路99号市公安局南门招标室</w:t>
      </w:r>
      <w:r>
        <w:rPr>
          <w:rFonts w:hint="eastAsia" w:ascii="宋体" w:hAnsi="宋体" w:cs="宋体"/>
          <w:sz w:val="24"/>
          <w:szCs w:val="24"/>
          <w:highlight w:val="none"/>
        </w:rPr>
        <w:t>，如有变动另行通知。</w:t>
      </w:r>
    </w:p>
    <w:p w14:paraId="5DC1DD5A">
      <w:pPr>
        <w:keepNext w:val="0"/>
        <w:keepLines w:val="0"/>
        <w:pageBreakBefore w:val="0"/>
        <w:kinsoku/>
        <w:wordWrap/>
        <w:overflowPunct/>
        <w:topLinePunct w:val="0"/>
        <w:autoSpaceDE/>
        <w:autoSpaceDN/>
        <w:bidi w:val="0"/>
        <w:adjustRightInd/>
        <w:snapToGrid/>
        <w:spacing w:line="360" w:lineRule="auto"/>
        <w:ind w:left="0" w:firstLine="482" w:firstLineChars="200"/>
        <w:textAlignment w:val="auto"/>
        <w:rPr>
          <w:rFonts w:ascii="宋体" w:hAnsi="宋体" w:cs="宋体"/>
          <w:b/>
          <w:bCs/>
          <w:sz w:val="24"/>
          <w:szCs w:val="24"/>
          <w:highlight w:val="none"/>
        </w:rPr>
      </w:pPr>
      <w:r>
        <w:rPr>
          <w:rFonts w:hint="eastAsia" w:ascii="宋体" w:hAnsi="宋体" w:cs="宋体"/>
          <w:b/>
          <w:bCs/>
          <w:sz w:val="24"/>
          <w:szCs w:val="24"/>
          <w:highlight w:val="none"/>
        </w:rPr>
        <w:t>五、</w:t>
      </w:r>
      <w:r>
        <w:rPr>
          <w:rFonts w:hint="eastAsia" w:ascii="宋体" w:hAnsi="宋体" w:cs="宋体"/>
          <w:b/>
          <w:sz w:val="24"/>
          <w:szCs w:val="24"/>
          <w:highlight w:val="none"/>
        </w:rPr>
        <w:t>开启</w:t>
      </w:r>
    </w:p>
    <w:p w14:paraId="3838F815">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cs="宋体"/>
          <w:sz w:val="24"/>
          <w:szCs w:val="24"/>
          <w:highlight w:val="none"/>
        </w:rPr>
      </w:pPr>
      <w:r>
        <w:rPr>
          <w:rFonts w:hint="eastAsia" w:ascii="宋体" w:hAnsi="宋体" w:cs="宋体"/>
          <w:sz w:val="24"/>
          <w:szCs w:val="24"/>
          <w:highlight w:val="none"/>
        </w:rPr>
        <w:t>时间：2025年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18</w:t>
      </w:r>
      <w:r>
        <w:rPr>
          <w:rFonts w:hint="eastAsia" w:ascii="宋体" w:hAnsi="宋体" w:cs="宋体"/>
          <w:sz w:val="24"/>
          <w:szCs w:val="24"/>
          <w:highlight w:val="none"/>
        </w:rPr>
        <w:t>日</w:t>
      </w:r>
      <w:r>
        <w:rPr>
          <w:rFonts w:hint="eastAsia" w:ascii="宋体" w:hAnsi="宋体" w:cs="宋体"/>
          <w:sz w:val="24"/>
          <w:szCs w:val="24"/>
          <w:highlight w:val="none"/>
          <w:lang w:val="en-US" w:eastAsia="zh-CN"/>
        </w:rPr>
        <w:t>9</w:t>
      </w:r>
      <w:r>
        <w:rPr>
          <w:rFonts w:hint="eastAsia" w:ascii="宋体" w:hAnsi="宋体" w:cs="宋体"/>
          <w:sz w:val="24"/>
          <w:szCs w:val="24"/>
          <w:highlight w:val="none"/>
        </w:rPr>
        <w:t>时30分（北京时间）。</w:t>
      </w:r>
    </w:p>
    <w:p w14:paraId="21810E4B">
      <w:pPr>
        <w:keepNext w:val="0"/>
        <w:keepLines w:val="0"/>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地点：南通市崇川区青年中路</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9号市公安局南门招标室，如有变动另行通知。</w:t>
      </w:r>
    </w:p>
    <w:p w14:paraId="58431535">
      <w:pPr>
        <w:keepNext w:val="0"/>
        <w:keepLines w:val="0"/>
        <w:pageBreakBefore w:val="0"/>
        <w:kinsoku/>
        <w:wordWrap/>
        <w:overflowPunct/>
        <w:topLinePunct w:val="0"/>
        <w:autoSpaceDE/>
        <w:autoSpaceDN/>
        <w:bidi w:val="0"/>
        <w:adjustRightInd/>
        <w:snapToGrid/>
        <w:spacing w:line="360" w:lineRule="auto"/>
        <w:ind w:left="0" w:firstLine="482" w:firstLineChars="200"/>
        <w:textAlignment w:val="auto"/>
        <w:rPr>
          <w:rFonts w:ascii="宋体" w:hAnsi="宋体" w:cs="宋体"/>
          <w:b/>
          <w:bCs/>
          <w:sz w:val="24"/>
          <w:szCs w:val="24"/>
          <w:highlight w:val="none"/>
        </w:rPr>
      </w:pPr>
      <w:r>
        <w:rPr>
          <w:rFonts w:hint="eastAsia" w:ascii="宋体" w:hAnsi="宋体" w:cs="宋体"/>
          <w:b/>
          <w:bCs/>
          <w:sz w:val="24"/>
          <w:szCs w:val="24"/>
          <w:highlight w:val="none"/>
        </w:rPr>
        <w:t>六、公告期限</w:t>
      </w:r>
    </w:p>
    <w:p w14:paraId="5D007BC1">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cs="宋体"/>
          <w:sz w:val="24"/>
          <w:szCs w:val="24"/>
          <w:highlight w:val="none"/>
        </w:rPr>
      </w:pPr>
      <w:r>
        <w:rPr>
          <w:rFonts w:hint="eastAsia" w:ascii="宋体" w:hAnsi="宋体" w:cs="宋体"/>
          <w:sz w:val="24"/>
          <w:szCs w:val="24"/>
          <w:highlight w:val="none"/>
        </w:rPr>
        <w:t>自本公告发布之日起3个工作日。</w:t>
      </w:r>
    </w:p>
    <w:p w14:paraId="356AD003">
      <w:pPr>
        <w:keepNext w:val="0"/>
        <w:keepLines w:val="0"/>
        <w:pageBreakBefore w:val="0"/>
        <w:kinsoku/>
        <w:wordWrap/>
        <w:overflowPunct/>
        <w:topLinePunct w:val="0"/>
        <w:autoSpaceDE/>
        <w:autoSpaceDN/>
        <w:bidi w:val="0"/>
        <w:adjustRightInd/>
        <w:snapToGrid/>
        <w:spacing w:line="360" w:lineRule="auto"/>
        <w:ind w:left="0" w:firstLine="482" w:firstLineChars="200"/>
        <w:textAlignment w:val="auto"/>
        <w:rPr>
          <w:rFonts w:ascii="宋体" w:hAnsi="宋体" w:cs="宋体"/>
          <w:b/>
          <w:bCs/>
          <w:sz w:val="24"/>
          <w:szCs w:val="24"/>
          <w:highlight w:val="none"/>
        </w:rPr>
      </w:pPr>
      <w:r>
        <w:rPr>
          <w:rFonts w:hint="eastAsia" w:ascii="宋体" w:hAnsi="宋体" w:cs="宋体"/>
          <w:b/>
          <w:bCs/>
          <w:sz w:val="24"/>
          <w:szCs w:val="24"/>
          <w:highlight w:val="none"/>
        </w:rPr>
        <w:t>七、其他补充事宜：</w:t>
      </w:r>
    </w:p>
    <w:p w14:paraId="0048E15D">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cs="宋体"/>
          <w:bCs/>
          <w:sz w:val="24"/>
          <w:szCs w:val="24"/>
          <w:highlight w:val="none"/>
        </w:rPr>
      </w:pPr>
      <w:r>
        <w:rPr>
          <w:rFonts w:hint="eastAsia" w:ascii="宋体" w:hAnsi="宋体" w:cs="宋体"/>
          <w:bCs/>
          <w:sz w:val="24"/>
          <w:szCs w:val="24"/>
          <w:highlight w:val="none"/>
        </w:rPr>
        <w:t>1、本项目不收取磋商保证金，采购文件中涉及磋商保证金的事项，均按免收保证金。</w:t>
      </w:r>
    </w:p>
    <w:p w14:paraId="1C6EFEB1">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cs="宋体"/>
          <w:sz w:val="24"/>
          <w:szCs w:val="24"/>
          <w:highlight w:val="none"/>
        </w:rPr>
      </w:pPr>
      <w:r>
        <w:rPr>
          <w:rFonts w:hint="eastAsia" w:ascii="宋体" w:hAnsi="宋体" w:cs="宋体"/>
          <w:sz w:val="24"/>
          <w:szCs w:val="24"/>
          <w:highlight w:val="none"/>
        </w:rPr>
        <w:t>2、履约保证金：免收</w:t>
      </w:r>
    </w:p>
    <w:p w14:paraId="605CA50C">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cs="宋体"/>
          <w:sz w:val="24"/>
          <w:szCs w:val="24"/>
          <w:highlight w:val="none"/>
        </w:rPr>
      </w:pPr>
      <w:r>
        <w:rPr>
          <w:rFonts w:hint="eastAsia" w:ascii="宋体" w:hAnsi="宋体" w:cs="宋体"/>
          <w:sz w:val="24"/>
          <w:szCs w:val="24"/>
          <w:highlight w:val="none"/>
        </w:rPr>
        <w:t>3、对项目需求部分（供应商其他资格要求、项目需求、评分标准）的询问、质疑请向采购人提出，由采购人负责答复；对项目磋商文件其它部分的询问请向采购人或采购代理提出。</w:t>
      </w:r>
    </w:p>
    <w:p w14:paraId="73D0119F">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cs="宋体"/>
          <w:sz w:val="24"/>
          <w:szCs w:val="24"/>
          <w:highlight w:val="none"/>
        </w:rPr>
      </w:pPr>
      <w:r>
        <w:rPr>
          <w:rFonts w:hint="eastAsia" w:ascii="宋体" w:hAnsi="宋体" w:cs="宋体"/>
          <w:sz w:val="24"/>
          <w:szCs w:val="24"/>
          <w:highlight w:val="none"/>
        </w:rPr>
        <w:t>4、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366EADB0">
      <w:pPr>
        <w:keepNext w:val="0"/>
        <w:keepLines w:val="0"/>
        <w:pageBreakBefore w:val="0"/>
        <w:kinsoku/>
        <w:wordWrap/>
        <w:overflowPunct/>
        <w:topLinePunct w:val="0"/>
        <w:autoSpaceDE/>
        <w:autoSpaceDN/>
        <w:bidi w:val="0"/>
        <w:adjustRightInd/>
        <w:snapToGrid/>
        <w:spacing w:line="360" w:lineRule="auto"/>
        <w:ind w:left="0" w:firstLine="482" w:firstLineChars="200"/>
        <w:textAlignment w:val="auto"/>
        <w:rPr>
          <w:rFonts w:ascii="宋体" w:hAnsi="宋体" w:cs="宋体"/>
          <w:b/>
          <w:bCs/>
          <w:sz w:val="24"/>
          <w:szCs w:val="24"/>
          <w:highlight w:val="none"/>
        </w:rPr>
      </w:pPr>
      <w:r>
        <w:rPr>
          <w:rFonts w:hint="eastAsia" w:ascii="宋体" w:hAnsi="宋体" w:cs="宋体"/>
          <w:b/>
          <w:bCs/>
          <w:sz w:val="24"/>
          <w:szCs w:val="24"/>
          <w:highlight w:val="none"/>
        </w:rPr>
        <w:t>5、本项目为</w:t>
      </w:r>
      <w:r>
        <w:rPr>
          <w:rFonts w:hint="eastAsia" w:ascii="宋体" w:hAnsi="宋体" w:cs="宋体"/>
          <w:b/>
          <w:bCs/>
          <w:sz w:val="24"/>
          <w:szCs w:val="24"/>
          <w:highlight w:val="none"/>
          <w:lang w:val="en-US" w:eastAsia="zh-CN"/>
        </w:rPr>
        <w:t>非政府采购</w:t>
      </w:r>
      <w:r>
        <w:rPr>
          <w:rFonts w:hint="eastAsia" w:ascii="宋体" w:hAnsi="宋体" w:cs="宋体"/>
          <w:b/>
          <w:bCs/>
          <w:sz w:val="24"/>
          <w:szCs w:val="24"/>
          <w:highlight w:val="none"/>
        </w:rPr>
        <w:t>项目，相关要求参照政府采购，不执行政府采购法规定的方式和程序。</w:t>
      </w:r>
    </w:p>
    <w:p w14:paraId="1836B328">
      <w:pPr>
        <w:keepNext w:val="0"/>
        <w:keepLines w:val="0"/>
        <w:pageBreakBefore w:val="0"/>
        <w:kinsoku/>
        <w:wordWrap/>
        <w:overflowPunct/>
        <w:topLinePunct w:val="0"/>
        <w:autoSpaceDE/>
        <w:autoSpaceDN/>
        <w:bidi w:val="0"/>
        <w:adjustRightInd/>
        <w:snapToGrid/>
        <w:spacing w:line="360" w:lineRule="auto"/>
        <w:ind w:left="0" w:firstLine="482" w:firstLineChars="200"/>
        <w:textAlignment w:val="auto"/>
        <w:rPr>
          <w:rFonts w:ascii="宋体" w:hAnsi="宋体" w:cs="宋体"/>
          <w:b/>
          <w:sz w:val="24"/>
          <w:szCs w:val="24"/>
          <w:highlight w:val="none"/>
        </w:rPr>
      </w:pPr>
      <w:r>
        <w:rPr>
          <w:rFonts w:hint="eastAsia" w:ascii="宋体" w:hAnsi="宋体" w:cs="宋体"/>
          <w:b/>
          <w:sz w:val="24"/>
          <w:szCs w:val="24"/>
          <w:highlight w:val="none"/>
        </w:rPr>
        <w:t>八、凡对本次采购提出询问，请按以下方式联系</w:t>
      </w:r>
    </w:p>
    <w:p w14:paraId="5C973390">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采购人信息</w:t>
      </w:r>
    </w:p>
    <w:p w14:paraId="20A03C3B">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rPr>
        <w:t>名称：</w:t>
      </w:r>
      <w:r>
        <w:rPr>
          <w:rFonts w:hint="eastAsia" w:ascii="宋体" w:hAnsi="宋体" w:cs="宋体"/>
          <w:sz w:val="24"/>
          <w:szCs w:val="24"/>
          <w:highlight w:val="none"/>
          <w:lang w:eastAsia="zh-CN"/>
        </w:rPr>
        <w:t>南通公安大病特困救助基金会</w:t>
      </w:r>
    </w:p>
    <w:p w14:paraId="307458E8">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kern w:val="0"/>
          <w:sz w:val="24"/>
          <w:szCs w:val="24"/>
          <w:highlight w:val="none"/>
        </w:rPr>
      </w:pPr>
      <w:r>
        <w:rPr>
          <w:rFonts w:hint="eastAsia" w:ascii="宋体" w:hAnsi="宋体" w:cs="宋体"/>
          <w:sz w:val="24"/>
          <w:szCs w:val="24"/>
          <w:highlight w:val="none"/>
        </w:rPr>
        <w:t>地址：南通市青年东路99号</w:t>
      </w:r>
    </w:p>
    <w:p w14:paraId="30D50207">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olor w:val="000000"/>
          <w:sz w:val="24"/>
          <w:szCs w:val="24"/>
          <w:highlight w:val="none"/>
          <w:lang w:eastAsia="zh-CN"/>
        </w:rPr>
      </w:pPr>
      <w:r>
        <w:rPr>
          <w:rFonts w:hint="eastAsia" w:ascii="宋体" w:hAnsi="宋体"/>
          <w:color w:val="000000"/>
          <w:sz w:val="24"/>
          <w:szCs w:val="24"/>
          <w:highlight w:val="none"/>
        </w:rPr>
        <w:t>联系人：</w:t>
      </w:r>
      <w:r>
        <w:rPr>
          <w:rFonts w:hint="eastAsia" w:ascii="宋体" w:hAnsi="宋体"/>
          <w:color w:val="000000"/>
          <w:sz w:val="24"/>
          <w:szCs w:val="24"/>
          <w:highlight w:val="none"/>
          <w:lang w:val="en-US" w:eastAsia="zh-CN"/>
        </w:rPr>
        <w:t>杭女士</w:t>
      </w:r>
    </w:p>
    <w:p w14:paraId="731F23A7">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olor w:val="000000"/>
          <w:sz w:val="24"/>
          <w:szCs w:val="24"/>
          <w:highlight w:val="none"/>
        </w:rPr>
      </w:pPr>
      <w:r>
        <w:rPr>
          <w:rFonts w:hint="eastAsia" w:ascii="宋体" w:hAnsi="宋体"/>
          <w:color w:val="000000"/>
          <w:sz w:val="24"/>
          <w:szCs w:val="24"/>
          <w:highlight w:val="none"/>
        </w:rPr>
        <w:t>联系方式：13861993949</w:t>
      </w:r>
    </w:p>
    <w:p w14:paraId="06AC945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招标代理机构</w:t>
      </w:r>
      <w:r>
        <w:rPr>
          <w:rFonts w:hint="eastAsia" w:ascii="宋体" w:hAnsi="宋体" w:eastAsia="宋体" w:cs="宋体"/>
          <w:color w:val="auto"/>
          <w:sz w:val="24"/>
          <w:szCs w:val="24"/>
          <w:highlight w:val="none"/>
        </w:rPr>
        <w:t>信息</w:t>
      </w:r>
    </w:p>
    <w:p w14:paraId="7A02EF5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eastAsia="zh-CN"/>
        </w:rPr>
        <w:t>中通服网盈科技有限公司</w:t>
      </w:r>
    </w:p>
    <w:p w14:paraId="78F961EF">
      <w:pPr>
        <w:keepNext w:val="0"/>
        <w:keepLines w:val="0"/>
        <w:pageBreakBefore w:val="0"/>
        <w:widowControl w:val="0"/>
        <w:kinsoku/>
        <w:wordWrap/>
        <w:overflowPunct/>
        <w:topLinePunct w:val="0"/>
        <w:bidi w:val="0"/>
        <w:adjustRightInd/>
        <w:snapToGrid/>
        <w:spacing w:line="360" w:lineRule="auto"/>
        <w:ind w:left="0" w:firstLine="480" w:firstLineChars="200"/>
        <w:contextualSpacing/>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地址：南通市崇川区环城南路11号</w:t>
      </w:r>
    </w:p>
    <w:p w14:paraId="55067975">
      <w:pPr>
        <w:keepNext w:val="0"/>
        <w:keepLines w:val="0"/>
        <w:pageBreakBefore w:val="0"/>
        <w:widowControl w:val="0"/>
        <w:kinsoku/>
        <w:wordWrap/>
        <w:overflowPunct/>
        <w:topLinePunct w:val="0"/>
        <w:bidi w:val="0"/>
        <w:adjustRightInd/>
        <w:snapToGrid/>
        <w:spacing w:line="360" w:lineRule="auto"/>
        <w:ind w:left="0" w:firstLine="480" w:firstLineChars="200"/>
        <w:contextualSpacing/>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联系人：陈珺 尹淑瑜 朱益龙 </w:t>
      </w:r>
    </w:p>
    <w:p w14:paraId="45DEB564">
      <w:pPr>
        <w:keepNext w:val="0"/>
        <w:keepLines w:val="0"/>
        <w:pageBreakBefore w:val="0"/>
        <w:widowControl w:val="0"/>
        <w:kinsoku/>
        <w:wordWrap/>
        <w:overflowPunct/>
        <w:topLinePunct w:val="0"/>
        <w:bidi w:val="0"/>
        <w:adjustRightInd/>
        <w:snapToGrid/>
        <w:spacing w:line="360" w:lineRule="auto"/>
        <w:ind w:left="0" w:firstLine="480" w:firstLineChars="200"/>
        <w:contextualSpacing/>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联系电话：15358700202  0513-85599000</w:t>
      </w:r>
    </w:p>
    <w:p w14:paraId="6FC2F4A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项目联系方式</w:t>
      </w:r>
    </w:p>
    <w:p w14:paraId="2C44F898">
      <w:pPr>
        <w:keepNext w:val="0"/>
        <w:keepLines w:val="0"/>
        <w:pageBreakBefore w:val="0"/>
        <w:widowControl w:val="0"/>
        <w:kinsoku/>
        <w:wordWrap/>
        <w:overflowPunct/>
        <w:topLinePunct w:val="0"/>
        <w:bidi w:val="0"/>
        <w:adjustRightInd/>
        <w:snapToGrid/>
        <w:spacing w:line="360" w:lineRule="auto"/>
        <w:ind w:left="0" w:firstLine="480" w:firstLineChars="200"/>
        <w:contextualSpacing/>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联系人：陈珺 尹淑瑜 朱益龙 </w:t>
      </w:r>
    </w:p>
    <w:p w14:paraId="51D0B3EA">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hint="eastAsia" w:ascii="宋体" w:hAnsi="宋体" w:eastAsia="宋体" w:cs="宋体"/>
          <w:b/>
          <w:w w:val="80"/>
          <w:sz w:val="24"/>
          <w:szCs w:val="24"/>
          <w:highlight w:val="none"/>
        </w:rPr>
      </w:pPr>
      <w:r>
        <w:rPr>
          <w:rFonts w:hint="eastAsia" w:ascii="宋体" w:hAnsi="宋体" w:eastAsia="宋体" w:cs="宋体"/>
          <w:sz w:val="24"/>
          <w:szCs w:val="24"/>
          <w:highlight w:val="none"/>
        </w:rPr>
        <w:t>联系电话：15358700202  0513-85599000</w:t>
      </w:r>
    </w:p>
    <w:p w14:paraId="3627AF40">
      <w:pPr>
        <w:spacing w:line="440" w:lineRule="exact"/>
        <w:ind w:firstLine="480"/>
        <w:jc w:val="left"/>
        <w:rPr>
          <w:rFonts w:ascii="Times New Roman" w:hAnsi="Times New Roman"/>
          <w:sz w:val="24"/>
          <w:szCs w:val="24"/>
          <w:highlight w:val="none"/>
        </w:rPr>
      </w:pPr>
      <w:r>
        <w:rPr>
          <w:rFonts w:hint="eastAsia" w:ascii="Times New Roman" w:hAnsi="Times New Roman"/>
          <w:sz w:val="24"/>
          <w:szCs w:val="24"/>
          <w:highlight w:val="none"/>
        </w:rPr>
        <w:br w:type="page"/>
      </w:r>
    </w:p>
    <w:p w14:paraId="25CD69FB">
      <w:pPr>
        <w:keepNext w:val="0"/>
        <w:keepLines w:val="0"/>
        <w:pageBreakBefore w:val="0"/>
        <w:widowControl w:val="0"/>
        <w:kinsoku/>
        <w:wordWrap/>
        <w:overflowPunct/>
        <w:topLinePunct w:val="0"/>
        <w:autoSpaceDE/>
        <w:autoSpaceDN/>
        <w:bidi w:val="0"/>
        <w:adjustRightInd/>
        <w:snapToGrid/>
        <w:spacing w:line="460" w:lineRule="exact"/>
        <w:ind w:firstLine="480"/>
        <w:jc w:val="center"/>
        <w:textAlignment w:val="auto"/>
        <w:rPr>
          <w:rFonts w:ascii="Times New Roman" w:hAnsi="Times New Roman"/>
          <w:sz w:val="48"/>
          <w:szCs w:val="44"/>
          <w:highlight w:val="none"/>
        </w:rPr>
      </w:pPr>
      <w:r>
        <w:rPr>
          <w:rFonts w:hint="eastAsia" w:ascii="Times New Roman" w:hAnsi="Times New Roman"/>
          <w:sz w:val="48"/>
          <w:szCs w:val="44"/>
          <w:highlight w:val="none"/>
        </w:rPr>
        <w:t>第二章 供应商须知</w:t>
      </w:r>
    </w:p>
    <w:p w14:paraId="64444336">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ascii="Times New Roman" w:hAnsi="Times New Roman" w:cs="宋体"/>
          <w:b/>
          <w:bCs/>
          <w:sz w:val="24"/>
          <w:szCs w:val="24"/>
          <w:highlight w:val="none"/>
        </w:rPr>
      </w:pPr>
      <w:r>
        <w:rPr>
          <w:rFonts w:hint="eastAsia" w:ascii="Times New Roman" w:hAnsi="Times New Roman" w:cs="宋体"/>
          <w:b/>
          <w:bCs/>
          <w:sz w:val="24"/>
          <w:szCs w:val="24"/>
          <w:highlight w:val="none"/>
        </w:rPr>
        <w:t>一、说明</w:t>
      </w:r>
    </w:p>
    <w:p w14:paraId="3AEC49A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cs="宋体"/>
          <w:bCs/>
          <w:sz w:val="24"/>
          <w:szCs w:val="24"/>
          <w:highlight w:val="none"/>
        </w:rPr>
      </w:pPr>
      <w:r>
        <w:rPr>
          <w:rFonts w:hint="eastAsia" w:ascii="Times New Roman" w:hAnsi="Times New Roman" w:cs="宋体"/>
          <w:bCs/>
          <w:sz w:val="24"/>
          <w:szCs w:val="24"/>
          <w:highlight w:val="none"/>
        </w:rPr>
        <w:t>1、本竞争性磋商文件仅适用于采购人组织的竞争性磋商采购活动。</w:t>
      </w:r>
    </w:p>
    <w:p w14:paraId="283F44E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cs="宋体"/>
          <w:bCs/>
          <w:sz w:val="24"/>
          <w:szCs w:val="24"/>
          <w:highlight w:val="none"/>
        </w:rPr>
      </w:pPr>
      <w:r>
        <w:rPr>
          <w:rFonts w:hint="eastAsia" w:ascii="Times New Roman" w:hAnsi="Times New Roman" w:cs="宋体"/>
          <w:bCs/>
          <w:sz w:val="24"/>
          <w:szCs w:val="24"/>
          <w:highlight w:val="none"/>
        </w:rPr>
        <w:t>2、竞争性磋商活动及因本次磋商产生的合同受中国法律制约和保护。</w:t>
      </w:r>
    </w:p>
    <w:p w14:paraId="481C662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cs="宋体"/>
          <w:bCs/>
          <w:sz w:val="24"/>
          <w:szCs w:val="24"/>
          <w:highlight w:val="none"/>
        </w:rPr>
      </w:pPr>
      <w:r>
        <w:rPr>
          <w:rFonts w:hint="eastAsia" w:ascii="Times New Roman" w:hAnsi="Times New Roman" w:cs="宋体"/>
          <w:bCs/>
          <w:sz w:val="24"/>
          <w:szCs w:val="24"/>
          <w:highlight w:val="none"/>
        </w:rPr>
        <w:t>3、竞争性磋商文件的解释权属于采购人。</w:t>
      </w:r>
    </w:p>
    <w:p w14:paraId="495D418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cs="宋体"/>
          <w:sz w:val="24"/>
          <w:szCs w:val="24"/>
          <w:highlight w:val="none"/>
        </w:rPr>
      </w:pPr>
      <w:r>
        <w:rPr>
          <w:rFonts w:hint="eastAsia" w:ascii="Times New Roman" w:hAnsi="Times New Roman" w:cs="宋体"/>
          <w:sz w:val="24"/>
          <w:szCs w:val="24"/>
          <w:highlight w:val="none"/>
        </w:rPr>
        <w:t>4、供应商应认真审阅磋商文件中所有的事项、格式、条款和规范要求等，如果供应商没有按照磋商文件要求提交响应文件，或者响应文件没有对磋商文件做出实质性响应，将被拒绝参与项目的磋商。</w:t>
      </w:r>
    </w:p>
    <w:p w14:paraId="6E9C81B4">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ascii="Times New Roman" w:hAnsi="Times New Roman" w:cs="宋体"/>
          <w:b/>
          <w:sz w:val="24"/>
          <w:szCs w:val="24"/>
          <w:highlight w:val="none"/>
        </w:rPr>
      </w:pPr>
      <w:r>
        <w:rPr>
          <w:rFonts w:hint="eastAsia" w:ascii="Times New Roman" w:hAnsi="Times New Roman" w:cs="宋体"/>
          <w:b/>
          <w:sz w:val="24"/>
          <w:szCs w:val="24"/>
          <w:highlight w:val="none"/>
        </w:rPr>
        <w:t>二、磋商文件的澄清、修改、答疑</w:t>
      </w:r>
    </w:p>
    <w:p w14:paraId="0E600B7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cs="宋体"/>
          <w:sz w:val="24"/>
          <w:szCs w:val="24"/>
          <w:highlight w:val="none"/>
        </w:rPr>
      </w:pPr>
      <w:r>
        <w:rPr>
          <w:rFonts w:hint="eastAsia" w:ascii="Times New Roman" w:hAnsi="Times New Roman" w:cs="宋体"/>
          <w:sz w:val="24"/>
          <w:szCs w:val="24"/>
          <w:highlight w:val="none"/>
        </w:rPr>
        <w:t>1、采购人、采购代理机构有权对发出的磋商文件进行必要的澄清、修改或补充。</w:t>
      </w:r>
    </w:p>
    <w:p w14:paraId="2039984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cs="宋体"/>
          <w:sz w:val="24"/>
          <w:szCs w:val="24"/>
          <w:highlight w:val="none"/>
        </w:rPr>
      </w:pPr>
      <w:r>
        <w:rPr>
          <w:rFonts w:hint="eastAsia" w:ascii="Times New Roman" w:hAnsi="Times New Roman" w:cs="宋体"/>
          <w:sz w:val="24"/>
          <w:szCs w:val="24"/>
          <w:highlight w:val="none"/>
        </w:rPr>
        <w:t>2、磋商文件的澄清、修改、补充等内容均以书面明确的形式发布，并以南通市公安局官网发布的信息为准。</w:t>
      </w:r>
    </w:p>
    <w:p w14:paraId="5E2AEE8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cs="宋体"/>
          <w:sz w:val="24"/>
          <w:szCs w:val="24"/>
          <w:highlight w:val="none"/>
        </w:rPr>
      </w:pPr>
      <w:r>
        <w:rPr>
          <w:rFonts w:hint="eastAsia" w:ascii="Times New Roman" w:hAnsi="Times New Roman" w:cs="宋体"/>
          <w:sz w:val="24"/>
          <w:szCs w:val="24"/>
          <w:highlight w:val="none"/>
        </w:rPr>
        <w:t>3、采购人、采购代理机构对磋商文件的澄清、修改将构成磋商文件的一部分，对响应磋商的供应商具有约束力。</w:t>
      </w:r>
    </w:p>
    <w:p w14:paraId="631ECAD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cs="宋体"/>
          <w:sz w:val="24"/>
          <w:szCs w:val="24"/>
          <w:highlight w:val="none"/>
        </w:rPr>
      </w:pPr>
      <w:r>
        <w:rPr>
          <w:rFonts w:hint="eastAsia" w:ascii="Times New Roman" w:hAnsi="Times New Roman" w:cs="宋体"/>
          <w:sz w:val="24"/>
          <w:szCs w:val="24"/>
          <w:highlight w:val="none"/>
        </w:rPr>
        <w:t>4、提交首次响应文件截止之日前，采购人、采购代理机构可以对已发出的磋商文件进行必要的澄清或修改，澄清或者修改的内容作为磋商文件的组成部分。澄清或者修改的内容可能影响到响应文件编制的，采购人、采购代理机构在提交首次响应文件截止时间至少5日前，以书面形式通知所有获取磋商文件的供应商；不足5日的，采购人、采购代理机构顺延提交首次响应文件截止时间。</w:t>
      </w:r>
    </w:p>
    <w:p w14:paraId="4B64D0C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cs="宋体"/>
          <w:sz w:val="24"/>
          <w:szCs w:val="24"/>
          <w:highlight w:val="none"/>
        </w:rPr>
      </w:pPr>
      <w:r>
        <w:rPr>
          <w:rFonts w:hint="eastAsia" w:ascii="Times New Roman" w:hAnsi="Times New Roman" w:cs="宋体"/>
          <w:sz w:val="24"/>
          <w:szCs w:val="24"/>
          <w:highlight w:val="none"/>
        </w:rPr>
        <w:t>5、除非采购人、采购代理机构以书面的形式对磋商文件作出澄清、修改及补充，供应商对涉及磋商文件的任何推论、理解和结论所造成的结果，均由供应商自负。</w:t>
      </w:r>
    </w:p>
    <w:p w14:paraId="0F70E87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cs="宋体"/>
          <w:sz w:val="24"/>
          <w:szCs w:val="24"/>
          <w:highlight w:val="none"/>
        </w:rPr>
      </w:pPr>
      <w:r>
        <w:rPr>
          <w:rFonts w:hint="eastAsia" w:ascii="Times New Roman" w:hAnsi="Times New Roman" w:cs="宋体"/>
          <w:sz w:val="24"/>
          <w:szCs w:val="24"/>
          <w:highlight w:val="none"/>
        </w:rPr>
        <w:t>6、采购单位视情组织答疑会。如有产生答疑且对磋商文件内容有修改，代理机构将按照本须知有关规定，以补充通知（公告）的方式发出。</w:t>
      </w:r>
    </w:p>
    <w:p w14:paraId="76AF7D22">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ascii="Times New Roman" w:hAnsi="Times New Roman" w:cs="宋体"/>
          <w:b/>
          <w:sz w:val="24"/>
          <w:szCs w:val="24"/>
          <w:highlight w:val="none"/>
        </w:rPr>
      </w:pPr>
      <w:r>
        <w:rPr>
          <w:rFonts w:hint="eastAsia" w:ascii="Times New Roman" w:hAnsi="Times New Roman" w:cs="宋体"/>
          <w:b/>
          <w:sz w:val="24"/>
          <w:szCs w:val="24"/>
          <w:highlight w:val="none"/>
        </w:rPr>
        <w:t>三、本项目涉及到的现场勘察</w:t>
      </w:r>
    </w:p>
    <w:p w14:paraId="76224CF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cs="宋体"/>
          <w:sz w:val="24"/>
          <w:szCs w:val="24"/>
          <w:highlight w:val="none"/>
        </w:rPr>
      </w:pPr>
      <w:r>
        <w:rPr>
          <w:rFonts w:hint="eastAsia" w:ascii="Times New Roman" w:hAnsi="Times New Roman" w:cs="宋体"/>
          <w:sz w:val="24"/>
          <w:szCs w:val="24"/>
          <w:highlight w:val="none"/>
        </w:rPr>
        <w:t>1、根据自身需要，供应商可在响应文件递交之日前对有关现场和周围环境进行勘察，以获取编制响应文件和签署合同所需的信息。勘察现场所发生的费用由供应商自己承担。</w:t>
      </w:r>
    </w:p>
    <w:p w14:paraId="1F45E6E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cs="宋体"/>
          <w:sz w:val="24"/>
          <w:szCs w:val="24"/>
          <w:highlight w:val="none"/>
        </w:rPr>
      </w:pPr>
      <w:r>
        <w:rPr>
          <w:rFonts w:hint="eastAsia" w:ascii="Times New Roman" w:hAnsi="Times New Roman" w:cs="宋体"/>
          <w:sz w:val="24"/>
          <w:szCs w:val="24"/>
          <w:highlight w:val="none"/>
        </w:rPr>
        <w:t>2、采购人向供应商提供的有关现场的资料和数据，是采购人现有的并认为能使供应商可利用的资料。采购人对供应商由此而做出的推论、理解和结论概不负责。</w:t>
      </w:r>
    </w:p>
    <w:p w14:paraId="393E75D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cs="宋体"/>
          <w:sz w:val="24"/>
          <w:szCs w:val="24"/>
          <w:highlight w:val="none"/>
        </w:rPr>
      </w:pPr>
      <w:r>
        <w:rPr>
          <w:rFonts w:hint="eastAsia" w:ascii="Times New Roman" w:hAnsi="Times New Roman" w:cs="宋体"/>
          <w:sz w:val="24"/>
          <w:szCs w:val="24"/>
          <w:highlight w:val="none"/>
        </w:rPr>
        <w:t>3、经采购人允许，供应商可为勘察目的进入采购人的项目现场，但供应商不得因此使采购人承担有关的责任和蒙受损失。供应商应承担勘察现场的责任和风险。</w:t>
      </w:r>
    </w:p>
    <w:p w14:paraId="6D985F7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cs="宋体"/>
          <w:b/>
          <w:bCs/>
          <w:sz w:val="24"/>
          <w:szCs w:val="24"/>
          <w:highlight w:val="none"/>
          <w:u w:val="single"/>
        </w:rPr>
      </w:pPr>
      <w:r>
        <w:rPr>
          <w:rFonts w:hint="eastAsia" w:ascii="Times New Roman" w:hAnsi="Times New Roman" w:cs="宋体"/>
          <w:sz w:val="24"/>
          <w:szCs w:val="24"/>
          <w:highlight w:val="none"/>
        </w:rPr>
        <w:t>4、供应商应认真踏勘现场。在现场勘察时，熟悉现场及周围交通道路等情况，以获得一切可能影响其响应的直接资料。供应商磋商成交后，不得以不完全了解现场情况为理由而向采购人提出任何索赔的要求，对此采购人不承担任何责任并将不作任何答复与考虑。</w:t>
      </w:r>
    </w:p>
    <w:p w14:paraId="55976484">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ascii="Times New Roman" w:hAnsi="Times New Roman" w:cs="宋体"/>
          <w:b/>
          <w:sz w:val="24"/>
          <w:szCs w:val="24"/>
          <w:highlight w:val="none"/>
        </w:rPr>
      </w:pPr>
      <w:r>
        <w:rPr>
          <w:rFonts w:hint="eastAsia" w:ascii="Times New Roman" w:hAnsi="Times New Roman" w:cs="宋体"/>
          <w:b/>
          <w:sz w:val="24"/>
          <w:szCs w:val="24"/>
          <w:highlight w:val="none"/>
        </w:rPr>
        <w:t>四、响应文件的编制及装订</w:t>
      </w:r>
    </w:p>
    <w:p w14:paraId="29580AA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cs="宋体"/>
          <w:sz w:val="24"/>
          <w:szCs w:val="24"/>
          <w:highlight w:val="none"/>
        </w:rPr>
      </w:pPr>
      <w:r>
        <w:rPr>
          <w:rFonts w:hint="eastAsia" w:ascii="Times New Roman" w:hAnsi="Times New Roman" w:cs="宋体"/>
          <w:sz w:val="24"/>
          <w:szCs w:val="24"/>
          <w:highlight w:val="none"/>
        </w:rPr>
        <w:t>供应商按磋商文件要求编写响应文件，并装订成册。响应文件不得行间插字、涂改、增删，如修改错漏处，须经响应文件签署人签字并加盖公章。</w:t>
      </w:r>
    </w:p>
    <w:p w14:paraId="039E8110">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ascii="Times New Roman" w:hAnsi="Times New Roman" w:cs="宋体"/>
          <w:b/>
          <w:bCs/>
          <w:color w:val="FF0000"/>
          <w:sz w:val="24"/>
          <w:szCs w:val="24"/>
          <w:highlight w:val="none"/>
        </w:rPr>
      </w:pPr>
      <w:r>
        <w:rPr>
          <w:rFonts w:hint="eastAsia" w:ascii="Times New Roman" w:hAnsi="Times New Roman" w:cs="宋体"/>
          <w:b/>
          <w:bCs/>
          <w:sz w:val="24"/>
          <w:szCs w:val="24"/>
          <w:highlight w:val="none"/>
        </w:rPr>
        <w:t>五、响应文件的份数和签署</w:t>
      </w:r>
    </w:p>
    <w:p w14:paraId="6806649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cs="宋体"/>
          <w:sz w:val="24"/>
          <w:szCs w:val="24"/>
          <w:highlight w:val="none"/>
        </w:rPr>
      </w:pPr>
      <w:r>
        <w:rPr>
          <w:rFonts w:hint="eastAsia" w:ascii="Times New Roman" w:hAnsi="Times New Roman" w:cs="宋体"/>
          <w:sz w:val="24"/>
          <w:szCs w:val="24"/>
          <w:highlight w:val="none"/>
        </w:rPr>
        <w:t>1、响应文件由：</w:t>
      </w:r>
      <w:r>
        <w:rPr>
          <w:rFonts w:hint="eastAsia" w:ascii="Times New Roman" w:hAnsi="Times New Roman" w:cs="宋体"/>
          <w:sz w:val="20"/>
          <w:szCs w:val="24"/>
          <w:highlight w:val="none"/>
        </w:rPr>
        <w:fldChar w:fldCharType="begin"/>
      </w:r>
      <w:r>
        <w:rPr>
          <w:rFonts w:hint="eastAsia" w:ascii="Times New Roman" w:hAnsi="Times New Roman" w:cs="宋体"/>
          <w:sz w:val="20"/>
          <w:szCs w:val="24"/>
          <w:highlight w:val="none"/>
        </w:rPr>
        <w:instrText xml:space="preserve"> = 1 \* GB3 </w:instrText>
      </w:r>
      <w:r>
        <w:rPr>
          <w:rFonts w:hint="eastAsia" w:ascii="Times New Roman" w:hAnsi="Times New Roman" w:cs="宋体"/>
          <w:sz w:val="20"/>
          <w:szCs w:val="24"/>
          <w:highlight w:val="none"/>
        </w:rPr>
        <w:fldChar w:fldCharType="separate"/>
      </w:r>
      <w:r>
        <w:rPr>
          <w:rFonts w:hint="eastAsia" w:ascii="Times New Roman" w:hAnsi="Times New Roman" w:cs="宋体"/>
          <w:sz w:val="24"/>
          <w:szCs w:val="24"/>
          <w:highlight w:val="none"/>
        </w:rPr>
        <w:t>①</w:t>
      </w:r>
      <w:r>
        <w:rPr>
          <w:rFonts w:hint="eastAsia" w:ascii="Times New Roman" w:hAnsi="Times New Roman" w:cs="宋体"/>
          <w:sz w:val="20"/>
          <w:szCs w:val="24"/>
          <w:highlight w:val="none"/>
        </w:rPr>
        <w:fldChar w:fldCharType="end"/>
      </w:r>
      <w:r>
        <w:rPr>
          <w:rFonts w:hint="eastAsia" w:ascii="Times New Roman" w:hAnsi="Times New Roman" w:cs="宋体"/>
          <w:sz w:val="24"/>
          <w:szCs w:val="24"/>
          <w:highlight w:val="none"/>
        </w:rPr>
        <w:t>资格审查文件、</w:t>
      </w:r>
      <w:r>
        <w:rPr>
          <w:rFonts w:hint="eastAsia" w:ascii="Times New Roman" w:hAnsi="Times New Roman" w:cs="宋体"/>
          <w:sz w:val="20"/>
          <w:szCs w:val="24"/>
          <w:highlight w:val="none"/>
        </w:rPr>
        <w:fldChar w:fldCharType="begin"/>
      </w:r>
      <w:r>
        <w:rPr>
          <w:rFonts w:hint="eastAsia" w:ascii="Times New Roman" w:hAnsi="Times New Roman" w:cs="宋体"/>
          <w:sz w:val="20"/>
          <w:szCs w:val="24"/>
          <w:highlight w:val="none"/>
        </w:rPr>
        <w:instrText xml:space="preserve"> = 2 \* GB3 </w:instrText>
      </w:r>
      <w:r>
        <w:rPr>
          <w:rFonts w:hint="eastAsia" w:ascii="Times New Roman" w:hAnsi="Times New Roman" w:cs="宋体"/>
          <w:sz w:val="20"/>
          <w:szCs w:val="24"/>
          <w:highlight w:val="none"/>
        </w:rPr>
        <w:fldChar w:fldCharType="separate"/>
      </w:r>
      <w:r>
        <w:rPr>
          <w:rFonts w:hint="eastAsia" w:ascii="Times New Roman" w:hAnsi="Times New Roman" w:cs="宋体"/>
          <w:sz w:val="24"/>
          <w:szCs w:val="24"/>
          <w:highlight w:val="none"/>
        </w:rPr>
        <w:t>②</w:t>
      </w:r>
      <w:r>
        <w:rPr>
          <w:rFonts w:hint="eastAsia" w:ascii="Times New Roman" w:hAnsi="Times New Roman" w:cs="宋体"/>
          <w:sz w:val="20"/>
          <w:szCs w:val="24"/>
          <w:highlight w:val="none"/>
        </w:rPr>
        <w:fldChar w:fldCharType="end"/>
      </w:r>
      <w:r>
        <w:rPr>
          <w:rFonts w:hint="eastAsia" w:ascii="Times New Roman" w:hAnsi="Times New Roman" w:cs="宋体"/>
          <w:sz w:val="24"/>
          <w:szCs w:val="24"/>
          <w:highlight w:val="none"/>
        </w:rPr>
        <w:t>技术响应文件、③报价响应文件共3部分组成（以下由文件序号代称）。</w:t>
      </w:r>
    </w:p>
    <w:p w14:paraId="2A73FE8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cs="宋体"/>
          <w:b/>
          <w:sz w:val="24"/>
          <w:szCs w:val="24"/>
          <w:highlight w:val="none"/>
          <w:u w:val="single"/>
        </w:rPr>
      </w:pPr>
      <w:r>
        <w:rPr>
          <w:rFonts w:hint="eastAsia" w:ascii="Times New Roman" w:hAnsi="Times New Roman" w:cs="宋体"/>
          <w:sz w:val="24"/>
          <w:szCs w:val="24"/>
          <w:highlight w:val="none"/>
        </w:rPr>
        <w:t>2、</w:t>
      </w:r>
      <w:r>
        <w:rPr>
          <w:rFonts w:hint="eastAsia" w:ascii="Times New Roman" w:hAnsi="Times New Roman" w:cs="宋体"/>
          <w:b/>
          <w:sz w:val="24"/>
          <w:szCs w:val="24"/>
          <w:highlight w:val="none"/>
        </w:rPr>
        <w:t>响应文件均为一式叁份，其中“正本”壹份和“副本”贰份。</w:t>
      </w:r>
    </w:p>
    <w:p w14:paraId="5B083DF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cs="宋体"/>
          <w:sz w:val="24"/>
          <w:szCs w:val="24"/>
          <w:highlight w:val="none"/>
        </w:rPr>
      </w:pPr>
      <w:r>
        <w:rPr>
          <w:rFonts w:hint="eastAsia" w:ascii="Times New Roman" w:hAnsi="Times New Roman" w:cs="宋体"/>
          <w:sz w:val="24"/>
          <w:szCs w:val="24"/>
          <w:highlight w:val="none"/>
        </w:rPr>
        <w:t>3、在每份响应文件上要明确标注项目名称、对应的响应文件名称、供应商的全称、日期、“正本”、“副本”字样。“正本”和“副本”若有差异，概以“正本”为准。</w:t>
      </w:r>
    </w:p>
    <w:p w14:paraId="6698674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cs="宋体"/>
          <w:sz w:val="24"/>
          <w:szCs w:val="24"/>
          <w:highlight w:val="none"/>
        </w:rPr>
      </w:pPr>
      <w:r>
        <w:rPr>
          <w:rFonts w:hint="eastAsia" w:ascii="Times New Roman" w:hAnsi="Times New Roman" w:cs="宋体"/>
          <w:sz w:val="24"/>
          <w:szCs w:val="24"/>
          <w:highlight w:val="none"/>
        </w:rPr>
        <w:t>4、响应文件中的所有“正本”，其正文内容须按磋商文件要求由供应商法定代表人或被授权人签字（或盖章）并加盖单位公章。“副本”可复印，但须加盖单位公章。</w:t>
      </w:r>
    </w:p>
    <w:p w14:paraId="7C9E124C">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ascii="Times New Roman" w:hAnsi="Times New Roman" w:cs="宋体"/>
          <w:b/>
          <w:bCs/>
          <w:sz w:val="24"/>
          <w:szCs w:val="24"/>
          <w:highlight w:val="none"/>
        </w:rPr>
      </w:pPr>
      <w:r>
        <w:rPr>
          <w:rFonts w:hint="eastAsia" w:ascii="Times New Roman" w:hAnsi="Times New Roman" w:cs="宋体"/>
          <w:b/>
          <w:bCs/>
          <w:sz w:val="24"/>
          <w:szCs w:val="24"/>
          <w:highlight w:val="none"/>
        </w:rPr>
        <w:t>六、响应文件的密封及标记</w:t>
      </w:r>
    </w:p>
    <w:p w14:paraId="048DB31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cs="宋体"/>
          <w:sz w:val="24"/>
          <w:szCs w:val="24"/>
          <w:highlight w:val="none"/>
          <w:u w:val="single"/>
        </w:rPr>
      </w:pPr>
      <w:r>
        <w:rPr>
          <w:rFonts w:hint="eastAsia" w:ascii="Times New Roman" w:hAnsi="Times New Roman" w:cs="宋体"/>
          <w:sz w:val="24"/>
          <w:szCs w:val="24"/>
          <w:highlight w:val="none"/>
        </w:rPr>
        <w:t>1、供应商须将本项目响应文件：</w:t>
      </w:r>
      <w:r>
        <w:rPr>
          <w:rFonts w:hint="eastAsia" w:ascii="Times New Roman" w:hAnsi="Times New Roman" w:cs="宋体"/>
          <w:sz w:val="20"/>
          <w:szCs w:val="24"/>
          <w:highlight w:val="none"/>
        </w:rPr>
        <w:fldChar w:fldCharType="begin"/>
      </w:r>
      <w:r>
        <w:rPr>
          <w:rFonts w:hint="eastAsia" w:ascii="Times New Roman" w:hAnsi="Times New Roman" w:cs="宋体"/>
          <w:sz w:val="20"/>
          <w:szCs w:val="24"/>
          <w:highlight w:val="none"/>
        </w:rPr>
        <w:instrText xml:space="preserve"> = 1 \* GB3 </w:instrText>
      </w:r>
      <w:r>
        <w:rPr>
          <w:rFonts w:hint="eastAsia" w:ascii="Times New Roman" w:hAnsi="Times New Roman" w:cs="宋体"/>
          <w:sz w:val="20"/>
          <w:szCs w:val="24"/>
          <w:highlight w:val="none"/>
        </w:rPr>
        <w:fldChar w:fldCharType="separate"/>
      </w:r>
      <w:r>
        <w:rPr>
          <w:rFonts w:hint="eastAsia" w:ascii="Times New Roman" w:hAnsi="Times New Roman" w:cs="宋体"/>
          <w:sz w:val="24"/>
          <w:szCs w:val="24"/>
          <w:highlight w:val="none"/>
        </w:rPr>
        <w:t>①</w:t>
      </w:r>
      <w:r>
        <w:rPr>
          <w:rFonts w:hint="eastAsia" w:ascii="Times New Roman" w:hAnsi="Times New Roman" w:cs="宋体"/>
          <w:sz w:val="20"/>
          <w:szCs w:val="24"/>
          <w:highlight w:val="none"/>
        </w:rPr>
        <w:fldChar w:fldCharType="end"/>
      </w:r>
      <w:r>
        <w:rPr>
          <w:rFonts w:hint="eastAsia" w:ascii="Times New Roman" w:hAnsi="Times New Roman" w:cs="宋体"/>
          <w:sz w:val="24"/>
          <w:szCs w:val="24"/>
          <w:highlight w:val="none"/>
        </w:rPr>
        <w:t>、</w:t>
      </w:r>
      <w:r>
        <w:rPr>
          <w:rFonts w:hint="eastAsia" w:ascii="Times New Roman" w:hAnsi="Times New Roman" w:cs="宋体"/>
          <w:sz w:val="20"/>
          <w:szCs w:val="24"/>
          <w:highlight w:val="none"/>
        </w:rPr>
        <w:fldChar w:fldCharType="begin"/>
      </w:r>
      <w:r>
        <w:rPr>
          <w:rFonts w:hint="eastAsia" w:ascii="Times New Roman" w:hAnsi="Times New Roman" w:cs="宋体"/>
          <w:sz w:val="20"/>
          <w:szCs w:val="24"/>
          <w:highlight w:val="none"/>
        </w:rPr>
        <w:instrText xml:space="preserve"> = 2 \* GB3 </w:instrText>
      </w:r>
      <w:r>
        <w:rPr>
          <w:rFonts w:hint="eastAsia" w:ascii="Times New Roman" w:hAnsi="Times New Roman" w:cs="宋体"/>
          <w:sz w:val="20"/>
          <w:szCs w:val="24"/>
          <w:highlight w:val="none"/>
        </w:rPr>
        <w:fldChar w:fldCharType="separate"/>
      </w:r>
      <w:r>
        <w:rPr>
          <w:rFonts w:hint="eastAsia" w:ascii="Times New Roman" w:hAnsi="Times New Roman" w:cs="宋体"/>
          <w:sz w:val="24"/>
          <w:szCs w:val="24"/>
          <w:highlight w:val="none"/>
        </w:rPr>
        <w:t>②</w:t>
      </w:r>
      <w:r>
        <w:rPr>
          <w:rFonts w:hint="eastAsia" w:ascii="Times New Roman" w:hAnsi="Times New Roman" w:cs="宋体"/>
          <w:sz w:val="20"/>
          <w:szCs w:val="24"/>
          <w:highlight w:val="none"/>
        </w:rPr>
        <w:fldChar w:fldCharType="end"/>
      </w:r>
      <w:r>
        <w:rPr>
          <w:rFonts w:hint="eastAsia" w:ascii="Times New Roman" w:hAnsi="Times New Roman" w:cs="宋体"/>
          <w:sz w:val="24"/>
          <w:szCs w:val="24"/>
          <w:highlight w:val="none"/>
        </w:rPr>
        <w:t>、</w:t>
      </w:r>
      <w:r>
        <w:rPr>
          <w:rFonts w:ascii="Times New Roman" w:hAnsi="Times New Roman" w:cs="宋体"/>
          <w:sz w:val="20"/>
          <w:szCs w:val="24"/>
          <w:highlight w:val="none"/>
        </w:rPr>
        <w:fldChar w:fldCharType="begin"/>
      </w:r>
      <w:r>
        <w:rPr>
          <w:rFonts w:hint="eastAsia" w:ascii="Times New Roman" w:hAnsi="Times New Roman" w:cs="宋体"/>
          <w:sz w:val="20"/>
          <w:szCs w:val="24"/>
          <w:highlight w:val="none"/>
        </w:rPr>
        <w:instrText xml:space="preserve">= 3 \* GB3</w:instrText>
      </w:r>
      <w:r>
        <w:rPr>
          <w:rFonts w:ascii="Times New Roman" w:hAnsi="Times New Roman" w:cs="宋体"/>
          <w:sz w:val="20"/>
          <w:szCs w:val="24"/>
          <w:highlight w:val="none"/>
        </w:rPr>
        <w:fldChar w:fldCharType="separate"/>
      </w:r>
      <w:r>
        <w:rPr>
          <w:rFonts w:hint="eastAsia" w:ascii="Times New Roman" w:hAnsi="Times New Roman" w:cs="宋体"/>
          <w:sz w:val="24"/>
          <w:szCs w:val="24"/>
          <w:highlight w:val="none"/>
        </w:rPr>
        <w:t>③</w:t>
      </w:r>
      <w:r>
        <w:rPr>
          <w:rFonts w:ascii="Times New Roman" w:hAnsi="Times New Roman" w:cs="宋体"/>
          <w:sz w:val="20"/>
          <w:szCs w:val="24"/>
          <w:highlight w:val="none"/>
        </w:rPr>
        <w:fldChar w:fldCharType="end"/>
      </w:r>
      <w:r>
        <w:rPr>
          <w:rFonts w:hint="eastAsia" w:ascii="Times New Roman" w:hAnsi="Times New Roman" w:cs="宋体"/>
          <w:b/>
          <w:sz w:val="24"/>
          <w:szCs w:val="24"/>
          <w:highlight w:val="none"/>
        </w:rPr>
        <w:t>单独密封</w:t>
      </w:r>
      <w:r>
        <w:rPr>
          <w:rFonts w:hint="eastAsia" w:ascii="Times New Roman" w:hAnsi="Times New Roman" w:cs="宋体"/>
          <w:sz w:val="24"/>
          <w:szCs w:val="24"/>
          <w:highlight w:val="none"/>
        </w:rPr>
        <w:t>。响应文件正副本可统一密封，如正本和副本分别密封的，应在封袋上标明正、副本字样。</w:t>
      </w:r>
    </w:p>
    <w:p w14:paraId="79D806E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cs="宋体"/>
          <w:sz w:val="24"/>
          <w:szCs w:val="24"/>
          <w:highlight w:val="none"/>
        </w:rPr>
      </w:pPr>
      <w:r>
        <w:rPr>
          <w:rFonts w:hint="eastAsia" w:ascii="Times New Roman" w:hAnsi="Times New Roman" w:cs="宋体"/>
          <w:sz w:val="24"/>
          <w:szCs w:val="24"/>
          <w:highlight w:val="none"/>
        </w:rPr>
        <w:t>2、密封后，应在每一密封的响应文件上明确标注磋商项目名称、响应文件各自对应的名称、供应商的全称及日期并加盖供应商公章。</w:t>
      </w:r>
    </w:p>
    <w:p w14:paraId="60C8D224">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ascii="Times New Roman" w:hAnsi="Times New Roman" w:cs="宋体"/>
          <w:sz w:val="24"/>
          <w:szCs w:val="24"/>
          <w:highlight w:val="none"/>
        </w:rPr>
      </w:pPr>
      <w:r>
        <w:rPr>
          <w:rFonts w:hint="eastAsia" w:ascii="Times New Roman" w:hAnsi="Times New Roman" w:cs="宋体"/>
          <w:b/>
          <w:sz w:val="24"/>
          <w:szCs w:val="24"/>
          <w:highlight w:val="none"/>
        </w:rPr>
        <w:t>【特别提醒】</w:t>
      </w:r>
      <w:r>
        <w:rPr>
          <w:rFonts w:hint="eastAsia" w:ascii="Times New Roman" w:hAnsi="Times New Roman" w:cs="宋体"/>
          <w:sz w:val="24"/>
          <w:szCs w:val="24"/>
          <w:highlight w:val="none"/>
        </w:rPr>
        <w:t>响应文件中的</w:t>
      </w:r>
      <w:r>
        <w:rPr>
          <w:rFonts w:hint="eastAsia" w:ascii="Times New Roman" w:hAnsi="Times New Roman" w:cs="宋体"/>
          <w:sz w:val="20"/>
          <w:szCs w:val="24"/>
          <w:highlight w:val="none"/>
        </w:rPr>
        <w:fldChar w:fldCharType="begin"/>
      </w:r>
      <w:r>
        <w:rPr>
          <w:rFonts w:hint="eastAsia" w:ascii="Times New Roman" w:hAnsi="Times New Roman" w:cs="宋体"/>
          <w:sz w:val="20"/>
          <w:szCs w:val="24"/>
          <w:highlight w:val="none"/>
        </w:rPr>
        <w:instrText xml:space="preserve"> = 1 \* GB3 </w:instrText>
      </w:r>
      <w:r>
        <w:rPr>
          <w:rFonts w:hint="eastAsia" w:ascii="Times New Roman" w:hAnsi="Times New Roman" w:cs="宋体"/>
          <w:sz w:val="20"/>
          <w:szCs w:val="24"/>
          <w:highlight w:val="none"/>
        </w:rPr>
        <w:fldChar w:fldCharType="separate"/>
      </w:r>
      <w:r>
        <w:rPr>
          <w:rFonts w:hint="eastAsia" w:ascii="Times New Roman" w:hAnsi="Times New Roman" w:cs="宋体"/>
          <w:sz w:val="24"/>
          <w:szCs w:val="24"/>
          <w:highlight w:val="none"/>
        </w:rPr>
        <w:t>①</w:t>
      </w:r>
      <w:r>
        <w:rPr>
          <w:rFonts w:hint="eastAsia" w:ascii="Times New Roman" w:hAnsi="Times New Roman" w:cs="宋体"/>
          <w:sz w:val="20"/>
          <w:szCs w:val="24"/>
          <w:highlight w:val="none"/>
        </w:rPr>
        <w:fldChar w:fldCharType="end"/>
      </w:r>
      <w:r>
        <w:rPr>
          <w:rFonts w:hint="eastAsia" w:ascii="Times New Roman" w:hAnsi="Times New Roman" w:cs="宋体"/>
          <w:sz w:val="24"/>
          <w:szCs w:val="24"/>
          <w:highlight w:val="none"/>
        </w:rPr>
        <w:t>和</w:t>
      </w:r>
      <w:r>
        <w:rPr>
          <w:rFonts w:hint="eastAsia" w:ascii="Times New Roman" w:hAnsi="Times New Roman" w:cs="宋体"/>
          <w:sz w:val="20"/>
          <w:szCs w:val="24"/>
          <w:highlight w:val="none"/>
        </w:rPr>
        <w:fldChar w:fldCharType="begin"/>
      </w:r>
      <w:r>
        <w:rPr>
          <w:rFonts w:hint="eastAsia" w:ascii="Times New Roman" w:hAnsi="Times New Roman" w:cs="宋体"/>
          <w:sz w:val="20"/>
          <w:szCs w:val="24"/>
          <w:highlight w:val="none"/>
        </w:rPr>
        <w:instrText xml:space="preserve"> = 2 \* GB3 </w:instrText>
      </w:r>
      <w:r>
        <w:rPr>
          <w:rFonts w:hint="eastAsia" w:ascii="Times New Roman" w:hAnsi="Times New Roman" w:cs="宋体"/>
          <w:sz w:val="20"/>
          <w:szCs w:val="24"/>
          <w:highlight w:val="none"/>
        </w:rPr>
        <w:fldChar w:fldCharType="separate"/>
      </w:r>
      <w:r>
        <w:rPr>
          <w:rFonts w:hint="eastAsia" w:ascii="Times New Roman" w:hAnsi="Times New Roman" w:cs="宋体"/>
          <w:sz w:val="24"/>
          <w:szCs w:val="24"/>
          <w:highlight w:val="none"/>
        </w:rPr>
        <w:t>②</w:t>
      </w:r>
      <w:r>
        <w:rPr>
          <w:rFonts w:hint="eastAsia" w:ascii="Times New Roman" w:hAnsi="Times New Roman" w:cs="宋体"/>
          <w:sz w:val="20"/>
          <w:szCs w:val="24"/>
          <w:highlight w:val="none"/>
        </w:rPr>
        <w:fldChar w:fldCharType="end"/>
      </w:r>
      <w:r>
        <w:rPr>
          <w:rFonts w:hint="eastAsia" w:ascii="Times New Roman" w:hAnsi="Times New Roman" w:cs="宋体"/>
          <w:sz w:val="24"/>
          <w:szCs w:val="24"/>
          <w:highlight w:val="none"/>
        </w:rPr>
        <w:t>的“正本”或“副本”中，均不得含有报价响应文件中报价表（报价单）内的任何项目价格，否则作无效响应处理。</w:t>
      </w:r>
    </w:p>
    <w:p w14:paraId="505F83C9">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ascii="Times New Roman" w:hAnsi="Times New Roman" w:cs="宋体"/>
          <w:b/>
          <w:bCs/>
          <w:sz w:val="24"/>
          <w:szCs w:val="24"/>
          <w:highlight w:val="none"/>
        </w:rPr>
      </w:pPr>
      <w:r>
        <w:rPr>
          <w:rFonts w:hint="eastAsia" w:ascii="Times New Roman" w:hAnsi="Times New Roman" w:cs="宋体"/>
          <w:b/>
          <w:bCs/>
          <w:sz w:val="24"/>
          <w:szCs w:val="24"/>
          <w:highlight w:val="none"/>
        </w:rPr>
        <w:t>七、磋商报价</w:t>
      </w:r>
    </w:p>
    <w:p w14:paraId="157E82F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cs="宋体"/>
          <w:sz w:val="24"/>
          <w:szCs w:val="24"/>
          <w:highlight w:val="none"/>
        </w:rPr>
      </w:pPr>
      <w:r>
        <w:rPr>
          <w:rFonts w:hint="eastAsia" w:ascii="Times New Roman" w:hAnsi="Times New Roman" w:cs="宋体"/>
          <w:sz w:val="24"/>
          <w:szCs w:val="24"/>
          <w:highlight w:val="none"/>
        </w:rPr>
        <w:t>1、</w:t>
      </w:r>
      <w:r>
        <w:rPr>
          <w:rFonts w:hint="eastAsia" w:ascii="Times New Roman" w:hAnsi="Times New Roman" w:cs="宋体"/>
          <w:sz w:val="24"/>
          <w:highlight w:val="none"/>
        </w:rPr>
        <w:t>报价供应商应对所要采购的全部内容进行报价，一个项目只允许一个报价，只报其中部分内容的或出现选择性报价，将被视为无效报价</w:t>
      </w:r>
      <w:r>
        <w:rPr>
          <w:rFonts w:hint="eastAsia" w:ascii="Times New Roman" w:hAnsi="Times New Roman" w:cs="宋体"/>
          <w:sz w:val="24"/>
          <w:szCs w:val="24"/>
          <w:highlight w:val="none"/>
        </w:rPr>
        <w:t>。</w:t>
      </w:r>
    </w:p>
    <w:p w14:paraId="131D300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cs="宋体"/>
          <w:sz w:val="24"/>
          <w:szCs w:val="24"/>
          <w:highlight w:val="none"/>
        </w:rPr>
      </w:pPr>
      <w:r>
        <w:rPr>
          <w:rFonts w:hint="eastAsia" w:ascii="Times New Roman" w:hAnsi="Times New Roman" w:cs="宋体"/>
          <w:sz w:val="24"/>
          <w:szCs w:val="24"/>
          <w:highlight w:val="none"/>
        </w:rPr>
        <w:t>2、磋商报价均以人民币为报价的币种。</w:t>
      </w:r>
    </w:p>
    <w:p w14:paraId="47B4FA5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cs="宋体"/>
          <w:sz w:val="24"/>
          <w:szCs w:val="24"/>
          <w:highlight w:val="none"/>
        </w:rPr>
      </w:pPr>
      <w:r>
        <w:rPr>
          <w:rFonts w:hint="eastAsia" w:ascii="Times New Roman" w:hAnsi="Times New Roman" w:cs="宋体"/>
          <w:sz w:val="24"/>
          <w:szCs w:val="24"/>
          <w:highlight w:val="none"/>
        </w:rPr>
        <w:t>3、磋商报价表必须加盖单位公章且必须经法定代表人或被授权人签字或盖章。报价表中的大写金额与小写金额、总价金额与按单价汇总金额，若有差异，将执行《政府采购货物和服务招标投标管理办法》第59条的规定。</w:t>
      </w:r>
    </w:p>
    <w:p w14:paraId="1FB0FA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szCs w:val="24"/>
          <w:highlight w:val="none"/>
        </w:rPr>
      </w:pPr>
      <w:r>
        <w:rPr>
          <w:rFonts w:hint="eastAsia" w:ascii="Times New Roman" w:hAnsi="Times New Roman"/>
          <w:sz w:val="24"/>
          <w:szCs w:val="24"/>
          <w:highlight w:val="none"/>
        </w:rPr>
        <w:t>4、</w:t>
      </w:r>
      <w:r>
        <w:rPr>
          <w:rFonts w:hint="eastAsia" w:ascii="宋体" w:hAnsi="宋体" w:cs="仿宋_GB2312"/>
          <w:b/>
          <w:bCs/>
          <w:sz w:val="24"/>
          <w:szCs w:val="24"/>
          <w:highlight w:val="none"/>
        </w:rPr>
        <w:t>本项目为</w:t>
      </w:r>
      <w:r>
        <w:rPr>
          <w:rFonts w:hint="eastAsia" w:ascii="宋体" w:hAnsi="宋体" w:cs="仿宋_GB2312"/>
          <w:b/>
          <w:bCs/>
          <w:sz w:val="24"/>
          <w:szCs w:val="24"/>
          <w:highlight w:val="none"/>
          <w:lang w:val="en-US" w:eastAsia="zh-CN"/>
        </w:rPr>
        <w:t>单价</w:t>
      </w:r>
      <w:r>
        <w:rPr>
          <w:rFonts w:hint="eastAsia" w:ascii="宋体" w:hAnsi="宋体" w:cs="仿宋_GB2312"/>
          <w:b/>
          <w:bCs/>
          <w:sz w:val="24"/>
          <w:szCs w:val="24"/>
          <w:highlight w:val="none"/>
        </w:rPr>
        <w:t>报价。</w:t>
      </w:r>
      <w:r>
        <w:rPr>
          <w:rFonts w:hint="eastAsia" w:ascii="Times New Roman" w:hAnsi="Times New Roman"/>
          <w:sz w:val="24"/>
          <w:szCs w:val="24"/>
          <w:highlight w:val="none"/>
        </w:rPr>
        <w:t>响应报价（以人民币计价）应包含但不限于服务的成本、利润、税金、开办费等的所有费用，相关伴随服务以及售后服务等一切费用。服务期内报价不随国家政策或法规、标准及市场因素的变化而进行调整。</w:t>
      </w:r>
    </w:p>
    <w:p w14:paraId="5846546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cs="宋体"/>
          <w:sz w:val="24"/>
          <w:szCs w:val="24"/>
        </w:rPr>
      </w:pPr>
      <w:r>
        <w:rPr>
          <w:rFonts w:hint="eastAsia" w:ascii="Times New Roman" w:hAnsi="Times New Roman"/>
          <w:b/>
          <w:bCs/>
          <w:sz w:val="24"/>
          <w:szCs w:val="24"/>
          <w:highlight w:val="none"/>
          <w:lang w:val="en-US" w:eastAsia="zh-CN"/>
        </w:rPr>
        <w:t>5</w:t>
      </w:r>
      <w:r>
        <w:rPr>
          <w:rFonts w:hint="eastAsia" w:ascii="Times New Roman" w:hAnsi="Times New Roman" w:cs="宋体"/>
          <w:sz w:val="24"/>
          <w:szCs w:val="24"/>
          <w:highlight w:val="none"/>
        </w:rPr>
        <w:t>、供应商应详细阅</w:t>
      </w:r>
      <w:r>
        <w:rPr>
          <w:rFonts w:hint="eastAsia" w:ascii="Times New Roman" w:hAnsi="Times New Roman" w:cs="宋体"/>
          <w:sz w:val="24"/>
          <w:szCs w:val="24"/>
        </w:rPr>
        <w:t>读竞争性磋商文件的全部内容，根据采购项目需求，准确制定相关工作方案等，必须对本采购项目全部进行报价，如有漏项，视同对本项目的优惠。不按竞争性磋商文件的要求提供响应文件，导致报价无效，作无效响应处理。</w:t>
      </w:r>
    </w:p>
    <w:p w14:paraId="3BDB7A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宋体"/>
          <w:sz w:val="24"/>
          <w:szCs w:val="24"/>
        </w:rPr>
      </w:pPr>
      <w:r>
        <w:rPr>
          <w:rFonts w:hint="eastAsia" w:ascii="Times New Roman" w:hAnsi="Times New Roman" w:cs="宋体"/>
          <w:sz w:val="24"/>
          <w:szCs w:val="24"/>
          <w:lang w:val="en-US" w:eastAsia="zh-CN"/>
        </w:rPr>
        <w:t>6</w:t>
      </w:r>
      <w:r>
        <w:rPr>
          <w:rFonts w:hint="eastAsia" w:ascii="Times New Roman" w:hAnsi="Times New Roman" w:cs="宋体"/>
          <w:sz w:val="24"/>
          <w:szCs w:val="24"/>
        </w:rPr>
        <w:t>、竞争性磋商的最终报价为成交价。同时，供应商的最终成交价在合同实施期间不因市场变化因素而变动。</w:t>
      </w:r>
    </w:p>
    <w:p w14:paraId="52AD71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宋体"/>
          <w:sz w:val="24"/>
          <w:szCs w:val="24"/>
        </w:rPr>
      </w:pPr>
      <w:r>
        <w:rPr>
          <w:rFonts w:hint="eastAsia" w:ascii="Times New Roman" w:hAnsi="Times New Roman" w:cs="宋体"/>
          <w:sz w:val="24"/>
          <w:szCs w:val="24"/>
          <w:lang w:val="en-US" w:eastAsia="zh-CN"/>
        </w:rPr>
        <w:t>7</w:t>
      </w:r>
      <w:r>
        <w:rPr>
          <w:rFonts w:hint="eastAsia" w:ascii="Times New Roman" w:hAnsi="Times New Roman" w:cs="宋体"/>
          <w:sz w:val="24"/>
          <w:szCs w:val="24"/>
        </w:rPr>
        <w:t>、</w:t>
      </w:r>
      <w:r>
        <w:rPr>
          <w:rFonts w:hint="eastAsia" w:ascii="Times New Roman" w:hAnsi="Times New Roman" w:cs="宋体"/>
          <w:sz w:val="24"/>
        </w:rPr>
        <w:t>最终报价将作为磋商小组评定成交供应商的依据</w:t>
      </w:r>
      <w:r>
        <w:rPr>
          <w:rFonts w:hint="eastAsia" w:ascii="Times New Roman" w:hAnsi="Times New Roman" w:cs="宋体"/>
          <w:sz w:val="24"/>
          <w:szCs w:val="24"/>
        </w:rPr>
        <w:t>。</w:t>
      </w:r>
    </w:p>
    <w:p w14:paraId="5AD1DB8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cs="宋体"/>
          <w:b/>
          <w:bCs/>
          <w:sz w:val="24"/>
          <w:szCs w:val="24"/>
        </w:rPr>
      </w:pPr>
      <w:r>
        <w:rPr>
          <w:rFonts w:hint="eastAsia" w:ascii="Times New Roman" w:hAnsi="Times New Roman" w:cs="宋体"/>
          <w:b/>
          <w:bCs/>
          <w:sz w:val="24"/>
          <w:szCs w:val="24"/>
        </w:rPr>
        <w:t>八、联合体参与磋商</w:t>
      </w:r>
    </w:p>
    <w:p w14:paraId="739743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宋体"/>
          <w:sz w:val="24"/>
          <w:szCs w:val="24"/>
        </w:rPr>
      </w:pPr>
      <w:r>
        <w:rPr>
          <w:rFonts w:hint="eastAsia" w:ascii="Times New Roman" w:hAnsi="Times New Roman" w:cs="宋体"/>
          <w:sz w:val="24"/>
          <w:szCs w:val="24"/>
        </w:rPr>
        <w:t>不接受任何形式的联合体参与本项目的竞争性磋商。</w:t>
      </w:r>
    </w:p>
    <w:p w14:paraId="0AC9F456">
      <w:pPr>
        <w:keepNext w:val="0"/>
        <w:keepLines w:val="0"/>
        <w:pageBreakBefore w:val="0"/>
        <w:widowControl w:val="0"/>
        <w:kinsoku/>
        <w:wordWrap/>
        <w:overflowPunct/>
        <w:topLinePunct w:val="0"/>
        <w:autoSpaceDE/>
        <w:autoSpaceDN/>
        <w:bidi w:val="0"/>
        <w:adjustRightInd/>
        <w:snapToGrid/>
        <w:spacing w:line="360" w:lineRule="auto"/>
        <w:ind w:firstLine="482" w:firstLineChars="200"/>
        <w:contextualSpacing/>
        <w:textAlignment w:val="auto"/>
        <w:rPr>
          <w:rFonts w:ascii="Times New Roman" w:hAnsi="Times New Roman"/>
          <w:b/>
          <w:bCs/>
          <w:sz w:val="24"/>
          <w:szCs w:val="24"/>
        </w:rPr>
      </w:pPr>
      <w:r>
        <w:rPr>
          <w:rFonts w:hint="eastAsia" w:ascii="Times New Roman" w:hAnsi="Times New Roman" w:cs="宋体"/>
          <w:b/>
          <w:bCs/>
          <w:sz w:val="24"/>
          <w:szCs w:val="24"/>
        </w:rPr>
        <w:t>九、</w:t>
      </w:r>
      <w:r>
        <w:rPr>
          <w:rFonts w:hint="eastAsia" w:ascii="Times New Roman" w:hAnsi="Times New Roman"/>
          <w:b/>
          <w:bCs/>
          <w:sz w:val="24"/>
          <w:szCs w:val="24"/>
        </w:rPr>
        <w:t>响应</w:t>
      </w:r>
      <w:r>
        <w:rPr>
          <w:rFonts w:ascii="Times New Roman" w:hAnsi="Times New Roman"/>
          <w:b/>
          <w:bCs/>
          <w:sz w:val="24"/>
          <w:szCs w:val="24"/>
        </w:rPr>
        <w:t>文件的有效期</w:t>
      </w:r>
    </w:p>
    <w:p w14:paraId="7A31C80B">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ascii="Times New Roman" w:hAnsi="Times New Roman"/>
          <w:sz w:val="24"/>
          <w:szCs w:val="24"/>
        </w:rPr>
      </w:pPr>
      <w:r>
        <w:rPr>
          <w:rFonts w:ascii="Times New Roman" w:hAnsi="Times New Roman"/>
          <w:sz w:val="24"/>
          <w:szCs w:val="24"/>
        </w:rPr>
        <w:t>1、从</w:t>
      </w:r>
      <w:r>
        <w:rPr>
          <w:rFonts w:hint="eastAsia" w:ascii="Times New Roman" w:hAnsi="Times New Roman"/>
          <w:sz w:val="24"/>
          <w:szCs w:val="24"/>
        </w:rPr>
        <w:t>响应</w:t>
      </w:r>
      <w:r>
        <w:rPr>
          <w:rFonts w:ascii="Times New Roman" w:hAnsi="Times New Roman"/>
          <w:sz w:val="24"/>
          <w:szCs w:val="24"/>
        </w:rPr>
        <w:t>文件接收截止之日起</w:t>
      </w:r>
      <w:r>
        <w:rPr>
          <w:rFonts w:hint="eastAsia" w:ascii="Times New Roman" w:hAnsi="Times New Roman"/>
          <w:sz w:val="24"/>
          <w:szCs w:val="24"/>
        </w:rPr>
        <w:t>算</w:t>
      </w:r>
      <w:r>
        <w:rPr>
          <w:rFonts w:ascii="Times New Roman" w:hAnsi="Times New Roman"/>
          <w:sz w:val="24"/>
          <w:szCs w:val="24"/>
        </w:rPr>
        <w:t>，</w:t>
      </w:r>
      <w:r>
        <w:rPr>
          <w:rFonts w:hint="eastAsia" w:ascii="Times New Roman" w:hAnsi="Times New Roman"/>
          <w:sz w:val="24"/>
          <w:szCs w:val="24"/>
          <w:u w:val="single"/>
        </w:rPr>
        <w:t>60</w:t>
      </w:r>
      <w:r>
        <w:rPr>
          <w:rFonts w:ascii="Times New Roman" w:hAnsi="Times New Roman"/>
          <w:sz w:val="24"/>
          <w:szCs w:val="24"/>
        </w:rPr>
        <w:t>个日历天内</w:t>
      </w:r>
      <w:r>
        <w:rPr>
          <w:rFonts w:hint="eastAsia" w:ascii="Times New Roman" w:hAnsi="Times New Roman"/>
          <w:sz w:val="24"/>
          <w:szCs w:val="24"/>
        </w:rPr>
        <w:t>响应文件</w:t>
      </w:r>
      <w:r>
        <w:rPr>
          <w:rFonts w:ascii="Times New Roman" w:hAnsi="Times New Roman"/>
          <w:sz w:val="24"/>
          <w:szCs w:val="24"/>
        </w:rPr>
        <w:t>应保持有效。</w:t>
      </w:r>
      <w:r>
        <w:rPr>
          <w:rFonts w:hint="eastAsia" w:ascii="Times New Roman" w:hAnsi="Times New Roman"/>
          <w:sz w:val="24"/>
          <w:szCs w:val="24"/>
        </w:rPr>
        <w:t>响应文件中承诺的响应文件有效期应当不少于采购文件中载明的响应文件有效期</w:t>
      </w:r>
      <w:r>
        <w:rPr>
          <w:rFonts w:ascii="Times New Roman" w:hAnsi="Times New Roman"/>
          <w:sz w:val="24"/>
          <w:szCs w:val="24"/>
        </w:rPr>
        <w:t>。</w:t>
      </w:r>
    </w:p>
    <w:p w14:paraId="6141B8A8">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ascii="Times New Roman" w:hAnsi="Times New Roman"/>
          <w:sz w:val="24"/>
          <w:szCs w:val="24"/>
        </w:rPr>
      </w:pPr>
      <w:r>
        <w:rPr>
          <w:rFonts w:ascii="Times New Roman" w:hAnsi="Times New Roman"/>
          <w:sz w:val="24"/>
          <w:szCs w:val="24"/>
        </w:rPr>
        <w:t>2、在特殊情况下，采购代理机构可与供应商协商延长</w:t>
      </w:r>
      <w:r>
        <w:rPr>
          <w:rFonts w:hint="eastAsia" w:ascii="Times New Roman" w:hAnsi="Times New Roman"/>
          <w:sz w:val="24"/>
          <w:szCs w:val="24"/>
        </w:rPr>
        <w:t>响应文件</w:t>
      </w:r>
      <w:r>
        <w:rPr>
          <w:rFonts w:ascii="Times New Roman" w:hAnsi="Times New Roman"/>
          <w:sz w:val="24"/>
          <w:szCs w:val="24"/>
        </w:rPr>
        <w:t>的有效期。这种要求和答复都应以书面、传真、或电报的形式进行。</w:t>
      </w:r>
      <w:r>
        <w:rPr>
          <w:rFonts w:hint="eastAsia" w:ascii="Times New Roman" w:hAnsi="Times New Roman"/>
          <w:sz w:val="24"/>
          <w:szCs w:val="24"/>
        </w:rPr>
        <w:t>同意延长响应文件有效期的供应商既不能要求也不允许修改其响应文件，同时受响应文件有效期约束的所有权利与义务均延长至新的有效期。供应商可以拒绝采购代理机构的这一要求而放弃响应。</w:t>
      </w:r>
    </w:p>
    <w:p w14:paraId="5519DE3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cs="宋体"/>
          <w:sz w:val="24"/>
          <w:szCs w:val="24"/>
        </w:rPr>
      </w:pPr>
      <w:r>
        <w:rPr>
          <w:rFonts w:hint="eastAsia" w:ascii="Times New Roman" w:hAnsi="Times New Roman" w:cs="宋体"/>
          <w:b/>
          <w:bCs/>
          <w:sz w:val="24"/>
          <w:szCs w:val="24"/>
        </w:rPr>
        <w:t>十</w:t>
      </w:r>
      <w:r>
        <w:rPr>
          <w:rFonts w:hint="eastAsia" w:ascii="Times New Roman" w:hAnsi="Times New Roman" w:cs="宋体"/>
          <w:b/>
          <w:bCs/>
          <w:sz w:val="24"/>
          <w:szCs w:val="24"/>
          <w:lang w:eastAsia="zh-CN"/>
        </w:rPr>
        <w:t>、</w:t>
      </w:r>
      <w:r>
        <w:rPr>
          <w:rFonts w:hint="eastAsia" w:ascii="Times New Roman" w:hAnsi="Times New Roman" w:cs="宋体"/>
          <w:b/>
          <w:bCs/>
          <w:sz w:val="24"/>
          <w:szCs w:val="24"/>
        </w:rPr>
        <w:t>响应文件及</w:t>
      </w:r>
      <w:r>
        <w:rPr>
          <w:rFonts w:hint="eastAsia" w:ascii="Times New Roman" w:hAnsi="Times New Roman" w:cs="宋体"/>
          <w:b/>
          <w:sz w:val="24"/>
          <w:szCs w:val="24"/>
        </w:rPr>
        <w:t>磋商</w:t>
      </w:r>
      <w:r>
        <w:rPr>
          <w:rFonts w:hint="eastAsia" w:ascii="Times New Roman" w:hAnsi="Times New Roman" w:cs="宋体"/>
          <w:b/>
          <w:bCs/>
          <w:sz w:val="24"/>
          <w:szCs w:val="24"/>
        </w:rPr>
        <w:t>费用</w:t>
      </w:r>
    </w:p>
    <w:p w14:paraId="5F165F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宋体"/>
          <w:sz w:val="24"/>
          <w:szCs w:val="24"/>
        </w:rPr>
      </w:pPr>
      <w:r>
        <w:rPr>
          <w:rFonts w:hint="eastAsia" w:ascii="Times New Roman" w:hAnsi="Times New Roman" w:cs="宋体"/>
          <w:sz w:val="24"/>
          <w:szCs w:val="24"/>
          <w:lang w:val="en-US" w:eastAsia="zh-CN"/>
        </w:rPr>
        <w:t>1、</w:t>
      </w:r>
      <w:r>
        <w:rPr>
          <w:rFonts w:hint="eastAsia" w:ascii="Times New Roman" w:hAnsi="Times New Roman" w:cs="宋体"/>
          <w:sz w:val="24"/>
          <w:szCs w:val="24"/>
        </w:rPr>
        <w:t>无论磋商过程和结果如何，参加项目磋商的供应商自行承担与本次项目磋商有关的全部费用。</w:t>
      </w:r>
    </w:p>
    <w:p w14:paraId="564D98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宋体" w:hAnsi="宋体" w:cs="宋体"/>
          <w:sz w:val="24"/>
          <w:szCs w:val="24"/>
          <w:lang w:val="en-US" w:eastAsia="zh-CN"/>
        </w:rPr>
        <w:t>2、</w:t>
      </w:r>
      <w:r>
        <w:rPr>
          <w:rFonts w:hint="eastAsia" w:ascii="宋体" w:hAnsi="宋体" w:cs="宋体"/>
          <w:sz w:val="24"/>
          <w:szCs w:val="24"/>
        </w:rPr>
        <w:t>本项目招标代理费按发改价格〔2011〕534号、苏价服2014（383）号文件规定标准下浮50</w:t>
      </w:r>
      <w:r>
        <w:rPr>
          <w:rFonts w:hint="eastAsia" w:ascii="宋体" w:hAnsi="宋体" w:cs="宋体"/>
          <w:sz w:val="24"/>
          <w:szCs w:val="24"/>
          <w:lang w:val="en-US" w:eastAsia="zh-CN"/>
        </w:rPr>
        <w:t>%</w:t>
      </w:r>
      <w:r>
        <w:rPr>
          <w:rFonts w:hint="eastAsia" w:ascii="宋体" w:hAnsi="宋体" w:cs="宋体"/>
          <w:sz w:val="24"/>
          <w:szCs w:val="24"/>
        </w:rPr>
        <w:t>收取，不足2000元按2000元计，由成交供应商支付，此费用综合考虑在响应报价内。上述费用由成交供应商在领取成交通知书前向采购代理机构一次性付清。</w:t>
      </w:r>
    </w:p>
    <w:p w14:paraId="4BE33F3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cs="宋体"/>
          <w:b/>
          <w:sz w:val="24"/>
          <w:szCs w:val="24"/>
        </w:rPr>
      </w:pPr>
      <w:r>
        <w:rPr>
          <w:rFonts w:hint="eastAsia" w:ascii="Times New Roman" w:hAnsi="Times New Roman" w:cs="宋体"/>
          <w:b/>
          <w:sz w:val="24"/>
          <w:szCs w:val="24"/>
        </w:rPr>
        <w:t>十</w:t>
      </w:r>
      <w:r>
        <w:rPr>
          <w:rFonts w:hint="eastAsia" w:ascii="Times New Roman" w:hAnsi="Times New Roman" w:cs="宋体"/>
          <w:b/>
          <w:sz w:val="24"/>
          <w:szCs w:val="24"/>
          <w:lang w:val="en-US" w:eastAsia="zh-CN"/>
        </w:rPr>
        <w:t>一</w:t>
      </w:r>
      <w:r>
        <w:rPr>
          <w:rFonts w:hint="eastAsia" w:ascii="Times New Roman" w:hAnsi="Times New Roman" w:cs="宋体"/>
          <w:b/>
          <w:sz w:val="24"/>
          <w:szCs w:val="24"/>
        </w:rPr>
        <w:t>、履约保证金</w:t>
      </w:r>
    </w:p>
    <w:p w14:paraId="246FA98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cs="宋体"/>
          <w:b/>
          <w:sz w:val="24"/>
          <w:szCs w:val="24"/>
        </w:rPr>
      </w:pPr>
      <w:r>
        <w:rPr>
          <w:rFonts w:hint="eastAsia" w:ascii="Times New Roman" w:hAnsi="Times New Roman" w:cs="宋体"/>
          <w:b/>
          <w:sz w:val="24"/>
          <w:szCs w:val="24"/>
        </w:rPr>
        <w:t>免收</w:t>
      </w:r>
    </w:p>
    <w:p w14:paraId="0DFCD36F">
      <w:pPr>
        <w:keepNext w:val="0"/>
        <w:keepLines w:val="0"/>
        <w:pageBreakBefore w:val="0"/>
        <w:widowControl w:val="0"/>
        <w:kinsoku/>
        <w:wordWrap/>
        <w:overflowPunct/>
        <w:topLinePunct w:val="0"/>
        <w:autoSpaceDE/>
        <w:autoSpaceDN/>
        <w:bidi w:val="0"/>
        <w:adjustRightInd/>
        <w:snapToGrid/>
        <w:spacing w:line="360" w:lineRule="auto"/>
        <w:ind w:firstLine="482" w:firstLineChars="200"/>
        <w:contextualSpacing/>
        <w:textAlignment w:val="auto"/>
        <w:rPr>
          <w:rFonts w:ascii="Times New Roman" w:hAnsi="Times New Roman"/>
          <w:b/>
          <w:bCs/>
          <w:sz w:val="24"/>
          <w:szCs w:val="24"/>
        </w:rPr>
      </w:pPr>
      <w:r>
        <w:rPr>
          <w:rFonts w:hint="eastAsia" w:ascii="Times New Roman" w:hAnsi="Times New Roman" w:cs="宋体"/>
          <w:b/>
          <w:sz w:val="24"/>
          <w:szCs w:val="24"/>
        </w:rPr>
        <w:t>十</w:t>
      </w:r>
      <w:r>
        <w:rPr>
          <w:rFonts w:hint="eastAsia" w:ascii="Times New Roman" w:hAnsi="Times New Roman" w:cs="宋体"/>
          <w:b/>
          <w:sz w:val="24"/>
          <w:szCs w:val="24"/>
          <w:lang w:val="en-US" w:eastAsia="zh-CN"/>
        </w:rPr>
        <w:t>二</w:t>
      </w:r>
      <w:r>
        <w:rPr>
          <w:rFonts w:hint="eastAsia" w:ascii="Times New Roman" w:hAnsi="Times New Roman" w:cs="宋体"/>
          <w:b/>
          <w:sz w:val="24"/>
          <w:szCs w:val="24"/>
        </w:rPr>
        <w:t>、</w:t>
      </w:r>
      <w:r>
        <w:rPr>
          <w:rFonts w:ascii="Times New Roman" w:hAnsi="Times New Roman"/>
          <w:b/>
          <w:bCs/>
          <w:sz w:val="24"/>
          <w:szCs w:val="24"/>
        </w:rPr>
        <w:t>货物和服务的追加、减少和添购。</w:t>
      </w:r>
    </w:p>
    <w:p w14:paraId="5367D62A">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ascii="Times New Roman" w:hAnsi="Times New Roman"/>
          <w:bCs/>
          <w:sz w:val="24"/>
          <w:szCs w:val="24"/>
        </w:rPr>
      </w:pPr>
      <w:r>
        <w:rPr>
          <w:rFonts w:ascii="Times New Roman" w:hAnsi="Times New Roman"/>
          <w:bCs/>
          <w:sz w:val="24"/>
          <w:szCs w:val="24"/>
        </w:rPr>
        <w:t>采购合同履行中，采购人需追加与</w:t>
      </w:r>
      <w:r>
        <w:rPr>
          <w:rFonts w:hint="eastAsia" w:ascii="Times New Roman" w:hAnsi="Times New Roman"/>
          <w:bCs/>
          <w:sz w:val="24"/>
          <w:szCs w:val="24"/>
        </w:rPr>
        <w:t>采购合同</w:t>
      </w:r>
      <w:r>
        <w:rPr>
          <w:rFonts w:ascii="Times New Roman" w:hAnsi="Times New Roman"/>
          <w:bCs/>
          <w:sz w:val="24"/>
          <w:szCs w:val="24"/>
        </w:rPr>
        <w:t>相同的货物和服务的，在不改变合同其他条款的前提下，可以与成交供应商协商签订补充合同，但所有补充合同的采购金额不超过原合同金额10%。</w:t>
      </w:r>
    </w:p>
    <w:p w14:paraId="3093F2D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cs="宋体"/>
          <w:b/>
          <w:sz w:val="24"/>
          <w:szCs w:val="24"/>
        </w:rPr>
      </w:pPr>
      <w:r>
        <w:rPr>
          <w:rFonts w:hint="eastAsia" w:ascii="Times New Roman" w:hAnsi="Times New Roman" w:cs="宋体"/>
          <w:b/>
          <w:sz w:val="24"/>
          <w:szCs w:val="24"/>
        </w:rPr>
        <w:t>十</w:t>
      </w:r>
      <w:r>
        <w:rPr>
          <w:rFonts w:hint="eastAsia" w:ascii="Times New Roman" w:hAnsi="Times New Roman" w:cs="宋体"/>
          <w:b/>
          <w:sz w:val="24"/>
          <w:szCs w:val="24"/>
          <w:lang w:val="en-US" w:eastAsia="zh-CN"/>
        </w:rPr>
        <w:t>三</w:t>
      </w:r>
      <w:r>
        <w:rPr>
          <w:rFonts w:hint="eastAsia" w:ascii="Times New Roman" w:hAnsi="Times New Roman" w:cs="宋体"/>
          <w:b/>
          <w:sz w:val="24"/>
          <w:szCs w:val="24"/>
        </w:rPr>
        <w:t>、未尽事宜</w:t>
      </w:r>
    </w:p>
    <w:p w14:paraId="5C2758DE">
      <w:pPr>
        <w:pStyle w:val="6"/>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ascii="Times New Roman" w:hAnsi="Times New Roman" w:eastAsia="宋体" w:cs="宋体"/>
          <w:sz w:val="48"/>
          <w:szCs w:val="44"/>
        </w:rPr>
      </w:pPr>
      <w:bookmarkStart w:id="171" w:name="_GoBack"/>
      <w:r>
        <w:rPr>
          <w:rFonts w:hint="eastAsia" w:ascii="Times New Roman" w:hAnsi="Times New Roman" w:eastAsia="宋体" w:cs="Times New Roman"/>
          <w:b w:val="0"/>
          <w:bCs/>
          <w:sz w:val="24"/>
          <w:szCs w:val="24"/>
          <w:lang w:val="en-US" w:eastAsia="zh-CN" w:bidi="ar-SA"/>
        </w:rPr>
        <w:t>无</w:t>
      </w:r>
      <w:bookmarkEnd w:id="171"/>
      <w:r>
        <w:rPr>
          <w:rFonts w:ascii="Times New Roman" w:hAnsi="Times New Roman" w:eastAsia="宋体" w:cs="宋体"/>
          <w:sz w:val="48"/>
          <w:szCs w:val="44"/>
        </w:rPr>
        <w:br w:type="page" w:clear="all"/>
      </w:r>
    </w:p>
    <w:p w14:paraId="62C36615">
      <w:pPr>
        <w:pStyle w:val="6"/>
        <w:keepNext w:val="0"/>
        <w:keepLines w:val="0"/>
        <w:pageBreakBefore w:val="0"/>
        <w:widowControl w:val="0"/>
        <w:kinsoku/>
        <w:wordWrap/>
        <w:overflowPunct/>
        <w:topLinePunct w:val="0"/>
        <w:autoSpaceDE/>
        <w:autoSpaceDN/>
        <w:bidi w:val="0"/>
        <w:adjustRightInd/>
        <w:snapToGrid/>
        <w:spacing w:before="0" w:after="0" w:line="360" w:lineRule="auto"/>
        <w:ind w:firstLine="964" w:firstLineChars="200"/>
        <w:jc w:val="center"/>
        <w:textAlignment w:val="auto"/>
        <w:rPr>
          <w:rFonts w:ascii="Times New Roman" w:hAnsi="Times New Roman" w:eastAsia="宋体" w:cs="宋体"/>
          <w:sz w:val="48"/>
          <w:szCs w:val="44"/>
        </w:rPr>
      </w:pPr>
      <w:r>
        <w:rPr>
          <w:rFonts w:hint="eastAsia" w:ascii="Times New Roman" w:hAnsi="Times New Roman" w:eastAsia="宋体" w:cs="宋体"/>
          <w:sz w:val="48"/>
          <w:szCs w:val="44"/>
        </w:rPr>
        <w:t>第三章 项目需求</w:t>
      </w:r>
    </w:p>
    <w:p w14:paraId="1E7ABC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Courier New"/>
          <w:sz w:val="24"/>
          <w:szCs w:val="24"/>
          <w:highlight w:val="none"/>
        </w:rPr>
      </w:pPr>
      <w:r>
        <w:rPr>
          <w:rFonts w:hint="eastAsia" w:ascii="宋体" w:hAnsi="宋体" w:cs="Courier New"/>
          <w:sz w:val="24"/>
          <w:szCs w:val="24"/>
        </w:rPr>
        <w:t>项目属性：服</w:t>
      </w:r>
      <w:r>
        <w:rPr>
          <w:rFonts w:hint="eastAsia" w:ascii="宋体" w:hAnsi="宋体" w:cs="Courier New"/>
          <w:sz w:val="24"/>
          <w:szCs w:val="24"/>
          <w:highlight w:val="none"/>
        </w:rPr>
        <w:t>务类项目</w:t>
      </w:r>
    </w:p>
    <w:p w14:paraId="7771F7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sz w:val="24"/>
          <w:szCs w:val="24"/>
          <w:highlight w:val="none"/>
        </w:rPr>
      </w:pPr>
      <w:r>
        <w:rPr>
          <w:rFonts w:hint="eastAsia" w:ascii="宋体" w:hAnsi="宋体"/>
          <w:bCs/>
          <w:sz w:val="24"/>
          <w:szCs w:val="24"/>
          <w:highlight w:val="none"/>
        </w:rPr>
        <w:t>采购需求包括拟采购的标的及其需要满足的技术、商务要求。</w:t>
      </w:r>
    </w:p>
    <w:p w14:paraId="32A9CE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sz w:val="24"/>
          <w:szCs w:val="24"/>
          <w:highlight w:val="none"/>
        </w:rPr>
      </w:pPr>
      <w:r>
        <w:rPr>
          <w:rFonts w:hint="eastAsia" w:ascii="宋体" w:hAnsi="宋体"/>
          <w:bCs/>
          <w:sz w:val="24"/>
          <w:szCs w:val="24"/>
          <w:highlight w:val="none"/>
        </w:rPr>
        <w:t>（一）技术要求是指对采购标的功能和质量要求，包括服务内容和标准等。</w:t>
      </w:r>
    </w:p>
    <w:p w14:paraId="073D8B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Cs/>
          <w:sz w:val="24"/>
          <w:szCs w:val="24"/>
          <w:highlight w:val="none"/>
        </w:rPr>
      </w:pPr>
      <w:r>
        <w:rPr>
          <w:rFonts w:hint="eastAsia" w:ascii="宋体" w:hAnsi="宋体"/>
          <w:bCs/>
          <w:sz w:val="24"/>
          <w:szCs w:val="24"/>
          <w:highlight w:val="none"/>
        </w:rPr>
        <w:t>（二）商务要求是指取得采购标的的时间、地点、财务和服务要求，包括交付（实施）的时间（期限）和地点（范围），付款条件（进度和方法）</w:t>
      </w:r>
      <w:r>
        <w:rPr>
          <w:rFonts w:hint="eastAsia" w:ascii="宋体" w:hAnsi="宋体"/>
          <w:bCs/>
          <w:sz w:val="24"/>
          <w:szCs w:val="24"/>
          <w:highlight w:val="none"/>
          <w:lang w:eastAsia="zh-CN"/>
        </w:rPr>
        <w:t>，</w:t>
      </w:r>
      <w:r>
        <w:rPr>
          <w:rFonts w:hint="eastAsia" w:ascii="宋体" w:hAnsi="宋体"/>
          <w:bCs/>
          <w:sz w:val="24"/>
          <w:szCs w:val="24"/>
          <w:highlight w:val="none"/>
        </w:rPr>
        <w:t>售后服务，保险等。</w:t>
      </w:r>
    </w:p>
    <w:p w14:paraId="48033C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其内容包含但不限于以下内容：</w:t>
      </w:r>
    </w:p>
    <w:p w14:paraId="3EB7FD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一、项目具体需求说明</w:t>
      </w:r>
    </w:p>
    <w:p w14:paraId="2B46BD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为了进一步做好关爱民警工作，切实减轻民警家庭看病就医负担，实施民警家庭医疗健康</w:t>
      </w:r>
      <w:r>
        <w:rPr>
          <w:rFonts w:hint="eastAsia" w:ascii="宋体" w:hAnsi="宋体" w:eastAsia="宋体" w:cs="宋体"/>
          <w:sz w:val="24"/>
          <w:szCs w:val="24"/>
          <w:highlight w:val="none"/>
        </w:rPr>
        <w:t>综合</w:t>
      </w:r>
      <w:r>
        <w:rPr>
          <w:rFonts w:hint="eastAsia" w:ascii="宋体" w:hAnsi="宋体" w:eastAsia="宋体" w:cs="宋体"/>
          <w:sz w:val="24"/>
          <w:szCs w:val="24"/>
          <w:highlight w:val="none"/>
          <w:lang w:val="zh-CN"/>
        </w:rPr>
        <w:t>保险计划，与社会基本医疗保险和民警抚恤、人身意外伤害保险等保障制度，共同发挥托底保障作用，缓解民警家庭因病致困、因病致贫的状况，努力帮助民警解决后顾之忧，进一步增强队伍的凝聚力和归属感。</w:t>
      </w:r>
      <w:r>
        <w:rPr>
          <w:rFonts w:hint="eastAsia" w:ascii="宋体" w:hAnsi="宋体" w:eastAsia="宋体" w:cs="宋体"/>
          <w:sz w:val="24"/>
          <w:szCs w:val="24"/>
          <w:highlight w:val="none"/>
        </w:rPr>
        <w:t>南通市公安局拟为市区各分局（含通州湾示范区）、各警种（含行政职工）在职民警及其配偶和成年子女、未成年子女，向保险公司购买“公安民警家庭医疗健康综合保险”。</w:t>
      </w:r>
      <w:r>
        <w:rPr>
          <w:rFonts w:hint="eastAsia" w:ascii="宋体" w:hAnsi="宋体" w:eastAsia="宋体" w:cs="宋体"/>
          <w:color w:val="000000"/>
          <w:sz w:val="24"/>
          <w:szCs w:val="24"/>
          <w:highlight w:val="none"/>
        </w:rPr>
        <w:t>保险费在职民警人均200元，在职民警配偶及成年子女和未成年子女人均100元。</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去年</w:t>
      </w:r>
      <w:r>
        <w:rPr>
          <w:rFonts w:hint="eastAsia" w:ascii="宋体" w:hAnsi="宋体" w:eastAsia="宋体" w:cs="宋体"/>
          <w:color w:val="000000"/>
          <w:sz w:val="24"/>
          <w:szCs w:val="24"/>
          <w:highlight w:val="none"/>
        </w:rPr>
        <w:t>职民警人</w:t>
      </w:r>
      <w:r>
        <w:rPr>
          <w:rFonts w:hint="eastAsia" w:ascii="宋体" w:hAnsi="宋体" w:cs="宋体"/>
          <w:color w:val="000000"/>
          <w:sz w:val="24"/>
          <w:szCs w:val="24"/>
          <w:highlight w:val="none"/>
          <w:lang w:val="en-US" w:eastAsia="zh-CN"/>
        </w:rPr>
        <w:t>数约3260人，</w:t>
      </w:r>
      <w:r>
        <w:rPr>
          <w:rFonts w:hint="eastAsia" w:ascii="宋体" w:hAnsi="宋体" w:eastAsia="宋体" w:cs="宋体"/>
          <w:color w:val="000000"/>
          <w:sz w:val="24"/>
          <w:szCs w:val="24"/>
          <w:highlight w:val="none"/>
        </w:rPr>
        <w:t>在职民警</w:t>
      </w:r>
      <w:r>
        <w:rPr>
          <w:rFonts w:hint="eastAsia" w:ascii="宋体" w:hAnsi="宋体" w:cs="宋体"/>
          <w:color w:val="000000"/>
          <w:sz w:val="24"/>
          <w:szCs w:val="24"/>
          <w:highlight w:val="none"/>
          <w:lang w:val="en-US" w:eastAsia="zh-CN"/>
        </w:rPr>
        <w:t>配偶成年子女约3791多人、未成年 约1849多人。</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具体保费金额以参保时实际人数为准。保险时间：</w:t>
      </w:r>
      <w:r>
        <w:rPr>
          <w:rFonts w:hint="eastAsia" w:ascii="宋体" w:hAnsi="宋体"/>
          <w:sz w:val="24"/>
          <w:szCs w:val="24"/>
          <w:highlight w:val="none"/>
          <w:lang w:eastAsia="zh-CN"/>
        </w:rPr>
        <w:t>2025年6月30日零时起至2026年6月29日二十四时止（期限一年）</w:t>
      </w:r>
      <w:r>
        <w:rPr>
          <w:rFonts w:hint="eastAsia" w:ascii="宋体" w:hAnsi="宋体" w:eastAsia="宋体" w:cs="宋体"/>
          <w:color w:val="000000"/>
          <w:sz w:val="24"/>
          <w:szCs w:val="24"/>
          <w:highlight w:val="none"/>
        </w:rPr>
        <w:t>。本项目承保期限一年，第二年可视承保情况</w:t>
      </w:r>
      <w:r>
        <w:rPr>
          <w:rFonts w:hint="eastAsia" w:ascii="宋体" w:hAnsi="宋体" w:eastAsia="宋体" w:cs="宋体"/>
          <w:sz w:val="24"/>
          <w:szCs w:val="24"/>
          <w:highlight w:val="none"/>
        </w:rPr>
        <w:t>续签，</w:t>
      </w:r>
      <w:r>
        <w:rPr>
          <w:rFonts w:hint="eastAsia" w:ascii="宋体" w:hAnsi="宋体" w:cs="宋体"/>
          <w:sz w:val="24"/>
          <w:szCs w:val="24"/>
          <w:highlight w:val="none"/>
          <w:lang w:eastAsia="zh-CN"/>
        </w:rPr>
        <w:t>但总承保期限不得超过3年</w:t>
      </w:r>
      <w:r>
        <w:rPr>
          <w:rFonts w:hint="eastAsia" w:ascii="宋体" w:hAnsi="宋体" w:eastAsia="宋体" w:cs="宋体"/>
          <w:sz w:val="24"/>
          <w:szCs w:val="24"/>
          <w:highlight w:val="none"/>
        </w:rPr>
        <w:t>。</w:t>
      </w:r>
    </w:p>
    <w:p w14:paraId="52AAE6E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二、基本保障内容：</w:t>
      </w:r>
    </w:p>
    <w:tbl>
      <w:tblPr>
        <w:tblStyle w:val="56"/>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2019"/>
        <w:gridCol w:w="1843"/>
        <w:gridCol w:w="2268"/>
        <w:gridCol w:w="1984"/>
      </w:tblGrid>
      <w:tr w14:paraId="6669D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5" w:type="dxa"/>
            <w:vMerge w:val="restart"/>
            <w:noWrap w:val="0"/>
            <w:vAlign w:val="center"/>
          </w:tcPr>
          <w:p w14:paraId="60ABC209">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保障</w:t>
            </w:r>
          </w:p>
          <w:p w14:paraId="1575569E">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类别</w:t>
            </w:r>
          </w:p>
        </w:tc>
        <w:tc>
          <w:tcPr>
            <w:tcW w:w="2019" w:type="dxa"/>
            <w:vMerge w:val="restart"/>
            <w:noWrap w:val="0"/>
            <w:vAlign w:val="center"/>
          </w:tcPr>
          <w:p w14:paraId="3355B1A3">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保险责任</w:t>
            </w:r>
          </w:p>
        </w:tc>
        <w:tc>
          <w:tcPr>
            <w:tcW w:w="6095" w:type="dxa"/>
            <w:gridSpan w:val="3"/>
            <w:noWrap w:val="0"/>
            <w:vAlign w:val="center"/>
          </w:tcPr>
          <w:p w14:paraId="1D4D4372">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保险金额（年/人）</w:t>
            </w:r>
          </w:p>
        </w:tc>
      </w:tr>
      <w:tr w14:paraId="3532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5" w:type="dxa"/>
            <w:vMerge w:val="continue"/>
            <w:noWrap w:val="0"/>
            <w:vAlign w:val="center"/>
          </w:tcPr>
          <w:p w14:paraId="7E053B44">
            <w:pPr>
              <w:spacing w:line="576" w:lineRule="exact"/>
              <w:jc w:val="center"/>
              <w:rPr>
                <w:rFonts w:hint="eastAsia" w:ascii="宋体" w:hAnsi="宋体" w:eastAsia="宋体" w:cs="宋体"/>
                <w:bCs/>
                <w:kern w:val="0"/>
                <w:sz w:val="24"/>
                <w:szCs w:val="24"/>
                <w:highlight w:val="none"/>
              </w:rPr>
            </w:pPr>
          </w:p>
        </w:tc>
        <w:tc>
          <w:tcPr>
            <w:tcW w:w="2019" w:type="dxa"/>
            <w:vMerge w:val="continue"/>
            <w:noWrap w:val="0"/>
            <w:vAlign w:val="center"/>
          </w:tcPr>
          <w:p w14:paraId="3E17FDA4">
            <w:pPr>
              <w:spacing w:line="576" w:lineRule="exact"/>
              <w:jc w:val="center"/>
              <w:rPr>
                <w:rFonts w:hint="eastAsia" w:ascii="宋体" w:hAnsi="宋体" w:eastAsia="宋体" w:cs="宋体"/>
                <w:bCs/>
                <w:kern w:val="0"/>
                <w:sz w:val="24"/>
                <w:szCs w:val="24"/>
                <w:highlight w:val="none"/>
              </w:rPr>
            </w:pPr>
          </w:p>
        </w:tc>
        <w:tc>
          <w:tcPr>
            <w:tcW w:w="1843" w:type="dxa"/>
            <w:noWrap w:val="0"/>
            <w:vAlign w:val="center"/>
          </w:tcPr>
          <w:p w14:paraId="2FB974C2">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sz w:val="24"/>
                <w:szCs w:val="24"/>
                <w:highlight w:val="none"/>
              </w:rPr>
              <w:t>在职民警</w:t>
            </w:r>
          </w:p>
        </w:tc>
        <w:tc>
          <w:tcPr>
            <w:tcW w:w="2268" w:type="dxa"/>
            <w:noWrap w:val="0"/>
            <w:vAlign w:val="center"/>
          </w:tcPr>
          <w:p w14:paraId="0EC4E26A">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sz w:val="24"/>
                <w:szCs w:val="24"/>
                <w:highlight w:val="none"/>
              </w:rPr>
              <w:t>配偶及成年子女</w:t>
            </w:r>
          </w:p>
        </w:tc>
        <w:tc>
          <w:tcPr>
            <w:tcW w:w="1984" w:type="dxa"/>
            <w:noWrap w:val="0"/>
            <w:vAlign w:val="center"/>
          </w:tcPr>
          <w:p w14:paraId="0A1FA28B">
            <w:pPr>
              <w:spacing w:line="576"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未成年子女</w:t>
            </w:r>
          </w:p>
        </w:tc>
      </w:tr>
      <w:tr w14:paraId="3F59D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45" w:type="dxa"/>
            <w:vMerge w:val="restart"/>
            <w:noWrap w:val="0"/>
            <w:vAlign w:val="center"/>
          </w:tcPr>
          <w:p w14:paraId="6C56E083">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意外</w:t>
            </w:r>
          </w:p>
          <w:p w14:paraId="715DA4DE">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保障</w:t>
            </w:r>
          </w:p>
        </w:tc>
        <w:tc>
          <w:tcPr>
            <w:tcW w:w="2019" w:type="dxa"/>
            <w:noWrap w:val="0"/>
            <w:vAlign w:val="center"/>
          </w:tcPr>
          <w:p w14:paraId="18C25498">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非因公意外身故</w:t>
            </w:r>
          </w:p>
        </w:tc>
        <w:tc>
          <w:tcPr>
            <w:tcW w:w="1843" w:type="dxa"/>
            <w:noWrap w:val="0"/>
            <w:vAlign w:val="center"/>
          </w:tcPr>
          <w:p w14:paraId="50341D94">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color w:val="FF0000"/>
                <w:kern w:val="0"/>
                <w:sz w:val="24"/>
                <w:szCs w:val="24"/>
                <w:highlight w:val="none"/>
              </w:rPr>
              <w:t>40000元</w:t>
            </w:r>
          </w:p>
        </w:tc>
        <w:tc>
          <w:tcPr>
            <w:tcW w:w="2268" w:type="dxa"/>
            <w:vMerge w:val="restart"/>
            <w:noWrap w:val="0"/>
            <w:vAlign w:val="center"/>
          </w:tcPr>
          <w:p w14:paraId="51AE1436">
            <w:pPr>
              <w:spacing w:line="576" w:lineRule="exact"/>
              <w:jc w:val="center"/>
              <w:rPr>
                <w:rFonts w:hint="eastAsia" w:ascii="宋体" w:hAnsi="宋体" w:eastAsia="宋体" w:cs="宋体"/>
                <w:bCs/>
                <w:color w:val="FF0000"/>
                <w:kern w:val="0"/>
                <w:sz w:val="24"/>
                <w:szCs w:val="24"/>
                <w:highlight w:val="none"/>
              </w:rPr>
            </w:pPr>
            <w:r>
              <w:rPr>
                <w:rFonts w:hint="eastAsia" w:ascii="宋体" w:hAnsi="宋体" w:eastAsia="宋体" w:cs="宋体"/>
                <w:bCs/>
                <w:color w:val="FF0000"/>
                <w:kern w:val="0"/>
                <w:sz w:val="24"/>
                <w:szCs w:val="24"/>
                <w:highlight w:val="none"/>
              </w:rPr>
              <w:t>40000元</w:t>
            </w:r>
          </w:p>
        </w:tc>
        <w:tc>
          <w:tcPr>
            <w:tcW w:w="1984" w:type="dxa"/>
            <w:vMerge w:val="restart"/>
            <w:noWrap w:val="0"/>
            <w:vAlign w:val="center"/>
          </w:tcPr>
          <w:p w14:paraId="094FB901">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50000元</w:t>
            </w:r>
          </w:p>
        </w:tc>
      </w:tr>
      <w:tr w14:paraId="66DF2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45" w:type="dxa"/>
            <w:vMerge w:val="continue"/>
            <w:noWrap w:val="0"/>
            <w:vAlign w:val="center"/>
          </w:tcPr>
          <w:p w14:paraId="34BD4E97">
            <w:pPr>
              <w:spacing w:line="576" w:lineRule="exact"/>
              <w:jc w:val="center"/>
              <w:rPr>
                <w:rFonts w:hint="eastAsia" w:ascii="宋体" w:hAnsi="宋体" w:eastAsia="宋体" w:cs="宋体"/>
                <w:bCs/>
                <w:kern w:val="0"/>
                <w:sz w:val="24"/>
                <w:szCs w:val="24"/>
                <w:highlight w:val="none"/>
              </w:rPr>
            </w:pPr>
          </w:p>
        </w:tc>
        <w:tc>
          <w:tcPr>
            <w:tcW w:w="2019" w:type="dxa"/>
            <w:noWrap w:val="0"/>
            <w:vAlign w:val="center"/>
          </w:tcPr>
          <w:p w14:paraId="032E6C88">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因公意外身故</w:t>
            </w:r>
          </w:p>
        </w:tc>
        <w:tc>
          <w:tcPr>
            <w:tcW w:w="1843" w:type="dxa"/>
            <w:noWrap w:val="0"/>
            <w:vAlign w:val="center"/>
          </w:tcPr>
          <w:p w14:paraId="2ECEA86D">
            <w:pPr>
              <w:spacing w:line="576" w:lineRule="exact"/>
              <w:jc w:val="center"/>
              <w:rPr>
                <w:rFonts w:hint="eastAsia" w:ascii="宋体" w:hAnsi="宋体" w:eastAsia="宋体" w:cs="宋体"/>
                <w:bCs/>
                <w:color w:val="FF0000"/>
                <w:kern w:val="0"/>
                <w:sz w:val="24"/>
                <w:szCs w:val="24"/>
                <w:highlight w:val="none"/>
              </w:rPr>
            </w:pPr>
            <w:r>
              <w:rPr>
                <w:rFonts w:hint="eastAsia" w:ascii="宋体" w:hAnsi="宋体" w:eastAsia="宋体" w:cs="宋体"/>
                <w:bCs/>
                <w:color w:val="FF0000"/>
                <w:kern w:val="0"/>
                <w:sz w:val="24"/>
                <w:szCs w:val="24"/>
                <w:highlight w:val="none"/>
              </w:rPr>
              <w:t>80000元</w:t>
            </w:r>
          </w:p>
        </w:tc>
        <w:tc>
          <w:tcPr>
            <w:tcW w:w="2268" w:type="dxa"/>
            <w:vMerge w:val="continue"/>
            <w:noWrap w:val="0"/>
            <w:vAlign w:val="center"/>
          </w:tcPr>
          <w:p w14:paraId="2E7F43F2">
            <w:pPr>
              <w:spacing w:line="576" w:lineRule="exact"/>
              <w:jc w:val="center"/>
              <w:rPr>
                <w:rFonts w:hint="eastAsia" w:ascii="宋体" w:hAnsi="宋体" w:eastAsia="宋体" w:cs="宋体"/>
                <w:bCs/>
                <w:color w:val="FF0000"/>
                <w:kern w:val="0"/>
                <w:sz w:val="24"/>
                <w:szCs w:val="24"/>
                <w:highlight w:val="none"/>
              </w:rPr>
            </w:pPr>
          </w:p>
        </w:tc>
        <w:tc>
          <w:tcPr>
            <w:tcW w:w="1984" w:type="dxa"/>
            <w:vMerge w:val="continue"/>
            <w:noWrap w:val="0"/>
            <w:vAlign w:val="center"/>
          </w:tcPr>
          <w:p w14:paraId="5E30F444">
            <w:pPr>
              <w:spacing w:line="576" w:lineRule="exact"/>
              <w:jc w:val="center"/>
              <w:rPr>
                <w:rFonts w:hint="eastAsia" w:ascii="宋体" w:hAnsi="宋体" w:eastAsia="宋体" w:cs="宋体"/>
                <w:bCs/>
                <w:kern w:val="0"/>
                <w:sz w:val="24"/>
                <w:szCs w:val="24"/>
                <w:highlight w:val="none"/>
              </w:rPr>
            </w:pPr>
          </w:p>
        </w:tc>
      </w:tr>
      <w:tr w14:paraId="7765F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vMerge w:val="continue"/>
            <w:noWrap w:val="0"/>
            <w:vAlign w:val="center"/>
          </w:tcPr>
          <w:p w14:paraId="1CE84185">
            <w:pPr>
              <w:spacing w:line="576" w:lineRule="exact"/>
              <w:jc w:val="center"/>
              <w:rPr>
                <w:rFonts w:hint="eastAsia" w:ascii="宋体" w:hAnsi="宋体" w:eastAsia="宋体" w:cs="宋体"/>
                <w:bCs/>
                <w:kern w:val="0"/>
                <w:sz w:val="24"/>
                <w:szCs w:val="24"/>
                <w:highlight w:val="none"/>
              </w:rPr>
            </w:pPr>
          </w:p>
        </w:tc>
        <w:tc>
          <w:tcPr>
            <w:tcW w:w="2019" w:type="dxa"/>
            <w:noWrap w:val="0"/>
            <w:vAlign w:val="center"/>
          </w:tcPr>
          <w:p w14:paraId="1E3D39C7">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意外残疾</w:t>
            </w:r>
          </w:p>
        </w:tc>
        <w:tc>
          <w:tcPr>
            <w:tcW w:w="1843" w:type="dxa"/>
            <w:noWrap w:val="0"/>
            <w:vAlign w:val="center"/>
          </w:tcPr>
          <w:p w14:paraId="37D3B8CF">
            <w:pPr>
              <w:spacing w:line="576" w:lineRule="exact"/>
              <w:jc w:val="center"/>
              <w:rPr>
                <w:rFonts w:hint="eastAsia" w:ascii="宋体" w:hAnsi="宋体" w:eastAsia="宋体" w:cs="宋体"/>
                <w:bCs/>
                <w:color w:val="FF0000"/>
                <w:kern w:val="0"/>
                <w:sz w:val="24"/>
                <w:szCs w:val="24"/>
                <w:highlight w:val="none"/>
              </w:rPr>
            </w:pPr>
            <w:r>
              <w:rPr>
                <w:rFonts w:hint="eastAsia" w:ascii="宋体" w:hAnsi="宋体" w:eastAsia="宋体" w:cs="宋体"/>
                <w:bCs/>
                <w:color w:val="FF0000"/>
                <w:kern w:val="0"/>
                <w:sz w:val="24"/>
                <w:szCs w:val="24"/>
                <w:highlight w:val="none"/>
              </w:rPr>
              <w:t>40000元</w:t>
            </w:r>
          </w:p>
        </w:tc>
        <w:tc>
          <w:tcPr>
            <w:tcW w:w="2268" w:type="dxa"/>
            <w:noWrap w:val="0"/>
            <w:vAlign w:val="center"/>
          </w:tcPr>
          <w:p w14:paraId="658E43D3">
            <w:pPr>
              <w:spacing w:line="576" w:lineRule="exact"/>
              <w:jc w:val="center"/>
              <w:rPr>
                <w:rFonts w:hint="eastAsia" w:ascii="宋体" w:hAnsi="宋体" w:eastAsia="宋体" w:cs="宋体"/>
                <w:bCs/>
                <w:color w:val="FF0000"/>
                <w:kern w:val="0"/>
                <w:sz w:val="24"/>
                <w:szCs w:val="24"/>
                <w:highlight w:val="none"/>
              </w:rPr>
            </w:pPr>
            <w:r>
              <w:rPr>
                <w:rFonts w:hint="eastAsia" w:ascii="宋体" w:hAnsi="宋体" w:eastAsia="宋体" w:cs="宋体"/>
                <w:bCs/>
                <w:color w:val="FF0000"/>
                <w:kern w:val="0"/>
                <w:sz w:val="24"/>
                <w:szCs w:val="24"/>
                <w:highlight w:val="none"/>
              </w:rPr>
              <w:t>40000元</w:t>
            </w:r>
          </w:p>
        </w:tc>
        <w:tc>
          <w:tcPr>
            <w:tcW w:w="1984" w:type="dxa"/>
            <w:noWrap w:val="0"/>
            <w:vAlign w:val="center"/>
          </w:tcPr>
          <w:p w14:paraId="39025F52">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50000元</w:t>
            </w:r>
          </w:p>
        </w:tc>
      </w:tr>
      <w:tr w14:paraId="6510E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vMerge w:val="continue"/>
            <w:noWrap w:val="0"/>
            <w:vAlign w:val="center"/>
          </w:tcPr>
          <w:p w14:paraId="36B7640E">
            <w:pPr>
              <w:spacing w:line="576" w:lineRule="exact"/>
              <w:jc w:val="center"/>
              <w:rPr>
                <w:rFonts w:hint="eastAsia" w:ascii="宋体" w:hAnsi="宋体" w:eastAsia="宋体" w:cs="宋体"/>
                <w:bCs/>
                <w:kern w:val="0"/>
                <w:sz w:val="24"/>
                <w:szCs w:val="24"/>
                <w:highlight w:val="none"/>
              </w:rPr>
            </w:pPr>
          </w:p>
        </w:tc>
        <w:tc>
          <w:tcPr>
            <w:tcW w:w="2019" w:type="dxa"/>
            <w:noWrap w:val="0"/>
            <w:vAlign w:val="center"/>
          </w:tcPr>
          <w:p w14:paraId="1B0F49D7">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意外门诊医疗</w:t>
            </w:r>
          </w:p>
        </w:tc>
        <w:tc>
          <w:tcPr>
            <w:tcW w:w="1843" w:type="dxa"/>
            <w:noWrap w:val="0"/>
            <w:vAlign w:val="center"/>
          </w:tcPr>
          <w:p w14:paraId="571750D7">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10000元</w:t>
            </w:r>
          </w:p>
        </w:tc>
        <w:tc>
          <w:tcPr>
            <w:tcW w:w="2268" w:type="dxa"/>
            <w:noWrap w:val="0"/>
            <w:vAlign w:val="center"/>
          </w:tcPr>
          <w:p w14:paraId="146D1882">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5000元</w:t>
            </w:r>
          </w:p>
        </w:tc>
        <w:tc>
          <w:tcPr>
            <w:tcW w:w="1984" w:type="dxa"/>
            <w:noWrap w:val="0"/>
            <w:vAlign w:val="center"/>
          </w:tcPr>
          <w:p w14:paraId="6DAC10C1">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w:t>
            </w:r>
          </w:p>
        </w:tc>
      </w:tr>
      <w:tr w14:paraId="53997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45" w:type="dxa"/>
            <w:vMerge w:val="continue"/>
            <w:noWrap w:val="0"/>
            <w:vAlign w:val="center"/>
          </w:tcPr>
          <w:p w14:paraId="4507A0E0">
            <w:pPr>
              <w:spacing w:line="576" w:lineRule="exact"/>
              <w:jc w:val="center"/>
              <w:rPr>
                <w:rFonts w:hint="eastAsia" w:ascii="宋体" w:hAnsi="宋体" w:eastAsia="宋体" w:cs="宋体"/>
                <w:bCs/>
                <w:kern w:val="0"/>
                <w:sz w:val="24"/>
                <w:szCs w:val="24"/>
                <w:highlight w:val="none"/>
              </w:rPr>
            </w:pPr>
          </w:p>
        </w:tc>
        <w:tc>
          <w:tcPr>
            <w:tcW w:w="2019" w:type="dxa"/>
            <w:noWrap w:val="0"/>
            <w:vAlign w:val="center"/>
          </w:tcPr>
          <w:p w14:paraId="638652D4">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意外住院医疗</w:t>
            </w:r>
          </w:p>
        </w:tc>
        <w:tc>
          <w:tcPr>
            <w:tcW w:w="1843" w:type="dxa"/>
            <w:noWrap w:val="0"/>
            <w:vAlign w:val="center"/>
          </w:tcPr>
          <w:p w14:paraId="7B8942E0">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10000元</w:t>
            </w:r>
          </w:p>
        </w:tc>
        <w:tc>
          <w:tcPr>
            <w:tcW w:w="2268" w:type="dxa"/>
            <w:noWrap w:val="0"/>
            <w:vAlign w:val="center"/>
          </w:tcPr>
          <w:p w14:paraId="3101D27F">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5000元</w:t>
            </w:r>
          </w:p>
        </w:tc>
        <w:tc>
          <w:tcPr>
            <w:tcW w:w="1984" w:type="dxa"/>
            <w:noWrap w:val="0"/>
            <w:vAlign w:val="center"/>
          </w:tcPr>
          <w:p w14:paraId="4B0FF624">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10000元</w:t>
            </w:r>
          </w:p>
        </w:tc>
      </w:tr>
      <w:tr w14:paraId="1913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45" w:type="dxa"/>
            <w:vMerge w:val="restart"/>
            <w:noWrap w:val="0"/>
            <w:vAlign w:val="center"/>
          </w:tcPr>
          <w:p w14:paraId="5ED9B8E3">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交通意外保障</w:t>
            </w:r>
          </w:p>
        </w:tc>
        <w:tc>
          <w:tcPr>
            <w:tcW w:w="2019" w:type="dxa"/>
            <w:noWrap w:val="0"/>
            <w:vAlign w:val="center"/>
          </w:tcPr>
          <w:p w14:paraId="654F7A17">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机动车</w:t>
            </w:r>
          </w:p>
        </w:tc>
        <w:tc>
          <w:tcPr>
            <w:tcW w:w="1843" w:type="dxa"/>
            <w:noWrap w:val="0"/>
            <w:vAlign w:val="center"/>
          </w:tcPr>
          <w:p w14:paraId="505DD96B">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100000元</w:t>
            </w:r>
          </w:p>
        </w:tc>
        <w:tc>
          <w:tcPr>
            <w:tcW w:w="2268" w:type="dxa"/>
            <w:noWrap w:val="0"/>
            <w:vAlign w:val="center"/>
          </w:tcPr>
          <w:p w14:paraId="4F99C16E">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w:t>
            </w:r>
          </w:p>
        </w:tc>
        <w:tc>
          <w:tcPr>
            <w:tcW w:w="1984" w:type="dxa"/>
            <w:noWrap w:val="0"/>
            <w:vAlign w:val="center"/>
          </w:tcPr>
          <w:p w14:paraId="17BB76E7">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w:t>
            </w:r>
          </w:p>
        </w:tc>
      </w:tr>
      <w:tr w14:paraId="7A6CA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45" w:type="dxa"/>
            <w:vMerge w:val="continue"/>
            <w:noWrap w:val="0"/>
            <w:vAlign w:val="center"/>
          </w:tcPr>
          <w:p w14:paraId="26673D26">
            <w:pPr>
              <w:spacing w:line="576" w:lineRule="exact"/>
              <w:jc w:val="center"/>
              <w:rPr>
                <w:rFonts w:hint="eastAsia" w:ascii="宋体" w:hAnsi="宋体" w:eastAsia="宋体" w:cs="宋体"/>
                <w:bCs/>
                <w:kern w:val="0"/>
                <w:sz w:val="24"/>
                <w:szCs w:val="24"/>
                <w:highlight w:val="none"/>
              </w:rPr>
            </w:pPr>
          </w:p>
        </w:tc>
        <w:tc>
          <w:tcPr>
            <w:tcW w:w="2019" w:type="dxa"/>
            <w:noWrap w:val="0"/>
            <w:vAlign w:val="center"/>
          </w:tcPr>
          <w:p w14:paraId="627627C4">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水上交通</w:t>
            </w:r>
          </w:p>
        </w:tc>
        <w:tc>
          <w:tcPr>
            <w:tcW w:w="1843" w:type="dxa"/>
            <w:noWrap w:val="0"/>
            <w:vAlign w:val="center"/>
          </w:tcPr>
          <w:p w14:paraId="3807ACCA">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200000元</w:t>
            </w:r>
          </w:p>
        </w:tc>
        <w:tc>
          <w:tcPr>
            <w:tcW w:w="2268" w:type="dxa"/>
            <w:noWrap w:val="0"/>
            <w:vAlign w:val="center"/>
          </w:tcPr>
          <w:p w14:paraId="65771540">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w:t>
            </w:r>
          </w:p>
        </w:tc>
        <w:tc>
          <w:tcPr>
            <w:tcW w:w="1984" w:type="dxa"/>
            <w:noWrap w:val="0"/>
            <w:vAlign w:val="center"/>
          </w:tcPr>
          <w:p w14:paraId="4789C7C3">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w:t>
            </w:r>
          </w:p>
        </w:tc>
      </w:tr>
      <w:tr w14:paraId="17B36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45" w:type="dxa"/>
            <w:vMerge w:val="continue"/>
            <w:noWrap w:val="0"/>
            <w:vAlign w:val="center"/>
          </w:tcPr>
          <w:p w14:paraId="22F546C8">
            <w:pPr>
              <w:spacing w:line="576" w:lineRule="exact"/>
              <w:jc w:val="center"/>
              <w:rPr>
                <w:rFonts w:hint="eastAsia" w:ascii="宋体" w:hAnsi="宋体" w:eastAsia="宋体" w:cs="宋体"/>
                <w:bCs/>
                <w:kern w:val="0"/>
                <w:sz w:val="24"/>
                <w:szCs w:val="24"/>
                <w:highlight w:val="none"/>
              </w:rPr>
            </w:pPr>
          </w:p>
        </w:tc>
        <w:tc>
          <w:tcPr>
            <w:tcW w:w="2019" w:type="dxa"/>
            <w:noWrap w:val="0"/>
            <w:vAlign w:val="center"/>
          </w:tcPr>
          <w:p w14:paraId="0FEEA431">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轨道交通</w:t>
            </w:r>
          </w:p>
        </w:tc>
        <w:tc>
          <w:tcPr>
            <w:tcW w:w="1843" w:type="dxa"/>
            <w:noWrap w:val="0"/>
            <w:vAlign w:val="center"/>
          </w:tcPr>
          <w:p w14:paraId="6D1302E5">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200000元</w:t>
            </w:r>
          </w:p>
        </w:tc>
        <w:tc>
          <w:tcPr>
            <w:tcW w:w="2268" w:type="dxa"/>
            <w:noWrap w:val="0"/>
            <w:vAlign w:val="center"/>
          </w:tcPr>
          <w:p w14:paraId="52E2DD5A">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w:t>
            </w:r>
          </w:p>
        </w:tc>
        <w:tc>
          <w:tcPr>
            <w:tcW w:w="1984" w:type="dxa"/>
            <w:noWrap w:val="0"/>
            <w:vAlign w:val="center"/>
          </w:tcPr>
          <w:p w14:paraId="0699441C">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w:t>
            </w:r>
          </w:p>
        </w:tc>
      </w:tr>
      <w:tr w14:paraId="12E46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45" w:type="dxa"/>
            <w:vMerge w:val="continue"/>
            <w:noWrap w:val="0"/>
            <w:vAlign w:val="center"/>
          </w:tcPr>
          <w:p w14:paraId="19F000F4">
            <w:pPr>
              <w:spacing w:line="576" w:lineRule="exact"/>
              <w:jc w:val="center"/>
              <w:rPr>
                <w:rFonts w:hint="eastAsia" w:ascii="宋体" w:hAnsi="宋体" w:eastAsia="宋体" w:cs="宋体"/>
                <w:bCs/>
                <w:kern w:val="0"/>
                <w:sz w:val="24"/>
                <w:szCs w:val="24"/>
                <w:highlight w:val="none"/>
              </w:rPr>
            </w:pPr>
          </w:p>
        </w:tc>
        <w:tc>
          <w:tcPr>
            <w:tcW w:w="2019" w:type="dxa"/>
            <w:noWrap w:val="0"/>
            <w:vAlign w:val="center"/>
          </w:tcPr>
          <w:p w14:paraId="4CD7DEAB">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飞机</w:t>
            </w:r>
          </w:p>
        </w:tc>
        <w:tc>
          <w:tcPr>
            <w:tcW w:w="1843" w:type="dxa"/>
            <w:noWrap w:val="0"/>
            <w:vAlign w:val="center"/>
          </w:tcPr>
          <w:p w14:paraId="5F6DD130">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500000元</w:t>
            </w:r>
          </w:p>
        </w:tc>
        <w:tc>
          <w:tcPr>
            <w:tcW w:w="2268" w:type="dxa"/>
            <w:noWrap w:val="0"/>
            <w:vAlign w:val="center"/>
          </w:tcPr>
          <w:p w14:paraId="39D51236">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w:t>
            </w:r>
          </w:p>
        </w:tc>
        <w:tc>
          <w:tcPr>
            <w:tcW w:w="1984" w:type="dxa"/>
            <w:noWrap w:val="0"/>
            <w:vAlign w:val="center"/>
          </w:tcPr>
          <w:p w14:paraId="5A86D11C">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w:t>
            </w:r>
          </w:p>
        </w:tc>
      </w:tr>
      <w:tr w14:paraId="1CA08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vMerge w:val="restart"/>
            <w:noWrap w:val="0"/>
            <w:vAlign w:val="center"/>
          </w:tcPr>
          <w:p w14:paraId="24ADB58F">
            <w:pPr>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疾病</w:t>
            </w:r>
          </w:p>
          <w:p w14:paraId="2779D166">
            <w:pPr>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保障</w:t>
            </w:r>
          </w:p>
        </w:tc>
        <w:tc>
          <w:tcPr>
            <w:tcW w:w="2019" w:type="dxa"/>
            <w:noWrap w:val="0"/>
            <w:vAlign w:val="center"/>
          </w:tcPr>
          <w:p w14:paraId="2916F403">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疾病身故</w:t>
            </w:r>
          </w:p>
        </w:tc>
        <w:tc>
          <w:tcPr>
            <w:tcW w:w="1843" w:type="dxa"/>
            <w:noWrap w:val="0"/>
            <w:vAlign w:val="center"/>
          </w:tcPr>
          <w:p w14:paraId="1B7A447E">
            <w:pPr>
              <w:spacing w:line="576" w:lineRule="exact"/>
              <w:jc w:val="center"/>
              <w:rPr>
                <w:rFonts w:hint="eastAsia" w:ascii="宋体" w:hAnsi="宋体" w:eastAsia="宋体" w:cs="宋体"/>
                <w:bCs/>
                <w:color w:val="FF0000"/>
                <w:kern w:val="0"/>
                <w:sz w:val="24"/>
                <w:szCs w:val="24"/>
                <w:highlight w:val="none"/>
              </w:rPr>
            </w:pPr>
            <w:r>
              <w:rPr>
                <w:rFonts w:hint="eastAsia" w:ascii="宋体" w:hAnsi="宋体" w:eastAsia="宋体" w:cs="宋体"/>
                <w:bCs/>
                <w:color w:val="FF0000"/>
                <w:kern w:val="0"/>
                <w:sz w:val="24"/>
                <w:szCs w:val="24"/>
                <w:highlight w:val="none"/>
              </w:rPr>
              <w:t>15000元</w:t>
            </w:r>
          </w:p>
        </w:tc>
        <w:tc>
          <w:tcPr>
            <w:tcW w:w="2268" w:type="dxa"/>
            <w:noWrap w:val="0"/>
            <w:vAlign w:val="center"/>
          </w:tcPr>
          <w:p w14:paraId="7DDD6DAD">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10000元</w:t>
            </w:r>
          </w:p>
        </w:tc>
        <w:tc>
          <w:tcPr>
            <w:tcW w:w="1984" w:type="dxa"/>
            <w:noWrap w:val="0"/>
            <w:vAlign w:val="center"/>
          </w:tcPr>
          <w:p w14:paraId="0857CEB7">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10000元</w:t>
            </w:r>
          </w:p>
        </w:tc>
      </w:tr>
      <w:tr w14:paraId="64395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vMerge w:val="continue"/>
            <w:noWrap w:val="0"/>
            <w:vAlign w:val="center"/>
          </w:tcPr>
          <w:p w14:paraId="75B5B3C1">
            <w:pPr>
              <w:jc w:val="center"/>
              <w:rPr>
                <w:rFonts w:hint="eastAsia" w:ascii="宋体" w:hAnsi="宋体" w:eastAsia="宋体" w:cs="宋体"/>
                <w:bCs/>
                <w:kern w:val="0"/>
                <w:sz w:val="24"/>
                <w:szCs w:val="24"/>
                <w:highlight w:val="none"/>
              </w:rPr>
            </w:pPr>
          </w:p>
        </w:tc>
        <w:tc>
          <w:tcPr>
            <w:tcW w:w="2019" w:type="dxa"/>
            <w:noWrap w:val="0"/>
            <w:vAlign w:val="center"/>
          </w:tcPr>
          <w:p w14:paraId="5E379492">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住院津贴</w:t>
            </w:r>
          </w:p>
        </w:tc>
        <w:tc>
          <w:tcPr>
            <w:tcW w:w="1843" w:type="dxa"/>
            <w:noWrap w:val="0"/>
            <w:vAlign w:val="center"/>
          </w:tcPr>
          <w:p w14:paraId="5398368B">
            <w:pPr>
              <w:spacing w:line="576" w:lineRule="exact"/>
              <w:jc w:val="center"/>
              <w:rPr>
                <w:rFonts w:hint="eastAsia" w:ascii="宋体" w:hAnsi="宋体" w:eastAsia="宋体" w:cs="宋体"/>
                <w:bCs/>
                <w:color w:val="FF0000"/>
                <w:kern w:val="0"/>
                <w:sz w:val="24"/>
                <w:szCs w:val="24"/>
                <w:highlight w:val="none"/>
              </w:rPr>
            </w:pPr>
            <w:r>
              <w:rPr>
                <w:rFonts w:hint="eastAsia" w:ascii="宋体" w:hAnsi="宋体" w:eastAsia="宋体" w:cs="宋体"/>
                <w:bCs/>
                <w:color w:val="FF0000"/>
                <w:kern w:val="0"/>
                <w:sz w:val="24"/>
                <w:szCs w:val="24"/>
                <w:highlight w:val="none"/>
              </w:rPr>
              <w:t>5400元</w:t>
            </w:r>
          </w:p>
        </w:tc>
        <w:tc>
          <w:tcPr>
            <w:tcW w:w="2268" w:type="dxa"/>
            <w:noWrap w:val="0"/>
            <w:vAlign w:val="center"/>
          </w:tcPr>
          <w:p w14:paraId="436D1FFB">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w:t>
            </w:r>
          </w:p>
        </w:tc>
        <w:tc>
          <w:tcPr>
            <w:tcW w:w="1984" w:type="dxa"/>
            <w:noWrap w:val="0"/>
            <w:vAlign w:val="center"/>
          </w:tcPr>
          <w:p w14:paraId="2CA84EFA">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w:t>
            </w:r>
          </w:p>
        </w:tc>
      </w:tr>
      <w:tr w14:paraId="7B41C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vMerge w:val="continue"/>
            <w:noWrap w:val="0"/>
            <w:vAlign w:val="center"/>
          </w:tcPr>
          <w:p w14:paraId="2391DCE4">
            <w:pPr>
              <w:jc w:val="center"/>
              <w:rPr>
                <w:rFonts w:hint="eastAsia" w:ascii="宋体" w:hAnsi="宋体" w:eastAsia="宋体" w:cs="宋体"/>
                <w:bCs/>
                <w:kern w:val="0"/>
                <w:sz w:val="24"/>
                <w:szCs w:val="24"/>
                <w:highlight w:val="none"/>
              </w:rPr>
            </w:pPr>
          </w:p>
        </w:tc>
        <w:tc>
          <w:tcPr>
            <w:tcW w:w="2019" w:type="dxa"/>
            <w:noWrap w:val="0"/>
            <w:vAlign w:val="center"/>
          </w:tcPr>
          <w:p w14:paraId="6597C0F9">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疾病住院</w:t>
            </w:r>
          </w:p>
        </w:tc>
        <w:tc>
          <w:tcPr>
            <w:tcW w:w="1843" w:type="dxa"/>
            <w:noWrap w:val="0"/>
            <w:vAlign w:val="center"/>
          </w:tcPr>
          <w:p w14:paraId="1C5B80AB">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w:t>
            </w:r>
          </w:p>
        </w:tc>
        <w:tc>
          <w:tcPr>
            <w:tcW w:w="2268" w:type="dxa"/>
            <w:noWrap w:val="0"/>
            <w:vAlign w:val="center"/>
          </w:tcPr>
          <w:p w14:paraId="384DB089">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3000元</w:t>
            </w:r>
          </w:p>
        </w:tc>
        <w:tc>
          <w:tcPr>
            <w:tcW w:w="1984" w:type="dxa"/>
            <w:noWrap w:val="0"/>
            <w:vAlign w:val="center"/>
          </w:tcPr>
          <w:p w14:paraId="051BCBBE">
            <w:pPr>
              <w:spacing w:line="576" w:lineRule="exact"/>
              <w:jc w:val="center"/>
              <w:rPr>
                <w:rFonts w:hint="eastAsia" w:ascii="宋体" w:hAnsi="宋体" w:eastAsia="宋体" w:cs="宋体"/>
                <w:bCs/>
                <w:color w:val="FF0000"/>
                <w:kern w:val="0"/>
                <w:sz w:val="24"/>
                <w:szCs w:val="24"/>
                <w:highlight w:val="none"/>
              </w:rPr>
            </w:pPr>
            <w:r>
              <w:rPr>
                <w:rFonts w:hint="eastAsia" w:ascii="宋体" w:hAnsi="宋体" w:eastAsia="宋体" w:cs="宋体"/>
                <w:bCs/>
                <w:color w:val="FF0000"/>
                <w:kern w:val="0"/>
                <w:sz w:val="24"/>
                <w:szCs w:val="24"/>
                <w:highlight w:val="none"/>
              </w:rPr>
              <w:t>20000元</w:t>
            </w:r>
          </w:p>
        </w:tc>
      </w:tr>
      <w:tr w14:paraId="73AB6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45" w:type="dxa"/>
            <w:vMerge w:val="continue"/>
            <w:noWrap w:val="0"/>
            <w:vAlign w:val="center"/>
          </w:tcPr>
          <w:p w14:paraId="75329DD0">
            <w:pPr>
              <w:jc w:val="center"/>
              <w:rPr>
                <w:rFonts w:hint="eastAsia" w:ascii="宋体" w:hAnsi="宋体" w:eastAsia="宋体" w:cs="宋体"/>
                <w:bCs/>
                <w:kern w:val="0"/>
                <w:sz w:val="24"/>
                <w:szCs w:val="24"/>
                <w:highlight w:val="none"/>
              </w:rPr>
            </w:pPr>
          </w:p>
        </w:tc>
        <w:tc>
          <w:tcPr>
            <w:tcW w:w="2019" w:type="dxa"/>
            <w:noWrap w:val="0"/>
            <w:vAlign w:val="center"/>
          </w:tcPr>
          <w:p w14:paraId="2564F23C">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重大疾病</w:t>
            </w:r>
          </w:p>
        </w:tc>
        <w:tc>
          <w:tcPr>
            <w:tcW w:w="1843" w:type="dxa"/>
            <w:noWrap w:val="0"/>
            <w:vAlign w:val="center"/>
          </w:tcPr>
          <w:p w14:paraId="0D283E0A">
            <w:pPr>
              <w:spacing w:line="576" w:lineRule="exact"/>
              <w:jc w:val="center"/>
              <w:rPr>
                <w:rFonts w:hint="eastAsia" w:ascii="宋体" w:hAnsi="宋体" w:eastAsia="宋体" w:cs="宋体"/>
                <w:bCs/>
                <w:color w:val="FF0000"/>
                <w:kern w:val="0"/>
                <w:sz w:val="24"/>
                <w:szCs w:val="24"/>
                <w:highlight w:val="none"/>
              </w:rPr>
            </w:pPr>
            <w:r>
              <w:rPr>
                <w:rFonts w:hint="eastAsia" w:ascii="宋体" w:hAnsi="宋体" w:eastAsia="宋体" w:cs="宋体"/>
                <w:bCs/>
                <w:color w:val="FF0000"/>
                <w:kern w:val="0"/>
                <w:sz w:val="24"/>
                <w:szCs w:val="24"/>
                <w:highlight w:val="none"/>
              </w:rPr>
              <w:t>40000元</w:t>
            </w:r>
          </w:p>
        </w:tc>
        <w:tc>
          <w:tcPr>
            <w:tcW w:w="2268" w:type="dxa"/>
            <w:noWrap w:val="0"/>
            <w:vAlign w:val="center"/>
          </w:tcPr>
          <w:p w14:paraId="05D1D9BB">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color w:val="FF0000"/>
                <w:kern w:val="0"/>
                <w:sz w:val="24"/>
                <w:szCs w:val="24"/>
                <w:highlight w:val="none"/>
              </w:rPr>
              <w:t>40000元</w:t>
            </w:r>
          </w:p>
        </w:tc>
        <w:tc>
          <w:tcPr>
            <w:tcW w:w="1984" w:type="dxa"/>
            <w:noWrap w:val="0"/>
            <w:vAlign w:val="center"/>
          </w:tcPr>
          <w:p w14:paraId="4EC8DEA8">
            <w:pPr>
              <w:spacing w:line="576" w:lineRule="exact"/>
              <w:jc w:val="center"/>
              <w:rPr>
                <w:rFonts w:hint="eastAsia" w:ascii="宋体" w:hAnsi="宋体" w:eastAsia="宋体" w:cs="宋体"/>
                <w:bCs/>
                <w:color w:val="FF0000"/>
                <w:kern w:val="0"/>
                <w:sz w:val="24"/>
                <w:szCs w:val="24"/>
                <w:highlight w:val="none"/>
              </w:rPr>
            </w:pPr>
            <w:r>
              <w:rPr>
                <w:rFonts w:hint="eastAsia" w:ascii="宋体" w:hAnsi="宋体" w:eastAsia="宋体" w:cs="宋体"/>
                <w:bCs/>
                <w:color w:val="FF0000"/>
                <w:kern w:val="0"/>
                <w:sz w:val="24"/>
                <w:szCs w:val="24"/>
                <w:highlight w:val="none"/>
              </w:rPr>
              <w:t>40000元</w:t>
            </w:r>
          </w:p>
        </w:tc>
      </w:tr>
      <w:tr w14:paraId="03188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45" w:type="dxa"/>
            <w:vMerge w:val="continue"/>
            <w:noWrap w:val="0"/>
            <w:vAlign w:val="center"/>
          </w:tcPr>
          <w:p w14:paraId="04CCD9F1">
            <w:pPr>
              <w:jc w:val="center"/>
              <w:rPr>
                <w:rFonts w:hint="eastAsia" w:ascii="宋体" w:hAnsi="宋体" w:eastAsia="宋体" w:cs="宋体"/>
                <w:bCs/>
                <w:kern w:val="0"/>
                <w:sz w:val="24"/>
                <w:szCs w:val="24"/>
                <w:highlight w:val="none"/>
              </w:rPr>
            </w:pPr>
          </w:p>
        </w:tc>
        <w:tc>
          <w:tcPr>
            <w:tcW w:w="2019" w:type="dxa"/>
            <w:noWrap w:val="0"/>
            <w:vAlign w:val="center"/>
          </w:tcPr>
          <w:p w14:paraId="43022918">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重症监护津贴</w:t>
            </w:r>
          </w:p>
        </w:tc>
        <w:tc>
          <w:tcPr>
            <w:tcW w:w="1843" w:type="dxa"/>
            <w:noWrap w:val="0"/>
            <w:vAlign w:val="center"/>
          </w:tcPr>
          <w:p w14:paraId="58390C96">
            <w:pPr>
              <w:spacing w:line="576" w:lineRule="exact"/>
              <w:jc w:val="center"/>
              <w:rPr>
                <w:rFonts w:hint="eastAsia" w:ascii="宋体" w:hAnsi="宋体" w:eastAsia="宋体" w:cs="宋体"/>
                <w:bCs/>
                <w:color w:val="FF0000"/>
                <w:kern w:val="0"/>
                <w:sz w:val="24"/>
                <w:szCs w:val="24"/>
                <w:highlight w:val="none"/>
              </w:rPr>
            </w:pPr>
            <w:r>
              <w:rPr>
                <w:rFonts w:hint="eastAsia" w:ascii="宋体" w:hAnsi="宋体" w:eastAsia="宋体" w:cs="宋体"/>
                <w:bCs/>
                <w:color w:val="FF0000"/>
                <w:kern w:val="0"/>
                <w:sz w:val="24"/>
                <w:szCs w:val="24"/>
                <w:highlight w:val="none"/>
              </w:rPr>
              <w:t>72000元</w:t>
            </w:r>
          </w:p>
        </w:tc>
        <w:tc>
          <w:tcPr>
            <w:tcW w:w="2268" w:type="dxa"/>
            <w:noWrap w:val="0"/>
            <w:vAlign w:val="center"/>
          </w:tcPr>
          <w:p w14:paraId="1B0FC873">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w:t>
            </w:r>
          </w:p>
        </w:tc>
        <w:tc>
          <w:tcPr>
            <w:tcW w:w="1984" w:type="dxa"/>
            <w:noWrap w:val="0"/>
            <w:vAlign w:val="center"/>
          </w:tcPr>
          <w:p w14:paraId="5F81D55D">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w:t>
            </w:r>
          </w:p>
        </w:tc>
      </w:tr>
    </w:tbl>
    <w:p w14:paraId="3838DD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说明：</w:t>
      </w:r>
    </w:p>
    <w:p w14:paraId="089B0B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【一】意外身故、伤残：被保险人遭受意外伤害，并自该意外伤害发生之日起一百八十日内因该意外伤害导致身故的，</w:t>
      </w:r>
      <w:r>
        <w:rPr>
          <w:rFonts w:hint="eastAsia" w:ascii="宋体" w:hAnsi="宋体" w:eastAsia="宋体" w:cs="宋体"/>
          <w:sz w:val="24"/>
          <w:szCs w:val="24"/>
          <w:highlight w:val="none"/>
          <w:lang w:val="en-US" w:eastAsia="zh-CN"/>
        </w:rPr>
        <w:t>保险人</w:t>
      </w:r>
      <w:r>
        <w:rPr>
          <w:rFonts w:hint="eastAsia" w:ascii="宋体" w:hAnsi="宋体" w:eastAsia="宋体" w:cs="宋体"/>
          <w:sz w:val="24"/>
          <w:szCs w:val="24"/>
          <w:highlight w:val="none"/>
        </w:rPr>
        <w:t>按该被保险人的保险金额扣除已给付伤残保险金后的余额给付身故保险金，合同对该被保险人的责任终止。被保险人遭受意外伤害，并自该意外伤害发生之日起一百八十日内因该意外伤害导致身体伤残的，</w:t>
      </w:r>
      <w:r>
        <w:rPr>
          <w:rFonts w:hint="eastAsia" w:ascii="宋体" w:hAnsi="宋体" w:eastAsia="宋体" w:cs="宋体"/>
          <w:sz w:val="24"/>
          <w:szCs w:val="24"/>
          <w:highlight w:val="none"/>
          <w:lang w:val="en-US" w:eastAsia="zh-CN"/>
        </w:rPr>
        <w:t>保险人</w:t>
      </w:r>
      <w:r>
        <w:rPr>
          <w:rFonts w:hint="eastAsia" w:ascii="宋体" w:hAnsi="宋体" w:eastAsia="宋体" w:cs="宋体"/>
          <w:sz w:val="24"/>
          <w:szCs w:val="24"/>
          <w:highlight w:val="none"/>
        </w:rPr>
        <w:t>根据《人身保险伤残评定标准（行业标准）》十级执行，按该被保险人的保险金额乘以该处伤残的伤残等级所对应的保险金给付比例给付伤残保险金。赔付比例为一级100%、二级90%、三级80%、四级50%、五级60%、六级50%、七级40%、八级30%、九级20%、十级10%。</w:t>
      </w:r>
    </w:p>
    <w:p w14:paraId="5B772CE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除外责任：</w:t>
      </w:r>
    </w:p>
    <w:p w14:paraId="2DA01CA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因下列情形之一，导致被保险人身故或伤残的，</w:t>
      </w:r>
      <w:r>
        <w:rPr>
          <w:rFonts w:hint="eastAsia" w:ascii="宋体" w:hAnsi="宋体" w:eastAsia="宋体" w:cs="宋体"/>
          <w:b/>
          <w:bCs/>
          <w:sz w:val="24"/>
          <w:szCs w:val="24"/>
          <w:highlight w:val="none"/>
          <w:lang w:val="en-US" w:eastAsia="zh-CN"/>
        </w:rPr>
        <w:t>保险人</w:t>
      </w:r>
      <w:r>
        <w:rPr>
          <w:rFonts w:hint="eastAsia" w:ascii="宋体" w:hAnsi="宋体" w:eastAsia="宋体" w:cs="宋体"/>
          <w:b/>
          <w:bCs/>
          <w:sz w:val="24"/>
          <w:szCs w:val="24"/>
          <w:highlight w:val="none"/>
        </w:rPr>
        <w:t xml:space="preserve">不承担给付保险金的责任： </w:t>
      </w:r>
    </w:p>
    <w:p w14:paraId="2634484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（一）保险单中特别约定</w:t>
      </w:r>
      <w:r>
        <w:rPr>
          <w:rFonts w:hint="eastAsia" w:ascii="宋体" w:hAnsi="宋体" w:eastAsia="宋体" w:cs="宋体"/>
          <w:b/>
          <w:bCs/>
          <w:sz w:val="24"/>
          <w:szCs w:val="24"/>
          <w:highlight w:val="none"/>
          <w:lang w:eastAsia="zh-CN"/>
        </w:rPr>
        <w:t>保险人</w:t>
      </w:r>
      <w:r>
        <w:rPr>
          <w:rFonts w:hint="eastAsia" w:ascii="宋体" w:hAnsi="宋体" w:eastAsia="宋体" w:cs="宋体"/>
          <w:b/>
          <w:bCs/>
          <w:sz w:val="24"/>
          <w:szCs w:val="24"/>
          <w:highlight w:val="none"/>
        </w:rPr>
        <w:t xml:space="preserve">不承担保险责任的事项； </w:t>
      </w:r>
    </w:p>
    <w:p w14:paraId="46BAB42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（二）被保险人故意犯罪或抗拒依法采取的刑事强制措施； </w:t>
      </w:r>
    </w:p>
    <w:p w14:paraId="147ED95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（三）被保险人自杀或故意自伤，但被保险人自杀或故意自伤时为无民事行为能力人的除外； </w:t>
      </w:r>
    </w:p>
    <w:p w14:paraId="11FB1E4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（四）被保险人猝死，但另有约定的除外； </w:t>
      </w:r>
    </w:p>
    <w:p w14:paraId="3AA9CFE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（五）被保险人斗殴、醉酒，服用、吸食或注射毒品； </w:t>
      </w:r>
    </w:p>
    <w:p w14:paraId="1E97DF7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（六）被保险人酒后驾驶、无合法有效驾驶证驾驶或驾驶无有效行驶证的机动车； </w:t>
      </w:r>
    </w:p>
    <w:p w14:paraId="2EC6B55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（七）被保险人未遵医嘱私自使用或服用药物，但按使用说明的规定使用非处方药不在此限； </w:t>
      </w:r>
    </w:p>
    <w:p w14:paraId="3D0C214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（八）被保险人参加潜水、跳伞、攀岩、驾乘滑翔机或滑翔伞、探险、摔跤、武术比赛、特技表演、赛马、赛车等高风险运动； 国寿绿洲团体意外伤害保险（A 型）（2013 版）条款（第二页） </w:t>
      </w:r>
    </w:p>
    <w:p w14:paraId="17A0429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（九）被保险人的产前产后检查、妊娠（含宫外孕）、流产（含人工流产）、分娩（含剖腹产）、避孕、绝育手术、治疗不孕不育症以及上述原因引起的并发症； </w:t>
      </w:r>
    </w:p>
    <w:p w14:paraId="53DD279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（十）被保险人的精神和行为障碍； </w:t>
      </w:r>
    </w:p>
    <w:p w14:paraId="2371B03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（十一）战争、军事冲突、暴乱或武装叛乱； </w:t>
      </w:r>
    </w:p>
    <w:p w14:paraId="3972278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（十二）核爆炸、核辐射或核污染。 </w:t>
      </w:r>
    </w:p>
    <w:p w14:paraId="0D258F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【二】意外住院及门诊医疗：是共用一个保额的。在保险期间内，被保险人遭受意外伤害，并因该意外伤害在二级以上（含二级）医院或</w:t>
      </w:r>
      <w:r>
        <w:rPr>
          <w:rFonts w:hint="eastAsia" w:ascii="宋体" w:hAnsi="宋体" w:eastAsia="宋体" w:cs="宋体"/>
          <w:sz w:val="24"/>
          <w:szCs w:val="24"/>
          <w:highlight w:val="none"/>
          <w:lang w:eastAsia="zh-CN"/>
        </w:rPr>
        <w:t>保险人</w:t>
      </w:r>
      <w:r>
        <w:rPr>
          <w:rFonts w:hint="eastAsia" w:ascii="宋体" w:hAnsi="宋体" w:eastAsia="宋体" w:cs="宋体"/>
          <w:sz w:val="24"/>
          <w:szCs w:val="24"/>
          <w:highlight w:val="none"/>
        </w:rPr>
        <w:t>认可的其他医疗机构诊疗，对被保险人实际支出的符合当地基本医疗保险支付范围的医疗费用，</w:t>
      </w:r>
      <w:r>
        <w:rPr>
          <w:rFonts w:hint="eastAsia" w:ascii="宋体" w:hAnsi="宋体" w:eastAsia="宋体" w:cs="宋体"/>
          <w:sz w:val="24"/>
          <w:szCs w:val="24"/>
          <w:highlight w:val="none"/>
          <w:lang w:eastAsia="zh-CN"/>
        </w:rPr>
        <w:t>保险人</w:t>
      </w:r>
      <w:r>
        <w:rPr>
          <w:rFonts w:hint="eastAsia" w:ascii="宋体" w:hAnsi="宋体" w:eastAsia="宋体" w:cs="宋体"/>
          <w:sz w:val="24"/>
          <w:szCs w:val="24"/>
          <w:highlight w:val="none"/>
        </w:rPr>
        <w:t>每次扣除免赔额后，对其余额按合同约定的给付比例给付保险金。其中，有使用医保卡的无免赔额，赔付比例95%，未使用医保卡的免赔额100元/次，赔付比例80%。若被保险人已从当地基本医疗保险、公费医疗、城乡居民大病保险、其他费用补偿型医疗保险和其他途径获得补偿或给付，</w:t>
      </w:r>
      <w:r>
        <w:rPr>
          <w:rFonts w:hint="eastAsia" w:ascii="宋体" w:hAnsi="宋体" w:eastAsia="宋体" w:cs="宋体"/>
          <w:sz w:val="24"/>
          <w:szCs w:val="24"/>
          <w:highlight w:val="none"/>
          <w:lang w:eastAsia="zh-CN"/>
        </w:rPr>
        <w:t>保险人</w:t>
      </w:r>
      <w:r>
        <w:rPr>
          <w:rFonts w:hint="eastAsia" w:ascii="宋体" w:hAnsi="宋体" w:eastAsia="宋体" w:cs="宋体"/>
          <w:sz w:val="24"/>
          <w:szCs w:val="24"/>
          <w:highlight w:val="none"/>
        </w:rPr>
        <w:t>对剩余未获补偿或给付的部分按上述规定给付保险金。保险期间届满被保险人治疗仍未结束的，</w:t>
      </w:r>
      <w:r>
        <w:rPr>
          <w:rFonts w:hint="eastAsia" w:ascii="宋体" w:hAnsi="宋体" w:eastAsia="宋体" w:cs="宋体"/>
          <w:sz w:val="24"/>
          <w:szCs w:val="24"/>
          <w:highlight w:val="none"/>
          <w:lang w:eastAsia="zh-CN"/>
        </w:rPr>
        <w:t>保险人</w:t>
      </w:r>
      <w:r>
        <w:rPr>
          <w:rFonts w:hint="eastAsia" w:ascii="宋体" w:hAnsi="宋体" w:eastAsia="宋体" w:cs="宋体"/>
          <w:sz w:val="24"/>
          <w:szCs w:val="24"/>
          <w:highlight w:val="none"/>
        </w:rPr>
        <w:t>继续承担给付保险金责任的期限，由投保人在投保时与</w:t>
      </w:r>
      <w:r>
        <w:rPr>
          <w:rFonts w:hint="eastAsia" w:ascii="宋体" w:hAnsi="宋体" w:eastAsia="宋体" w:cs="宋体"/>
          <w:sz w:val="24"/>
          <w:szCs w:val="24"/>
          <w:highlight w:val="none"/>
          <w:lang w:eastAsia="zh-CN"/>
        </w:rPr>
        <w:t>保险人</w:t>
      </w:r>
      <w:r>
        <w:rPr>
          <w:rFonts w:hint="eastAsia" w:ascii="宋体" w:hAnsi="宋体" w:eastAsia="宋体" w:cs="宋体"/>
          <w:sz w:val="24"/>
          <w:szCs w:val="24"/>
          <w:highlight w:val="none"/>
        </w:rPr>
        <w:t>协商确定并在保险单上载明，但门（急）诊治疗以保险期间届满的次日起连续十五日为限，住院治疗以保险期间届满的次日起连续九十日为限。</w:t>
      </w:r>
    </w:p>
    <w:p w14:paraId="2E8D8DD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除外责任：</w:t>
      </w:r>
    </w:p>
    <w:p w14:paraId="2A35DA6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因下列情形之一，导致被保险人身故或伤残的，</w:t>
      </w:r>
      <w:r>
        <w:rPr>
          <w:rFonts w:hint="eastAsia" w:ascii="宋体" w:hAnsi="宋体" w:eastAsia="宋体" w:cs="宋体"/>
          <w:b/>
          <w:bCs/>
          <w:sz w:val="24"/>
          <w:szCs w:val="24"/>
          <w:highlight w:val="none"/>
          <w:lang w:eastAsia="zh-CN"/>
        </w:rPr>
        <w:t>保险人</w:t>
      </w:r>
      <w:r>
        <w:rPr>
          <w:rFonts w:hint="eastAsia" w:ascii="宋体" w:hAnsi="宋体" w:eastAsia="宋体" w:cs="宋体"/>
          <w:b/>
          <w:bCs/>
          <w:sz w:val="24"/>
          <w:szCs w:val="24"/>
          <w:highlight w:val="none"/>
        </w:rPr>
        <w:t xml:space="preserve">不承担给付保险金的责任： </w:t>
      </w:r>
    </w:p>
    <w:p w14:paraId="262F402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（一）被保险人的洗牙、牙齿美白、正畸、烤瓷牙、种植牙或镶牙等牙齿保健和修复。</w:t>
      </w:r>
    </w:p>
    <w:p w14:paraId="5A30608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（二）其他责任免除事项。</w:t>
      </w:r>
    </w:p>
    <w:p w14:paraId="66E4D1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【三】疾病身故：被保险人在本合同约定的等待期（续保的，不受等待期的限制）内因疾病身故，合同对该被保险人的保险责任终止，</w:t>
      </w:r>
      <w:r>
        <w:rPr>
          <w:rFonts w:hint="eastAsia" w:ascii="宋体" w:hAnsi="宋体" w:eastAsia="宋体" w:cs="宋体"/>
          <w:sz w:val="24"/>
          <w:szCs w:val="24"/>
          <w:highlight w:val="none"/>
          <w:lang w:eastAsia="zh-CN"/>
        </w:rPr>
        <w:t>保险人</w:t>
      </w:r>
      <w:r>
        <w:rPr>
          <w:rFonts w:hint="eastAsia" w:ascii="宋体" w:hAnsi="宋体" w:eastAsia="宋体" w:cs="宋体"/>
          <w:sz w:val="24"/>
          <w:szCs w:val="24"/>
          <w:highlight w:val="none"/>
        </w:rPr>
        <w:t>按该被保险人对应的已经交付的保险费（不计利息）给付保险金。被保险人在等待期后因疾病身故，合同对该被保险人的保险责任终止，</w:t>
      </w:r>
      <w:r>
        <w:rPr>
          <w:rFonts w:hint="eastAsia" w:ascii="宋体" w:hAnsi="宋体" w:eastAsia="宋体" w:cs="宋体"/>
          <w:sz w:val="24"/>
          <w:szCs w:val="24"/>
          <w:highlight w:val="none"/>
          <w:lang w:eastAsia="zh-CN"/>
        </w:rPr>
        <w:t>保险人</w:t>
      </w:r>
      <w:r>
        <w:rPr>
          <w:rFonts w:hint="eastAsia" w:ascii="宋体" w:hAnsi="宋体" w:eastAsia="宋体" w:cs="宋体"/>
          <w:sz w:val="24"/>
          <w:szCs w:val="24"/>
          <w:highlight w:val="none"/>
        </w:rPr>
        <w:t>按保险单载明的该被保险人的保险金额给付保险金。首次承保等待期30天，100%赔付；</w:t>
      </w:r>
    </w:p>
    <w:p w14:paraId="5C1B182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sz w:val="24"/>
          <w:szCs w:val="24"/>
          <w:highlight w:val="none"/>
        </w:rPr>
        <w:t>除外责任：</w:t>
      </w:r>
    </w:p>
    <w:p w14:paraId="0D2CC4C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 因下列情形之一，导致被保险人身故的，</w:t>
      </w:r>
      <w:r>
        <w:rPr>
          <w:rFonts w:hint="eastAsia" w:ascii="宋体" w:hAnsi="宋体" w:eastAsia="宋体" w:cs="宋体"/>
          <w:b/>
          <w:bCs/>
          <w:sz w:val="24"/>
          <w:szCs w:val="24"/>
          <w:highlight w:val="none"/>
          <w:lang w:eastAsia="zh-CN"/>
        </w:rPr>
        <w:t>保险人</w:t>
      </w:r>
      <w:r>
        <w:rPr>
          <w:rFonts w:hint="eastAsia" w:ascii="宋体" w:hAnsi="宋体" w:eastAsia="宋体" w:cs="宋体"/>
          <w:b/>
          <w:bCs/>
          <w:sz w:val="24"/>
          <w:szCs w:val="24"/>
          <w:highlight w:val="none"/>
        </w:rPr>
        <w:t>不承担给付保险金的责任：</w:t>
      </w:r>
    </w:p>
    <w:p w14:paraId="05F1D45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（一）保险单中特别约定</w:t>
      </w:r>
      <w:r>
        <w:rPr>
          <w:rFonts w:hint="eastAsia" w:ascii="宋体" w:hAnsi="宋体" w:eastAsia="宋体" w:cs="宋体"/>
          <w:b/>
          <w:bCs/>
          <w:sz w:val="24"/>
          <w:szCs w:val="24"/>
          <w:highlight w:val="none"/>
          <w:lang w:eastAsia="zh-CN"/>
        </w:rPr>
        <w:t>保险人</w:t>
      </w:r>
      <w:r>
        <w:rPr>
          <w:rFonts w:hint="eastAsia" w:ascii="宋体" w:hAnsi="宋体" w:eastAsia="宋体" w:cs="宋体"/>
          <w:b/>
          <w:bCs/>
          <w:sz w:val="24"/>
          <w:szCs w:val="24"/>
          <w:highlight w:val="none"/>
        </w:rPr>
        <w:t>不承担保险责任的事项；</w:t>
      </w:r>
    </w:p>
    <w:p w14:paraId="1306A81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（二）被保险人故意犯罪或抗拒依法采取的刑事强制措施；</w:t>
      </w:r>
    </w:p>
    <w:p w14:paraId="5295840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（三）被保险人自杀或故意自伤，但被保险人自杀或故意自伤时为无民事行为能力人的除外；</w:t>
      </w:r>
    </w:p>
    <w:p w14:paraId="1ECC0E1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（四）被保险人斗殴、醉酒，服用、吸食或注射毒品；</w:t>
      </w:r>
    </w:p>
    <w:p w14:paraId="178B70F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（五）被保险人酒后驾驶、无合法有效驾驶证驾驶或驾驶无有效行驶证的机动车；</w:t>
      </w:r>
    </w:p>
    <w:p w14:paraId="6363EE0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（六）战争、军事冲突、暴乱或武装叛乱；</w:t>
      </w:r>
    </w:p>
    <w:p w14:paraId="5796053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（七）核爆炸、核辐射或核污染。</w:t>
      </w:r>
    </w:p>
    <w:p w14:paraId="7B02CAB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住院津贴：其中意外住院津贴无免赔日，无等待期；疾病住院津贴首次承保人员等待期30天（续保人员无等待期）；每次住院以90日为限，全年累计最多给付180天。若该被保险人本次住院治疗与前次住院原因相同，并且前次出院与本次入院间隔不超过三十日，则本次住院与前次住院视为同一次住院。对于2018年</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30</w:t>
      </w:r>
      <w:r>
        <w:rPr>
          <w:rFonts w:hint="eastAsia" w:ascii="宋体" w:hAnsi="宋体" w:eastAsia="宋体" w:cs="宋体"/>
          <w:sz w:val="24"/>
          <w:szCs w:val="24"/>
          <w:highlight w:val="none"/>
        </w:rPr>
        <w:t>日后的既往病症住院的，可享受住院津贴，首次参保人员仍在住院治疗的不予赔付。</w:t>
      </w:r>
    </w:p>
    <w:p w14:paraId="30C402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除外责任：</w:t>
      </w:r>
    </w:p>
    <w:p w14:paraId="1788649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因下列情形之一，导致被保险人住院治疗的，</w:t>
      </w:r>
      <w:r>
        <w:rPr>
          <w:rFonts w:hint="eastAsia" w:ascii="宋体" w:hAnsi="宋体" w:eastAsia="宋体" w:cs="宋体"/>
          <w:b/>
          <w:bCs/>
          <w:sz w:val="24"/>
          <w:szCs w:val="24"/>
          <w:highlight w:val="none"/>
          <w:lang w:eastAsia="zh-CN"/>
        </w:rPr>
        <w:t>保险人</w:t>
      </w:r>
      <w:r>
        <w:rPr>
          <w:rFonts w:hint="eastAsia" w:ascii="宋体" w:hAnsi="宋体" w:eastAsia="宋体" w:cs="宋体"/>
          <w:b/>
          <w:bCs/>
          <w:sz w:val="24"/>
          <w:szCs w:val="24"/>
          <w:highlight w:val="none"/>
        </w:rPr>
        <w:t>不承担给付保险金责任：</w:t>
      </w:r>
    </w:p>
    <w:p w14:paraId="3017441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（一）保险单中特别约定</w:t>
      </w:r>
      <w:r>
        <w:rPr>
          <w:rFonts w:hint="eastAsia" w:ascii="宋体" w:hAnsi="宋体" w:eastAsia="宋体" w:cs="宋体"/>
          <w:b/>
          <w:bCs/>
          <w:sz w:val="24"/>
          <w:szCs w:val="24"/>
          <w:highlight w:val="none"/>
          <w:lang w:eastAsia="zh-CN"/>
        </w:rPr>
        <w:t>保险人</w:t>
      </w:r>
      <w:r>
        <w:rPr>
          <w:rFonts w:hint="eastAsia" w:ascii="宋体" w:hAnsi="宋体" w:eastAsia="宋体" w:cs="宋体"/>
          <w:b/>
          <w:bCs/>
          <w:sz w:val="24"/>
          <w:szCs w:val="24"/>
          <w:highlight w:val="none"/>
        </w:rPr>
        <w:t>不承担保险责任的疾病；</w:t>
      </w:r>
    </w:p>
    <w:p w14:paraId="5754CB2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（二）被保险人在附加合同生效前的未愈疾病；</w:t>
      </w:r>
    </w:p>
    <w:p w14:paraId="5E4300D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（三）被保险人的洗牙、牙齿美白、正畸、烤瓷牙、种植牙或镶牙等牙齿保健和修复；</w:t>
      </w:r>
    </w:p>
    <w:p w14:paraId="5081D3F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（四）被保险人实施视力矫正手术或变性手术；</w:t>
      </w:r>
    </w:p>
    <w:p w14:paraId="102B37E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（五）被保险人非因意外伤害所致的整容和矫形手术；</w:t>
      </w:r>
    </w:p>
    <w:p w14:paraId="1032D27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（六）其他责任免除事项。</w:t>
      </w:r>
    </w:p>
    <w:p w14:paraId="0AA14D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【五】重症监护津贴：在合同保险期间内，被保险人遭受意外伤害或在等待期（续保的，不受等待期的限制）后因疾病在二级以上（含二级）医院或</w:t>
      </w:r>
      <w:r>
        <w:rPr>
          <w:rFonts w:hint="eastAsia" w:ascii="宋体" w:hAnsi="宋体" w:eastAsia="宋体" w:cs="宋体"/>
          <w:sz w:val="24"/>
          <w:szCs w:val="24"/>
          <w:highlight w:val="none"/>
          <w:lang w:eastAsia="zh-CN"/>
        </w:rPr>
        <w:t>保险人</w:t>
      </w:r>
      <w:r>
        <w:rPr>
          <w:rFonts w:hint="eastAsia" w:ascii="宋体" w:hAnsi="宋体" w:eastAsia="宋体" w:cs="宋体"/>
          <w:sz w:val="24"/>
          <w:szCs w:val="24"/>
          <w:highlight w:val="none"/>
        </w:rPr>
        <w:t>认可的其他医疗机构入住重症监护病房治疗，保险公司按合同约定的重症监护日定额给付金额乘以实际入住重症监护病房日数给付保险金，但对每次入住重症监护病房的给付日数以九十日为限。其中因意外导致的无免赔日，无等待期；因疾病导致的首次承保人员等待期30天（续保人员无等待期），每次免赔日数为3天；每次住院以90日为限，全年累计最多给付180天。其中，等待期由投保人在投保时与</w:t>
      </w:r>
      <w:r>
        <w:rPr>
          <w:rFonts w:hint="eastAsia" w:ascii="宋体" w:hAnsi="宋体" w:eastAsia="宋体" w:cs="宋体"/>
          <w:sz w:val="24"/>
          <w:szCs w:val="24"/>
          <w:highlight w:val="none"/>
          <w:lang w:eastAsia="zh-CN"/>
        </w:rPr>
        <w:t>保险人</w:t>
      </w:r>
      <w:r>
        <w:rPr>
          <w:rFonts w:hint="eastAsia" w:ascii="宋体" w:hAnsi="宋体" w:eastAsia="宋体" w:cs="宋体"/>
          <w:sz w:val="24"/>
          <w:szCs w:val="24"/>
          <w:highlight w:val="none"/>
        </w:rPr>
        <w:t>协商确定并在保险单上载明。该被保险人多次入住重症监护病房的，累计给付日数以一百八十日为限。若该被保险人本次入住重症监护病房治疗与前次入住原因相同，并且前次离开与本次入住间隔不超过三十日，则本次入住与前次入住视为同一次入住重症监护病房。</w:t>
      </w:r>
    </w:p>
    <w:p w14:paraId="32FE920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除外责任：</w:t>
      </w:r>
    </w:p>
    <w:p w14:paraId="10CDEFD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因下列情形之一，导致被保险人入住重症监护病房治疗的，</w:t>
      </w:r>
      <w:r>
        <w:rPr>
          <w:rFonts w:hint="eastAsia" w:ascii="宋体" w:hAnsi="宋体" w:eastAsia="宋体" w:cs="宋体"/>
          <w:b/>
          <w:bCs/>
          <w:sz w:val="24"/>
          <w:szCs w:val="24"/>
          <w:highlight w:val="none"/>
          <w:lang w:eastAsia="zh-CN"/>
        </w:rPr>
        <w:t>保险人</w:t>
      </w:r>
      <w:r>
        <w:rPr>
          <w:rFonts w:hint="eastAsia" w:ascii="宋体" w:hAnsi="宋体" w:eastAsia="宋体" w:cs="宋体"/>
          <w:b/>
          <w:bCs/>
          <w:sz w:val="24"/>
          <w:szCs w:val="24"/>
          <w:highlight w:val="none"/>
        </w:rPr>
        <w:t>不承担给付保险金责任：</w:t>
      </w:r>
    </w:p>
    <w:p w14:paraId="5C924D5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（一）保险单中特别约定</w:t>
      </w:r>
      <w:r>
        <w:rPr>
          <w:rFonts w:hint="eastAsia" w:ascii="宋体" w:hAnsi="宋体" w:eastAsia="宋体" w:cs="宋体"/>
          <w:b/>
          <w:bCs/>
          <w:sz w:val="24"/>
          <w:szCs w:val="24"/>
          <w:highlight w:val="none"/>
          <w:lang w:eastAsia="zh-CN"/>
        </w:rPr>
        <w:t>保险人</w:t>
      </w:r>
      <w:r>
        <w:rPr>
          <w:rFonts w:hint="eastAsia" w:ascii="宋体" w:hAnsi="宋体" w:eastAsia="宋体" w:cs="宋体"/>
          <w:b/>
          <w:bCs/>
          <w:sz w:val="24"/>
          <w:szCs w:val="24"/>
          <w:highlight w:val="none"/>
        </w:rPr>
        <w:t>不承担保险责任的疾病；</w:t>
      </w:r>
    </w:p>
    <w:p w14:paraId="69E2EA3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（二）被保险人在合同生效前的未愈疾病；</w:t>
      </w:r>
    </w:p>
    <w:p w14:paraId="4474C2D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（三）被保险人非因意外伤害导致的整容或矫形手术；</w:t>
      </w:r>
    </w:p>
    <w:p w14:paraId="46FDD7D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（四）其他责任免除事项。</w:t>
      </w:r>
    </w:p>
    <w:p w14:paraId="51EE24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六】重大疾病：在合同保险期间内，被保险人在等待期后初次发生并经专科医生明确诊断患投保人所选择的重大疾病（30种），不包括轻症。未成年子女在等待期后初次发生并经专科医生明确诊断患投保人所选择的重大疾病（10种），不包括轻症。合同对该被保险人的保险责任终止，</w:t>
      </w:r>
      <w:r>
        <w:rPr>
          <w:rFonts w:hint="eastAsia" w:ascii="宋体" w:hAnsi="宋体" w:eastAsia="宋体" w:cs="宋体"/>
          <w:sz w:val="24"/>
          <w:szCs w:val="24"/>
          <w:highlight w:val="none"/>
          <w:lang w:eastAsia="zh-CN"/>
        </w:rPr>
        <w:t>保险人</w:t>
      </w:r>
      <w:r>
        <w:rPr>
          <w:rFonts w:hint="eastAsia" w:ascii="宋体" w:hAnsi="宋体" w:eastAsia="宋体" w:cs="宋体"/>
          <w:sz w:val="24"/>
          <w:szCs w:val="24"/>
          <w:highlight w:val="none"/>
        </w:rPr>
        <w:t xml:space="preserve">按该被保险人的重大疾病保险金额给付重大疾病保险金。 首次承保人员的等待期为30天（连续续保人员无等待期)。 </w:t>
      </w:r>
    </w:p>
    <w:p w14:paraId="12B33AA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除外责任：</w:t>
      </w:r>
    </w:p>
    <w:p w14:paraId="559FF1A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因下列情形之一，导致被保险人患重大疾病或轻度疾病的，</w:t>
      </w:r>
      <w:r>
        <w:rPr>
          <w:rFonts w:hint="eastAsia" w:ascii="宋体" w:hAnsi="宋体" w:eastAsia="宋体" w:cs="宋体"/>
          <w:b/>
          <w:bCs/>
          <w:sz w:val="24"/>
          <w:szCs w:val="24"/>
          <w:highlight w:val="none"/>
          <w:lang w:eastAsia="zh-CN"/>
        </w:rPr>
        <w:t>保险人</w:t>
      </w:r>
      <w:r>
        <w:rPr>
          <w:rFonts w:hint="eastAsia" w:ascii="宋体" w:hAnsi="宋体" w:eastAsia="宋体" w:cs="宋体"/>
          <w:b/>
          <w:bCs/>
          <w:sz w:val="24"/>
          <w:szCs w:val="24"/>
          <w:highlight w:val="none"/>
        </w:rPr>
        <w:t xml:space="preserve">不承担给付保险金的责任： </w:t>
      </w:r>
    </w:p>
    <w:p w14:paraId="186208D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（一）投保人对被保险人的故意杀害、故意伤害； </w:t>
      </w:r>
    </w:p>
    <w:p w14:paraId="3DE1A4C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（二）被保险人故意自伤、故意犯罪或抗拒依法采取的刑事强制措施； </w:t>
      </w:r>
    </w:p>
    <w:p w14:paraId="69E8162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（三）被保险人服用、吸食或注射毒品； </w:t>
      </w:r>
    </w:p>
    <w:p w14:paraId="0FDDAF1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（四）被保险人酒后驾驶、无合法有效驾驶证驾驶，或驾驶无合法有效行驶证的机动车； </w:t>
      </w:r>
    </w:p>
    <w:p w14:paraId="70A904D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（五）被保险人感染艾滋病病毒或患艾滋病； </w:t>
      </w:r>
    </w:p>
    <w:p w14:paraId="1BF40F1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（六）战争、军事冲突、暴乱或武装叛乱； </w:t>
      </w:r>
    </w:p>
    <w:p w14:paraId="179529F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（七）核爆炸、核辐射或核污染； </w:t>
      </w:r>
    </w:p>
    <w:p w14:paraId="42614D6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（八）遗传性疾病，先天性畸形、变形或染色体异常；</w:t>
      </w:r>
    </w:p>
    <w:p w14:paraId="2FCBD4B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（九）投保前已患合同条款中所指定的重大疾病或因首次承保前既往病症导致的合同条款中所指定的重大疾病；对因既往已赔付过的重大疾病在以后保单年度内不予重复赔付。</w:t>
      </w:r>
    </w:p>
    <w:p w14:paraId="6521F5E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【七】疾病住院：在合同保险期间内，被保险人在等待期（续保的，不受等待期的限制）后因疾病在二级以上（含二级）医院或</w:t>
      </w:r>
      <w:r>
        <w:rPr>
          <w:rFonts w:hint="eastAsia" w:ascii="宋体" w:hAnsi="宋体" w:eastAsia="宋体" w:cs="宋体"/>
          <w:sz w:val="24"/>
          <w:szCs w:val="24"/>
          <w:highlight w:val="none"/>
          <w:lang w:eastAsia="zh-CN"/>
        </w:rPr>
        <w:t>保险人</w:t>
      </w:r>
      <w:r>
        <w:rPr>
          <w:rFonts w:hint="eastAsia" w:ascii="宋体" w:hAnsi="宋体" w:eastAsia="宋体" w:cs="宋体"/>
          <w:sz w:val="24"/>
          <w:szCs w:val="24"/>
          <w:highlight w:val="none"/>
        </w:rPr>
        <w:t>认可的其他医疗机构住院诊疗，对被保险人实际支出的、符合当地社会基本医疗保险支付范围的住院医疗费用，</w:t>
      </w:r>
      <w:r>
        <w:rPr>
          <w:rFonts w:hint="eastAsia" w:ascii="宋体" w:hAnsi="宋体" w:eastAsia="宋体" w:cs="宋体"/>
          <w:sz w:val="24"/>
          <w:szCs w:val="24"/>
          <w:highlight w:val="none"/>
          <w:lang w:eastAsia="zh-CN"/>
        </w:rPr>
        <w:t>保险人</w:t>
      </w:r>
      <w:r>
        <w:rPr>
          <w:rFonts w:hint="eastAsia" w:ascii="宋体" w:hAnsi="宋体" w:eastAsia="宋体" w:cs="宋体"/>
          <w:sz w:val="24"/>
          <w:szCs w:val="24"/>
          <w:highlight w:val="none"/>
        </w:rPr>
        <w:t>按约定的给付比例给付保险金，首次参保人员等待期为30天（连续参保人员无等待期）。其中：民警配偶和成年子女，未使用医保卡就医的赔付比例80%，使用医保卡就医的赔付比例95%；未成年子女，未使用医保卡就医的，免赔额200元/次，使用医保卡就医的，免赔额100元/次，在扣除免赔额后采取分组累计、比例给付，其中免赔额至1000元的部分，给付比例50%；1000元-5000元的部分，给付比例60%；5000-10000元的部分；给付比例70%；10000-30000元的部分，给付比例80%；30000元以上的部分给付比例90%。若被保险人已从当地社会基本医疗保险、公费医疗或其他途径获得补偿或给付，</w:t>
      </w:r>
      <w:r>
        <w:rPr>
          <w:rFonts w:hint="eastAsia" w:ascii="宋体" w:hAnsi="宋体" w:eastAsia="宋体" w:cs="宋体"/>
          <w:sz w:val="24"/>
          <w:szCs w:val="24"/>
          <w:highlight w:val="none"/>
          <w:lang w:eastAsia="zh-CN"/>
        </w:rPr>
        <w:t>保险人</w:t>
      </w:r>
      <w:r>
        <w:rPr>
          <w:rFonts w:hint="eastAsia" w:ascii="宋体" w:hAnsi="宋体" w:eastAsia="宋体" w:cs="宋体"/>
          <w:sz w:val="24"/>
          <w:szCs w:val="24"/>
          <w:highlight w:val="none"/>
        </w:rPr>
        <w:t>对剩余未获补偿或给付的部分按上述规定给付保险金。保险期间届满被保险人治疗仍未结束的，</w:t>
      </w:r>
      <w:r>
        <w:rPr>
          <w:rFonts w:hint="eastAsia" w:ascii="宋体" w:hAnsi="宋体" w:eastAsia="宋体" w:cs="宋体"/>
          <w:sz w:val="24"/>
          <w:szCs w:val="24"/>
          <w:highlight w:val="none"/>
          <w:lang w:eastAsia="zh-CN"/>
        </w:rPr>
        <w:t>保险人</w:t>
      </w:r>
      <w:r>
        <w:rPr>
          <w:rFonts w:hint="eastAsia" w:ascii="宋体" w:hAnsi="宋体" w:eastAsia="宋体" w:cs="宋体"/>
          <w:sz w:val="24"/>
          <w:szCs w:val="24"/>
          <w:highlight w:val="none"/>
        </w:rPr>
        <w:t>承担给付保险金责任的期限，自保险期间届满次日起至出院之日止，但最长为连续九十日。</w:t>
      </w:r>
    </w:p>
    <w:p w14:paraId="5023F48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除外责任：</w:t>
      </w:r>
    </w:p>
    <w:p w14:paraId="0804749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因下列情形之一，导致被保险人支出医疗费用的，</w:t>
      </w:r>
      <w:r>
        <w:rPr>
          <w:rFonts w:hint="eastAsia" w:ascii="宋体" w:hAnsi="宋体" w:eastAsia="宋体" w:cs="宋体"/>
          <w:b/>
          <w:bCs/>
          <w:sz w:val="24"/>
          <w:szCs w:val="24"/>
          <w:highlight w:val="none"/>
          <w:lang w:eastAsia="zh-CN"/>
        </w:rPr>
        <w:t>保险人</w:t>
      </w:r>
      <w:r>
        <w:rPr>
          <w:rFonts w:hint="eastAsia" w:ascii="宋体" w:hAnsi="宋体" w:eastAsia="宋体" w:cs="宋体"/>
          <w:b/>
          <w:bCs/>
          <w:sz w:val="24"/>
          <w:szCs w:val="24"/>
          <w:highlight w:val="none"/>
        </w:rPr>
        <w:t>不承担给付保险金责任：</w:t>
      </w:r>
    </w:p>
    <w:p w14:paraId="5CE05E4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（一）保险单中特别约定</w:t>
      </w:r>
      <w:r>
        <w:rPr>
          <w:rFonts w:hint="eastAsia" w:ascii="宋体" w:hAnsi="宋体" w:eastAsia="宋体" w:cs="宋体"/>
          <w:b/>
          <w:bCs/>
          <w:sz w:val="24"/>
          <w:szCs w:val="24"/>
          <w:highlight w:val="none"/>
          <w:lang w:eastAsia="zh-CN"/>
        </w:rPr>
        <w:t>保险人</w:t>
      </w:r>
      <w:r>
        <w:rPr>
          <w:rFonts w:hint="eastAsia" w:ascii="宋体" w:hAnsi="宋体" w:eastAsia="宋体" w:cs="宋体"/>
          <w:b/>
          <w:bCs/>
          <w:sz w:val="24"/>
          <w:szCs w:val="24"/>
          <w:highlight w:val="none"/>
        </w:rPr>
        <w:t>不承担保险责任的疾病；</w:t>
      </w:r>
    </w:p>
    <w:p w14:paraId="644812F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（二）被保险人在合同生效前的未愈疾病；</w:t>
      </w:r>
    </w:p>
    <w:p w14:paraId="48BFD37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（三）被保险人的洗牙、牙齿美白、正畸、烤瓷牙、种植牙或镶牙等牙齿保健和修复；</w:t>
      </w:r>
    </w:p>
    <w:p w14:paraId="66C85ED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（四）被保险人的视力矫正手术或变性手术；</w:t>
      </w:r>
    </w:p>
    <w:p w14:paraId="5745DC07">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（五）被保险人的整容或矫形手术；</w:t>
      </w:r>
    </w:p>
    <w:p w14:paraId="3912611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（六）被保险人遭受意外伤害；</w:t>
      </w:r>
    </w:p>
    <w:p w14:paraId="24705587">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（七）其他责任免除事项。</w:t>
      </w:r>
    </w:p>
    <w:p w14:paraId="2CD9038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【八】交通意外:</w:t>
      </w:r>
      <w:r>
        <w:rPr>
          <w:rFonts w:hint="eastAsia" w:ascii="宋体" w:hAnsi="宋体" w:eastAsia="宋体" w:cs="宋体"/>
          <w:color w:val="000000"/>
          <w:sz w:val="24"/>
          <w:szCs w:val="24"/>
          <w:highlight w:val="none"/>
        </w:rPr>
        <w:t xml:space="preserve"> </w:t>
      </w:r>
      <w:r>
        <w:rPr>
          <w:rFonts w:hint="eastAsia" w:ascii="宋体" w:hAnsi="宋体" w:eastAsia="宋体" w:cs="宋体"/>
          <w:sz w:val="24"/>
          <w:szCs w:val="24"/>
          <w:highlight w:val="none"/>
        </w:rPr>
        <w:t>在合同保险期间内，被保险人以约定的身份驾驶或搭乘约定的交通工具时遭受意外伤害，保险</w:t>
      </w:r>
      <w:r>
        <w:rPr>
          <w:rFonts w:hint="eastAsia" w:ascii="宋体" w:hAnsi="宋体" w:cs="宋体"/>
          <w:sz w:val="24"/>
          <w:szCs w:val="24"/>
          <w:highlight w:val="none"/>
          <w:lang w:eastAsia="zh-CN"/>
        </w:rPr>
        <w:t>人</w:t>
      </w:r>
      <w:r>
        <w:rPr>
          <w:rFonts w:hint="eastAsia" w:ascii="宋体" w:hAnsi="宋体" w:eastAsia="宋体" w:cs="宋体"/>
          <w:sz w:val="24"/>
          <w:szCs w:val="24"/>
          <w:highlight w:val="none"/>
        </w:rPr>
        <w:t>依下列约定给付保险金：</w:t>
      </w:r>
    </w:p>
    <w:p w14:paraId="7E4E49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（一）身故保险金</w:t>
      </w:r>
    </w:p>
    <w:p w14:paraId="3EF813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被保险人自该意外伤害发生之日起一百八十日内因该意外伤害导致身故的，对该被保险人的保险责任终止，保险</w:t>
      </w:r>
      <w:r>
        <w:rPr>
          <w:rFonts w:hint="eastAsia" w:ascii="宋体" w:hAnsi="宋体" w:cs="宋体"/>
          <w:sz w:val="24"/>
          <w:szCs w:val="24"/>
          <w:highlight w:val="none"/>
          <w:lang w:eastAsia="zh-CN"/>
        </w:rPr>
        <w:t>人</w:t>
      </w:r>
      <w:r>
        <w:rPr>
          <w:rFonts w:hint="eastAsia" w:ascii="宋体" w:hAnsi="宋体" w:eastAsia="宋体" w:cs="宋体"/>
          <w:sz w:val="24"/>
          <w:szCs w:val="24"/>
          <w:highlight w:val="none"/>
        </w:rPr>
        <w:t>按约定的该被保险人的相应交通工具保险金额扣除已从该项保险金额中给付的伤残保险金和烧伤保险金后的余额给付身故保险金。</w:t>
      </w:r>
    </w:p>
    <w:p w14:paraId="78B3CE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（二）伤残保险金</w:t>
      </w:r>
    </w:p>
    <w:p w14:paraId="571DB1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被保险人自该意外伤害发生之日起一百八十日内因该意外伤害导致身体伤残的，保险公司根据《人身保险伤残评定标准及代码》（JR/T0083-2013）（中国保险监督管理委员会发布，保监发〔2014〕6号）（以下简称《标准》）确定的伤残程度，按该被保险人的相应交通工具保险金额乘以该处伤残的伤残等级所对应的保险金给付比例给付伤残保险金。</w:t>
      </w:r>
    </w:p>
    <w:p w14:paraId="062657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（三）烧伤保险金</w:t>
      </w:r>
    </w:p>
    <w:p w14:paraId="266667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被保险人自该意外伤害发生之日起九十日内因该意外伤害导致Ⅲ度烧伤的，保险公司根据《意外烧伤保险金给付比例表》（见附表1）的规定，按该被保险人的相应交通工具保险金额及该项烧伤所对应的给付比例给付烧伤保险金，但累计给付的金额以该被保险人的相应交通工具保险金额为限。</w:t>
      </w:r>
    </w:p>
    <w:p w14:paraId="0F1CAF0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除外责任：</w:t>
      </w:r>
    </w:p>
    <w:p w14:paraId="50DB60B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因下列情形之一，造成被保险人身故、伤残或烧伤的，</w:t>
      </w:r>
      <w:r>
        <w:rPr>
          <w:rFonts w:hint="eastAsia" w:ascii="宋体" w:hAnsi="宋体" w:eastAsia="宋体" w:cs="宋体"/>
          <w:b/>
          <w:bCs/>
          <w:sz w:val="24"/>
          <w:szCs w:val="24"/>
          <w:highlight w:val="none"/>
          <w:lang w:eastAsia="zh-CN"/>
        </w:rPr>
        <w:t>保险人</w:t>
      </w:r>
      <w:r>
        <w:rPr>
          <w:rFonts w:hint="eastAsia" w:ascii="宋体" w:hAnsi="宋体" w:eastAsia="宋体" w:cs="宋体"/>
          <w:b/>
          <w:bCs/>
          <w:sz w:val="24"/>
          <w:szCs w:val="24"/>
          <w:highlight w:val="none"/>
        </w:rPr>
        <w:t>不承担给付保险金的责任：</w:t>
      </w:r>
    </w:p>
    <w:p w14:paraId="358B3BF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（一）保险单中特别约定</w:t>
      </w:r>
      <w:r>
        <w:rPr>
          <w:rFonts w:hint="eastAsia" w:ascii="宋体" w:hAnsi="宋体" w:eastAsia="宋体" w:cs="宋体"/>
          <w:b/>
          <w:bCs/>
          <w:sz w:val="24"/>
          <w:szCs w:val="24"/>
          <w:highlight w:val="none"/>
          <w:lang w:eastAsia="zh-CN"/>
        </w:rPr>
        <w:t>保险人</w:t>
      </w:r>
      <w:r>
        <w:rPr>
          <w:rFonts w:hint="eastAsia" w:ascii="宋体" w:hAnsi="宋体" w:eastAsia="宋体" w:cs="宋体"/>
          <w:b/>
          <w:bCs/>
          <w:sz w:val="24"/>
          <w:szCs w:val="24"/>
          <w:highlight w:val="none"/>
        </w:rPr>
        <w:t xml:space="preserve">不承担保险责任的事项； </w:t>
      </w:r>
    </w:p>
    <w:p w14:paraId="798410A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（二）被保险人故意犯罪或抗拒依法采取的刑事强制措施；</w:t>
      </w:r>
    </w:p>
    <w:p w14:paraId="6A8C456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（三）被保险人自杀或故意自伤，但被保险人自杀或故意自伤时为无民事行为能力人的除外；</w:t>
      </w:r>
    </w:p>
    <w:p w14:paraId="58FA951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（四）被保险人猝死，但另有约定的除外； </w:t>
      </w:r>
    </w:p>
    <w:p w14:paraId="00F0EC0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（五）被保险人斗殴、醉酒，服用、吸食或注射毒品；</w:t>
      </w:r>
    </w:p>
    <w:p w14:paraId="17D9A6E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（六）被保险人酒后驾驶、无合法有效驾驶证驾驶或驾驶无有效行驶证的机动车；</w:t>
      </w:r>
    </w:p>
    <w:p w14:paraId="19CCC45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（七）被保险人未遵医嘱私自使用或服用药物，但按使用说明的规定使用非处方药不在此限； </w:t>
      </w:r>
    </w:p>
    <w:p w14:paraId="637727E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（八）被保险人参加驾乘滑翔机、滑翔伞或赛车等高风险活动期间；</w:t>
      </w:r>
    </w:p>
    <w:p w14:paraId="70D267B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（九）被保险人的精神和行为障碍；</w:t>
      </w:r>
    </w:p>
    <w:p w14:paraId="53B4A96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（十）被保险人违反承运人关于安全乘坐的规定；</w:t>
      </w:r>
    </w:p>
    <w:p w14:paraId="0B60367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（十一）战争、军事冲突、暴乱或武装叛乱；</w:t>
      </w:r>
    </w:p>
    <w:p w14:paraId="10DC66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九】关于未成年子女身故保险金额的说明：根据保监发（2015）90号《关于父母为其未成年子女投保以死亡为给付条件人身保险有关问题的通知》，被保险人不满10周岁的，在各保险公司累计保险金额总和不得超过20万元，对被保险人已满10周岁但不满18周岁的，在各保险公司累计保险金额总和不得超过50万元。</w:t>
      </w:r>
    </w:p>
    <w:p w14:paraId="3DCBAD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三、赔付凭证</w:t>
      </w:r>
    </w:p>
    <w:p w14:paraId="286957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死亡、伤残、医疗费用等原始凭证在社会医疗保险机构处理赔偿时已经留档不能分割的，该原始凭证复印件可用于本项目理赔时作为依据凭证，但需提供医保部门分割单。</w:t>
      </w:r>
    </w:p>
    <w:p w14:paraId="5410E2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四、承保服务</w:t>
      </w:r>
    </w:p>
    <w:p w14:paraId="23B6B7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eastAsia="zh-CN"/>
        </w:rPr>
        <w:t>成交供应商</w:t>
      </w:r>
      <w:r>
        <w:rPr>
          <w:rFonts w:hint="eastAsia" w:ascii="宋体" w:hAnsi="宋体" w:eastAsia="宋体" w:cs="宋体"/>
          <w:sz w:val="24"/>
          <w:szCs w:val="24"/>
          <w:highlight w:val="none"/>
        </w:rPr>
        <w:t>在</w:t>
      </w:r>
      <w:r>
        <w:rPr>
          <w:rFonts w:hint="eastAsia" w:ascii="宋体" w:hAnsi="宋体" w:cs="宋体"/>
          <w:sz w:val="24"/>
          <w:szCs w:val="24"/>
          <w:highlight w:val="none"/>
          <w:lang w:eastAsia="zh-CN"/>
        </w:rPr>
        <w:t>成交公示</w:t>
      </w:r>
      <w:r>
        <w:rPr>
          <w:rFonts w:hint="eastAsia" w:ascii="宋体" w:hAnsi="宋体" w:eastAsia="宋体" w:cs="宋体"/>
          <w:sz w:val="24"/>
          <w:szCs w:val="24"/>
          <w:highlight w:val="none"/>
        </w:rPr>
        <w:t>期满后，在投保资料齐全的5天内完成本项目所要求的保险单证出具；</w:t>
      </w:r>
    </w:p>
    <w:p w14:paraId="641806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eastAsia="zh-CN"/>
        </w:rPr>
        <w:t>成交供应商</w:t>
      </w:r>
      <w:r>
        <w:rPr>
          <w:rFonts w:hint="eastAsia" w:ascii="宋体" w:hAnsi="宋体" w:eastAsia="宋体" w:cs="宋体"/>
          <w:sz w:val="24"/>
          <w:szCs w:val="24"/>
          <w:highlight w:val="none"/>
        </w:rPr>
        <w:t>收到投保人人员变化信息后1个工作日内完成保单批改。</w:t>
      </w:r>
    </w:p>
    <w:p w14:paraId="121528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3、本</w:t>
      </w:r>
      <w:r>
        <w:rPr>
          <w:rFonts w:hint="eastAsia" w:ascii="宋体" w:hAnsi="宋体" w:cs="宋体"/>
          <w:sz w:val="24"/>
          <w:szCs w:val="24"/>
          <w:highlight w:val="none"/>
          <w:lang w:val="en-US" w:eastAsia="zh-CN"/>
        </w:rPr>
        <w:t>磋商</w:t>
      </w:r>
      <w:r>
        <w:rPr>
          <w:rFonts w:hint="eastAsia" w:ascii="宋体" w:hAnsi="宋体" w:eastAsia="宋体" w:cs="宋体"/>
          <w:sz w:val="24"/>
          <w:szCs w:val="24"/>
          <w:highlight w:val="none"/>
        </w:rPr>
        <w:t>文件与保险单、今后可能产生的批单、书面询问或答疑和双方往来函电等共同构成保险合同；构成保险合同的所有文件被认为是一个整体，相互说明、互为补充，如条文含义不明确时，按保险法有关规定办理，当文件间相互矛盾时，以本</w:t>
      </w:r>
      <w:r>
        <w:rPr>
          <w:rFonts w:hint="eastAsia" w:ascii="宋体" w:hAnsi="宋体" w:cs="宋体"/>
          <w:sz w:val="24"/>
          <w:szCs w:val="24"/>
          <w:highlight w:val="none"/>
          <w:lang w:val="en-US" w:eastAsia="zh-CN"/>
        </w:rPr>
        <w:t>磋商</w:t>
      </w:r>
      <w:r>
        <w:rPr>
          <w:rFonts w:hint="eastAsia" w:ascii="宋体" w:hAnsi="宋体" w:eastAsia="宋体" w:cs="宋体"/>
          <w:sz w:val="24"/>
          <w:szCs w:val="24"/>
          <w:highlight w:val="none"/>
        </w:rPr>
        <w:t>文件及最终协议为准；</w:t>
      </w:r>
    </w:p>
    <w:p w14:paraId="146856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在其作为保险人对保险条款进行解释时，只是合同一方的理解，对争议或歧义的裁决应按保险法规定做出有利于被保险人的解释，若仍有争议则以法院裁决为准；但本条约定并不排斥双方平等协商解决争议的原则。</w:t>
      </w:r>
    </w:p>
    <w:p w14:paraId="067350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五、理赔服务</w:t>
      </w:r>
    </w:p>
    <w:p w14:paraId="429B03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1、基本原则：保险人不得以任何理由推卸、拖延和拒绝被保险人索赔要求，除非有合理和足够的证据证明，否则其行为构成违约并须承担违约责任；</w:t>
      </w:r>
    </w:p>
    <w:p w14:paraId="7DF809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2、一旦接到被保险人通知，保险人代表应在第一时间赶赴事故现场开始初步调查并提出止损建议，被保险人应予以配合，如保险人决定不到场则需认可该出险事实；</w:t>
      </w:r>
    </w:p>
    <w:p w14:paraId="079487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3、发生事故后，保险人应于3个工作日内向被保险人提交一份针对本次事故完成理赔工作所需经过的程序及需要的事故/损失证明材料；</w:t>
      </w:r>
    </w:p>
    <w:p w14:paraId="2E1D9F53">
      <w:pPr>
        <w:pStyle w:val="6"/>
        <w:keepNext w:val="0"/>
        <w:keepLines w:val="0"/>
        <w:pageBreakBefore w:val="0"/>
        <w:widowControl w:val="0"/>
        <w:kinsoku/>
        <w:wordWrap/>
        <w:overflowPunct/>
        <w:topLinePunct w:val="0"/>
        <w:autoSpaceDE/>
        <w:autoSpaceDN/>
        <w:bidi w:val="0"/>
        <w:adjustRightInd/>
        <w:snapToGrid/>
        <w:spacing w:before="0" w:after="0"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4、保险人上门收齐被保险人的理赔资料后，应在2个工作日确定是否属于保险责任，当确定事故责任属于赔偿范围，且可以计算损失金额，保险人应在5个工作日内完成赔案处理和赔款支付。</w:t>
      </w:r>
    </w:p>
    <w:p w14:paraId="0CDD6A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付款方式</w:t>
      </w:r>
    </w:p>
    <w:p w14:paraId="748A9C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项目完成且通过验收后的十个工作日内，</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向</w:t>
      </w:r>
      <w:r>
        <w:rPr>
          <w:rFonts w:hint="eastAsia" w:ascii="宋体" w:hAnsi="宋体" w:eastAsia="宋体" w:cs="宋体"/>
          <w:sz w:val="24"/>
          <w:szCs w:val="24"/>
          <w:highlight w:val="none"/>
          <w:lang w:val="en-US" w:eastAsia="zh-CN"/>
        </w:rPr>
        <w:t>成交供应商</w:t>
      </w:r>
      <w:r>
        <w:rPr>
          <w:rFonts w:hint="eastAsia" w:ascii="宋体" w:hAnsi="宋体" w:eastAsia="宋体" w:cs="宋体"/>
          <w:sz w:val="24"/>
          <w:szCs w:val="24"/>
          <w:highlight w:val="none"/>
        </w:rPr>
        <w:t>一次性付清全部合同款项。</w:t>
      </w:r>
    </w:p>
    <w:p w14:paraId="0982B4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注：付款前，</w:t>
      </w:r>
      <w:r>
        <w:rPr>
          <w:rFonts w:hint="eastAsia" w:ascii="宋体" w:hAnsi="宋体" w:eastAsia="宋体" w:cs="宋体"/>
          <w:sz w:val="24"/>
          <w:szCs w:val="24"/>
          <w:highlight w:val="none"/>
          <w:lang w:val="en-US" w:eastAsia="zh-CN"/>
        </w:rPr>
        <w:t>成交供应商</w:t>
      </w:r>
      <w:r>
        <w:rPr>
          <w:rFonts w:hint="eastAsia" w:ascii="宋体" w:hAnsi="宋体" w:eastAsia="宋体" w:cs="宋体"/>
          <w:sz w:val="24"/>
          <w:szCs w:val="24"/>
          <w:highlight w:val="none"/>
        </w:rPr>
        <w:t>应提供符合</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要求的同等金额的合法有效发票。否则，</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有权顺延付款时间，且不承担任何违约或赔偿责任。</w:t>
      </w:r>
    </w:p>
    <w:p w14:paraId="707DB8B0">
      <w:pPr>
        <w:rPr>
          <w:rFonts w:hint="eastAsia" w:ascii="Times New Roman" w:hAnsi="Times New Roman" w:eastAsia="宋体" w:cs="宋体"/>
          <w:sz w:val="48"/>
          <w:szCs w:val="44"/>
          <w:highlight w:val="none"/>
        </w:rPr>
      </w:pPr>
      <w:r>
        <w:rPr>
          <w:rFonts w:hint="eastAsia" w:ascii="Times New Roman" w:hAnsi="Times New Roman" w:eastAsia="宋体" w:cs="宋体"/>
          <w:sz w:val="48"/>
          <w:szCs w:val="44"/>
          <w:highlight w:val="none"/>
        </w:rPr>
        <w:br w:type="page"/>
      </w:r>
    </w:p>
    <w:p w14:paraId="59289509">
      <w:pPr>
        <w:pStyle w:val="6"/>
        <w:keepNext w:val="0"/>
        <w:keepLines w:val="0"/>
        <w:pageBreakBefore w:val="0"/>
        <w:widowControl w:val="0"/>
        <w:kinsoku/>
        <w:wordWrap/>
        <w:overflowPunct/>
        <w:topLinePunct w:val="0"/>
        <w:autoSpaceDE/>
        <w:autoSpaceDN/>
        <w:bidi w:val="0"/>
        <w:adjustRightInd/>
        <w:snapToGrid/>
        <w:spacing w:before="0" w:after="0" w:line="360" w:lineRule="auto"/>
        <w:ind w:firstLine="964" w:firstLineChars="200"/>
        <w:jc w:val="center"/>
        <w:textAlignment w:val="auto"/>
        <w:rPr>
          <w:rFonts w:ascii="Times New Roman" w:hAnsi="Times New Roman" w:eastAsia="宋体" w:cs="宋体"/>
          <w:sz w:val="48"/>
          <w:szCs w:val="44"/>
        </w:rPr>
      </w:pPr>
      <w:r>
        <w:rPr>
          <w:rFonts w:hint="eastAsia" w:ascii="Times New Roman" w:hAnsi="Times New Roman" w:eastAsia="宋体" w:cs="宋体"/>
          <w:sz w:val="48"/>
          <w:szCs w:val="44"/>
        </w:rPr>
        <w:t>第四章</w:t>
      </w:r>
      <w:bookmarkStart w:id="1" w:name="_Toc182848996"/>
      <w:bookmarkStart w:id="2" w:name="_Toc43217893"/>
      <w:bookmarkStart w:id="3" w:name="_Toc37322565"/>
      <w:bookmarkStart w:id="4" w:name="_Toc85627670"/>
      <w:bookmarkStart w:id="5" w:name="_Toc38121794"/>
      <w:r>
        <w:rPr>
          <w:rFonts w:hint="eastAsia" w:ascii="Times New Roman" w:hAnsi="Times New Roman" w:eastAsia="宋体" w:cs="宋体"/>
          <w:sz w:val="48"/>
          <w:szCs w:val="44"/>
        </w:rPr>
        <w:t xml:space="preserve"> 评审方法和程序</w:t>
      </w:r>
      <w:bookmarkEnd w:id="1"/>
      <w:bookmarkEnd w:id="2"/>
      <w:bookmarkEnd w:id="3"/>
      <w:bookmarkEnd w:id="4"/>
      <w:bookmarkEnd w:id="5"/>
    </w:p>
    <w:p w14:paraId="22C609E5">
      <w:pPr>
        <w:pStyle w:val="5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jc w:val="both"/>
        <w:textAlignment w:val="auto"/>
        <w:rPr>
          <w:rFonts w:ascii="Times New Roman" w:hAnsi="Times New Roman" w:cs="宋体"/>
          <w:b/>
          <w:bCs/>
          <w:szCs w:val="24"/>
          <w:shd w:val="clear" w:color="auto" w:fill="FFFFFF"/>
          <w:lang w:eastAsia="zh-CN"/>
        </w:rPr>
      </w:pPr>
      <w:bookmarkStart w:id="6" w:name="_Toc363573857"/>
      <w:bookmarkEnd w:id="6"/>
      <w:r>
        <w:rPr>
          <w:rFonts w:hint="eastAsia" w:ascii="Times New Roman" w:hAnsi="Times New Roman" w:cs="宋体"/>
          <w:b/>
          <w:bCs/>
          <w:szCs w:val="24"/>
          <w:shd w:val="clear" w:color="auto" w:fill="FFFFFF"/>
          <w:lang w:eastAsia="zh-CN"/>
        </w:rPr>
        <w:t>一、代理机构组织磋商</w:t>
      </w:r>
    </w:p>
    <w:p w14:paraId="6613D923">
      <w:pPr>
        <w:keepNext w:val="0"/>
        <w:keepLines w:val="0"/>
        <w:pageBreakBefore w:val="0"/>
        <w:kinsoku/>
        <w:wordWrap/>
        <w:overflowPunct/>
        <w:topLinePunct w:val="0"/>
        <w:autoSpaceDE/>
        <w:autoSpaceDN/>
        <w:bidi w:val="0"/>
        <w:adjustRightInd/>
        <w:snapToGrid/>
        <w:spacing w:line="360" w:lineRule="auto"/>
        <w:ind w:firstLine="480"/>
        <w:textAlignment w:val="auto"/>
        <w:rPr>
          <w:rFonts w:ascii="Times New Roman" w:hAnsi="Times New Roman" w:cs="宋体"/>
          <w:sz w:val="24"/>
          <w:szCs w:val="24"/>
        </w:rPr>
      </w:pPr>
      <w:r>
        <w:rPr>
          <w:rFonts w:hint="eastAsia" w:ascii="Times New Roman" w:hAnsi="Times New Roman" w:cs="宋体"/>
          <w:sz w:val="24"/>
          <w:szCs w:val="24"/>
        </w:rPr>
        <w:t>1、本次竞争性磋商依据《中华人民共和国政府采购法》、《政府采购竞争性磋商采购方式管理暂行办法》及有关法规成立磋商小组。磋商小组由采购人代表和评审专家共3人以上单数组成，其中评审专家人数不得少于磋商小组成员总数的三分之二。</w:t>
      </w:r>
    </w:p>
    <w:p w14:paraId="2DF1DBDF">
      <w:pPr>
        <w:keepNext w:val="0"/>
        <w:keepLines w:val="0"/>
        <w:pageBreakBefore w:val="0"/>
        <w:kinsoku/>
        <w:wordWrap/>
        <w:overflowPunct/>
        <w:topLinePunct w:val="0"/>
        <w:autoSpaceDE/>
        <w:autoSpaceDN/>
        <w:bidi w:val="0"/>
        <w:adjustRightInd/>
        <w:snapToGrid/>
        <w:spacing w:line="360" w:lineRule="auto"/>
        <w:ind w:firstLine="480"/>
        <w:textAlignment w:val="auto"/>
        <w:rPr>
          <w:rFonts w:ascii="Times New Roman" w:hAnsi="Times New Roman" w:cs="宋体"/>
          <w:sz w:val="24"/>
          <w:szCs w:val="24"/>
        </w:rPr>
      </w:pPr>
      <w:r>
        <w:rPr>
          <w:rFonts w:hint="eastAsia" w:ascii="Times New Roman" w:hAnsi="Times New Roman" w:cs="宋体"/>
          <w:sz w:val="24"/>
          <w:szCs w:val="24"/>
        </w:rPr>
        <w:t>2、磋商小组的职责：</w:t>
      </w:r>
    </w:p>
    <w:p w14:paraId="71DAEFEC">
      <w:pPr>
        <w:keepNext w:val="0"/>
        <w:keepLines w:val="0"/>
        <w:pageBreakBefore w:val="0"/>
        <w:kinsoku/>
        <w:wordWrap/>
        <w:overflowPunct/>
        <w:topLinePunct w:val="0"/>
        <w:autoSpaceDE/>
        <w:autoSpaceDN/>
        <w:bidi w:val="0"/>
        <w:adjustRightInd/>
        <w:snapToGrid/>
        <w:spacing w:line="360" w:lineRule="auto"/>
        <w:ind w:firstLine="480"/>
        <w:textAlignment w:val="auto"/>
        <w:rPr>
          <w:rFonts w:ascii="Times New Roman" w:hAnsi="Times New Roman" w:cs="宋体"/>
          <w:sz w:val="24"/>
          <w:szCs w:val="24"/>
        </w:rPr>
      </w:pPr>
      <w:r>
        <w:rPr>
          <w:rFonts w:hint="eastAsia" w:ascii="Times New Roman" w:hAnsi="Times New Roman" w:cs="宋体"/>
          <w:sz w:val="24"/>
          <w:szCs w:val="24"/>
        </w:rPr>
        <w:t>（1）磋商小组成员应当按照客观、公正、审慎的原则，根据磋商文件规定的评审程序、评审方法和评审标准进行独立评审。</w:t>
      </w:r>
    </w:p>
    <w:p w14:paraId="02DA4896">
      <w:pPr>
        <w:keepNext w:val="0"/>
        <w:keepLines w:val="0"/>
        <w:pageBreakBefore w:val="0"/>
        <w:kinsoku/>
        <w:wordWrap/>
        <w:overflowPunct/>
        <w:topLinePunct w:val="0"/>
        <w:autoSpaceDE/>
        <w:autoSpaceDN/>
        <w:bidi w:val="0"/>
        <w:adjustRightInd/>
        <w:snapToGrid/>
        <w:spacing w:line="360" w:lineRule="auto"/>
        <w:ind w:firstLine="480"/>
        <w:textAlignment w:val="auto"/>
        <w:rPr>
          <w:rFonts w:ascii="Times New Roman" w:hAnsi="Times New Roman" w:cs="宋体"/>
          <w:sz w:val="24"/>
          <w:szCs w:val="24"/>
        </w:rPr>
      </w:pPr>
      <w:r>
        <w:rPr>
          <w:rFonts w:hint="eastAsia" w:ascii="Times New Roman" w:hAnsi="Times New Roman" w:cs="宋体"/>
          <w:sz w:val="24"/>
          <w:szCs w:val="24"/>
        </w:rPr>
        <w:t>（2）磋商小组成员应当遵守评审工作纪律，不得泄露评审情况和评审中获悉的商业秘密，对个人的评审意见承担法律责任；</w:t>
      </w:r>
    </w:p>
    <w:p w14:paraId="69A917FE">
      <w:pPr>
        <w:keepNext w:val="0"/>
        <w:keepLines w:val="0"/>
        <w:pageBreakBefore w:val="0"/>
        <w:kinsoku/>
        <w:wordWrap/>
        <w:overflowPunct/>
        <w:topLinePunct w:val="0"/>
        <w:autoSpaceDE/>
        <w:autoSpaceDN/>
        <w:bidi w:val="0"/>
        <w:adjustRightInd/>
        <w:snapToGrid/>
        <w:spacing w:line="360" w:lineRule="auto"/>
        <w:ind w:firstLine="480"/>
        <w:textAlignment w:val="auto"/>
        <w:rPr>
          <w:rFonts w:ascii="Times New Roman" w:hAnsi="Times New Roman" w:cs="宋体"/>
          <w:sz w:val="24"/>
          <w:szCs w:val="24"/>
        </w:rPr>
      </w:pPr>
      <w:r>
        <w:rPr>
          <w:rFonts w:hint="eastAsia" w:ascii="Times New Roman" w:hAnsi="Times New Roman" w:cs="宋体"/>
          <w:sz w:val="24"/>
          <w:szCs w:val="24"/>
        </w:rPr>
        <w:t>（3）磋商小组成员在评审过程中发现供应商有行贿、提供虚假材料或者串通等违法行为的，应当及时向财政部门报告。</w:t>
      </w:r>
    </w:p>
    <w:p w14:paraId="520852ED">
      <w:pPr>
        <w:keepNext w:val="0"/>
        <w:keepLines w:val="0"/>
        <w:pageBreakBefore w:val="0"/>
        <w:kinsoku/>
        <w:wordWrap/>
        <w:overflowPunct/>
        <w:topLinePunct w:val="0"/>
        <w:autoSpaceDE/>
        <w:autoSpaceDN/>
        <w:bidi w:val="0"/>
        <w:adjustRightInd/>
        <w:snapToGrid/>
        <w:spacing w:line="360" w:lineRule="auto"/>
        <w:ind w:firstLine="480"/>
        <w:textAlignment w:val="auto"/>
        <w:rPr>
          <w:rFonts w:ascii="Times New Roman" w:hAnsi="Times New Roman" w:cs="宋体"/>
          <w:sz w:val="24"/>
          <w:szCs w:val="24"/>
        </w:rPr>
      </w:pPr>
      <w:r>
        <w:rPr>
          <w:rFonts w:hint="eastAsia" w:ascii="Times New Roman" w:hAnsi="Times New Roman" w:cs="宋体"/>
          <w:sz w:val="24"/>
          <w:szCs w:val="24"/>
        </w:rPr>
        <w:t>（4）磋商小组成员在评审过程中受到非法干涉的，应当及时向财政、监察等部门举报。</w:t>
      </w:r>
    </w:p>
    <w:p w14:paraId="1EE99B7F">
      <w:pPr>
        <w:keepNext w:val="0"/>
        <w:keepLines w:val="0"/>
        <w:pageBreakBefore w:val="0"/>
        <w:kinsoku/>
        <w:wordWrap/>
        <w:overflowPunct/>
        <w:topLinePunct w:val="0"/>
        <w:autoSpaceDE/>
        <w:autoSpaceDN/>
        <w:bidi w:val="0"/>
        <w:adjustRightInd/>
        <w:snapToGrid/>
        <w:spacing w:line="360" w:lineRule="auto"/>
        <w:ind w:firstLine="480"/>
        <w:textAlignment w:val="auto"/>
        <w:rPr>
          <w:rFonts w:ascii="Times New Roman" w:hAnsi="Times New Roman" w:cs="宋体"/>
          <w:sz w:val="24"/>
          <w:szCs w:val="24"/>
        </w:rPr>
      </w:pPr>
      <w:r>
        <w:rPr>
          <w:rFonts w:hint="eastAsia" w:ascii="Times New Roman" w:hAnsi="Times New Roman" w:cs="宋体"/>
          <w:sz w:val="24"/>
          <w:szCs w:val="24"/>
        </w:rPr>
        <w:t>（5）配合采购单位答复供应商提出的质疑；配合财政部门的投诉处理和监督检查工作。</w:t>
      </w:r>
    </w:p>
    <w:p w14:paraId="076C2D1D">
      <w:pPr>
        <w:keepNext w:val="0"/>
        <w:keepLines w:val="0"/>
        <w:pageBreakBefore w:val="0"/>
        <w:kinsoku/>
        <w:wordWrap/>
        <w:overflowPunct/>
        <w:topLinePunct w:val="0"/>
        <w:autoSpaceDE/>
        <w:autoSpaceDN/>
        <w:bidi w:val="0"/>
        <w:adjustRightInd/>
        <w:snapToGrid/>
        <w:spacing w:line="360" w:lineRule="auto"/>
        <w:ind w:firstLine="480"/>
        <w:textAlignment w:val="auto"/>
        <w:rPr>
          <w:rFonts w:ascii="Times New Roman" w:hAnsi="Times New Roman" w:cs="宋体"/>
          <w:sz w:val="24"/>
          <w:szCs w:val="24"/>
        </w:rPr>
      </w:pPr>
      <w:r>
        <w:rPr>
          <w:rFonts w:hint="eastAsia" w:ascii="Times New Roman" w:hAnsi="Times New Roman" w:cs="宋体"/>
          <w:sz w:val="24"/>
          <w:szCs w:val="24"/>
        </w:rPr>
        <w:t>3、评审有关记录由磋商小组成员签名，存档备查。</w:t>
      </w:r>
    </w:p>
    <w:p w14:paraId="35F8B87D">
      <w:pPr>
        <w:keepNext w:val="0"/>
        <w:keepLines w:val="0"/>
        <w:pageBreakBefore w:val="0"/>
        <w:kinsoku/>
        <w:wordWrap/>
        <w:overflowPunct/>
        <w:topLinePunct w:val="0"/>
        <w:autoSpaceDE/>
        <w:autoSpaceDN/>
        <w:bidi w:val="0"/>
        <w:adjustRightInd/>
        <w:snapToGrid/>
        <w:spacing w:line="360" w:lineRule="auto"/>
        <w:ind w:firstLine="480"/>
        <w:textAlignment w:val="auto"/>
        <w:rPr>
          <w:rFonts w:ascii="Times New Roman" w:hAnsi="Times New Roman" w:cs="宋体"/>
          <w:sz w:val="24"/>
          <w:szCs w:val="24"/>
        </w:rPr>
      </w:pPr>
      <w:r>
        <w:rPr>
          <w:rFonts w:hint="eastAsia" w:ascii="Times New Roman" w:hAnsi="Times New Roman" w:cs="宋体"/>
          <w:sz w:val="24"/>
          <w:szCs w:val="24"/>
        </w:rPr>
        <w:t>4、供应商的法定代表人或被授权人须持身份证准时参加磋商活动会。</w:t>
      </w:r>
    </w:p>
    <w:p w14:paraId="1DF213C2">
      <w:pPr>
        <w:pStyle w:val="5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jc w:val="both"/>
        <w:textAlignment w:val="auto"/>
        <w:rPr>
          <w:rFonts w:ascii="Times New Roman" w:hAnsi="Times New Roman" w:cs="宋体"/>
          <w:b/>
          <w:bCs/>
          <w:szCs w:val="24"/>
          <w:shd w:val="clear" w:color="auto" w:fill="FFFFFF"/>
          <w:lang w:eastAsia="zh-CN"/>
        </w:rPr>
      </w:pPr>
      <w:r>
        <w:rPr>
          <w:rFonts w:hint="eastAsia" w:ascii="Times New Roman" w:hAnsi="Times New Roman" w:cs="宋体"/>
          <w:b/>
          <w:bCs/>
          <w:szCs w:val="24"/>
          <w:shd w:val="clear" w:color="auto" w:fill="FFFFFF"/>
          <w:lang w:eastAsia="zh-CN"/>
        </w:rPr>
        <w:t>二、磋商的原则及方法</w:t>
      </w:r>
    </w:p>
    <w:p w14:paraId="738EF5F4">
      <w:pPr>
        <w:keepNext w:val="0"/>
        <w:keepLines w:val="0"/>
        <w:pageBreakBefore w:val="0"/>
        <w:kinsoku/>
        <w:wordWrap/>
        <w:overflowPunct/>
        <w:topLinePunct w:val="0"/>
        <w:autoSpaceDE/>
        <w:autoSpaceDN/>
        <w:bidi w:val="0"/>
        <w:adjustRightInd/>
        <w:snapToGrid/>
        <w:spacing w:line="360" w:lineRule="auto"/>
        <w:ind w:firstLine="480"/>
        <w:textAlignment w:val="auto"/>
        <w:rPr>
          <w:rFonts w:ascii="Times New Roman" w:hAnsi="Times New Roman" w:cs="宋体"/>
          <w:sz w:val="24"/>
          <w:szCs w:val="24"/>
        </w:rPr>
      </w:pPr>
      <w:r>
        <w:rPr>
          <w:rFonts w:hint="eastAsia" w:ascii="Times New Roman" w:hAnsi="Times New Roman" w:cs="宋体"/>
          <w:sz w:val="24"/>
          <w:szCs w:val="24"/>
        </w:rPr>
        <w:t>1、磋商小组依据《中华人民共和国政府采购法》、《政府采购竞争性磋商采购方式管理暂行办法》以及有关政府采购的相关法规，遵循“公开、公平、公正、择优、信用”的原则进行磋商评审。</w:t>
      </w:r>
    </w:p>
    <w:p w14:paraId="30E9A6AA">
      <w:pPr>
        <w:keepNext w:val="0"/>
        <w:keepLines w:val="0"/>
        <w:pageBreakBefore w:val="0"/>
        <w:kinsoku/>
        <w:wordWrap/>
        <w:overflowPunct/>
        <w:topLinePunct w:val="0"/>
        <w:autoSpaceDE/>
        <w:autoSpaceDN/>
        <w:bidi w:val="0"/>
        <w:adjustRightInd/>
        <w:snapToGrid/>
        <w:spacing w:line="360" w:lineRule="auto"/>
        <w:ind w:firstLine="480"/>
        <w:textAlignment w:val="auto"/>
        <w:rPr>
          <w:rFonts w:ascii="Times New Roman" w:hAnsi="Times New Roman" w:cs="宋体"/>
          <w:sz w:val="24"/>
          <w:szCs w:val="24"/>
        </w:rPr>
      </w:pPr>
      <w:r>
        <w:rPr>
          <w:rFonts w:hint="eastAsia" w:ascii="Times New Roman" w:hAnsi="Times New Roman" w:cs="宋体"/>
          <w:sz w:val="24"/>
          <w:szCs w:val="24"/>
        </w:rPr>
        <w:t>2、磋商小组将按照竞争性磋商文件的规定，独立对每个进入打分程序的有效供应商的响应文件的技术部分以打分的形式进行评审和评价。技术分取算术平均值（计算结果均四舍五入保留两位小数）。</w:t>
      </w:r>
    </w:p>
    <w:p w14:paraId="4A1C086D">
      <w:pPr>
        <w:keepNext w:val="0"/>
        <w:keepLines w:val="0"/>
        <w:pageBreakBefore w:val="0"/>
        <w:kinsoku/>
        <w:wordWrap/>
        <w:overflowPunct/>
        <w:topLinePunct w:val="0"/>
        <w:autoSpaceDE/>
        <w:autoSpaceDN/>
        <w:bidi w:val="0"/>
        <w:adjustRightInd/>
        <w:snapToGrid/>
        <w:spacing w:line="360" w:lineRule="auto"/>
        <w:ind w:firstLine="480"/>
        <w:textAlignment w:val="auto"/>
        <w:rPr>
          <w:rFonts w:ascii="Times New Roman" w:hAnsi="Times New Roman" w:cs="宋体"/>
          <w:sz w:val="24"/>
          <w:szCs w:val="24"/>
        </w:rPr>
      </w:pPr>
      <w:r>
        <w:rPr>
          <w:rFonts w:hint="eastAsia" w:ascii="Times New Roman" w:hAnsi="Times New Roman" w:cs="宋体"/>
          <w:sz w:val="24"/>
          <w:szCs w:val="24"/>
        </w:rPr>
        <w:t>3、磋商小组根据磋商文件规定的程序、评定成交的标准等事项与实质性响应磋商文件要求的供应商进行磋商。未实质性响应磋商文件要求的响应文件按无效处理，磋商小组应当告知提交响应文件的供应商。</w:t>
      </w:r>
    </w:p>
    <w:p w14:paraId="74E9E86A">
      <w:pPr>
        <w:keepNext w:val="0"/>
        <w:keepLines w:val="0"/>
        <w:pageBreakBefore w:val="0"/>
        <w:kinsoku/>
        <w:wordWrap/>
        <w:overflowPunct/>
        <w:topLinePunct w:val="0"/>
        <w:autoSpaceDE/>
        <w:autoSpaceDN/>
        <w:bidi w:val="0"/>
        <w:adjustRightInd/>
        <w:snapToGrid/>
        <w:spacing w:line="360" w:lineRule="auto"/>
        <w:ind w:firstLine="480"/>
        <w:textAlignment w:val="auto"/>
        <w:rPr>
          <w:rFonts w:ascii="Times New Roman" w:hAnsi="Times New Roman" w:cs="宋体"/>
          <w:sz w:val="24"/>
          <w:szCs w:val="24"/>
        </w:rPr>
      </w:pPr>
      <w:r>
        <w:rPr>
          <w:rFonts w:hint="eastAsia" w:ascii="Times New Roman" w:hAnsi="Times New Roman" w:cs="宋体"/>
          <w:sz w:val="24"/>
          <w:szCs w:val="24"/>
        </w:rPr>
        <w:t>4、磋商文件能够详细列明采购货物的技术、服务要求的，磋商结束后，磋商小组应当要求所有实质性响应的供应商在规定时间内提交最后报价，提交最后报价的供应商不得少于3家。</w:t>
      </w:r>
    </w:p>
    <w:p w14:paraId="7F055CDA">
      <w:pPr>
        <w:keepNext w:val="0"/>
        <w:keepLines w:val="0"/>
        <w:pageBreakBefore w:val="0"/>
        <w:kinsoku/>
        <w:wordWrap/>
        <w:overflowPunct/>
        <w:topLinePunct w:val="0"/>
        <w:autoSpaceDE/>
        <w:autoSpaceDN/>
        <w:bidi w:val="0"/>
        <w:adjustRightInd/>
        <w:snapToGrid/>
        <w:spacing w:line="360" w:lineRule="auto"/>
        <w:ind w:firstLine="480"/>
        <w:textAlignment w:val="auto"/>
        <w:rPr>
          <w:rFonts w:ascii="Times New Roman" w:hAnsi="Times New Roman" w:cs="宋体"/>
          <w:sz w:val="24"/>
          <w:szCs w:val="24"/>
        </w:rPr>
      </w:pPr>
      <w:r>
        <w:rPr>
          <w:rFonts w:hint="eastAsia" w:ascii="Times New Roman" w:hAnsi="Times New Roman" w:cs="宋体"/>
          <w:sz w:val="24"/>
          <w:szCs w:val="24"/>
        </w:rPr>
        <w:t>磋商文件不能详细列明采购货物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w:t>
      </w:r>
    </w:p>
    <w:p w14:paraId="31BBDE6C">
      <w:pPr>
        <w:keepNext w:val="0"/>
        <w:keepLines w:val="0"/>
        <w:pageBreakBefore w:val="0"/>
        <w:kinsoku/>
        <w:wordWrap/>
        <w:overflowPunct/>
        <w:topLinePunct w:val="0"/>
        <w:autoSpaceDE/>
        <w:autoSpaceDN/>
        <w:bidi w:val="0"/>
        <w:adjustRightInd/>
        <w:snapToGrid/>
        <w:spacing w:line="360" w:lineRule="auto"/>
        <w:ind w:firstLine="480"/>
        <w:textAlignment w:val="auto"/>
        <w:rPr>
          <w:rFonts w:ascii="Times New Roman" w:hAnsi="Times New Roman" w:cs="宋体"/>
          <w:sz w:val="24"/>
          <w:szCs w:val="24"/>
        </w:rPr>
      </w:pPr>
      <w:r>
        <w:rPr>
          <w:rFonts w:hint="eastAsia" w:ascii="Times New Roman" w:hAnsi="Times New Roman" w:cs="宋体"/>
          <w:sz w:val="24"/>
          <w:szCs w:val="24"/>
        </w:rPr>
        <w:t>5、已提交响应文件的供应商，在提交最后报价之前，可以根据磋商情况退出磋商。</w:t>
      </w:r>
    </w:p>
    <w:p w14:paraId="6778B9E2">
      <w:pPr>
        <w:keepNext w:val="0"/>
        <w:keepLines w:val="0"/>
        <w:pageBreakBefore w:val="0"/>
        <w:kinsoku/>
        <w:wordWrap/>
        <w:overflowPunct/>
        <w:topLinePunct w:val="0"/>
        <w:autoSpaceDE/>
        <w:autoSpaceDN/>
        <w:bidi w:val="0"/>
        <w:adjustRightInd/>
        <w:snapToGrid/>
        <w:spacing w:line="360" w:lineRule="auto"/>
        <w:ind w:firstLine="480"/>
        <w:textAlignment w:val="auto"/>
        <w:rPr>
          <w:rFonts w:ascii="Times New Roman" w:hAnsi="Times New Roman" w:cs="宋体"/>
          <w:sz w:val="24"/>
          <w:szCs w:val="24"/>
        </w:rPr>
      </w:pPr>
      <w:r>
        <w:rPr>
          <w:rFonts w:hint="eastAsia" w:ascii="Times New Roman" w:hAnsi="Times New Roman" w:cs="宋体"/>
          <w:sz w:val="24"/>
          <w:szCs w:val="24"/>
        </w:rPr>
        <w:t>6、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价。对被认定为低于成本报价磋商竞价的报价做无效报价，按无效响应处理。</w:t>
      </w:r>
    </w:p>
    <w:p w14:paraId="5328B50F">
      <w:pPr>
        <w:pStyle w:val="5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jc w:val="both"/>
        <w:textAlignment w:val="auto"/>
        <w:rPr>
          <w:rFonts w:ascii="Times New Roman" w:hAnsi="Times New Roman" w:cs="宋体"/>
          <w:b/>
          <w:bCs/>
          <w:szCs w:val="24"/>
          <w:shd w:val="clear" w:color="auto" w:fill="FFFFFF"/>
          <w:lang w:eastAsia="zh-CN"/>
        </w:rPr>
      </w:pPr>
      <w:r>
        <w:rPr>
          <w:rFonts w:hint="eastAsia" w:ascii="Times New Roman" w:hAnsi="Times New Roman" w:cs="宋体"/>
          <w:b/>
          <w:bCs/>
          <w:szCs w:val="24"/>
          <w:shd w:val="clear" w:color="auto" w:fill="FFFFFF"/>
          <w:lang w:eastAsia="zh-CN"/>
        </w:rPr>
        <w:t>三、磋商评定结果的方法</w:t>
      </w:r>
    </w:p>
    <w:p w14:paraId="76AF8533">
      <w:pPr>
        <w:keepNext w:val="0"/>
        <w:keepLines w:val="0"/>
        <w:pageBreakBefore w:val="0"/>
        <w:kinsoku/>
        <w:wordWrap/>
        <w:overflowPunct/>
        <w:topLinePunct w:val="0"/>
        <w:autoSpaceDE/>
        <w:autoSpaceDN/>
        <w:bidi w:val="0"/>
        <w:adjustRightInd/>
        <w:snapToGrid/>
        <w:spacing w:line="360" w:lineRule="auto"/>
        <w:ind w:firstLine="480"/>
        <w:textAlignment w:val="auto"/>
        <w:rPr>
          <w:rFonts w:ascii="Times New Roman" w:hAnsi="Times New Roman" w:cs="宋体"/>
          <w:sz w:val="24"/>
          <w:szCs w:val="24"/>
        </w:rPr>
      </w:pPr>
      <w:r>
        <w:rPr>
          <w:rFonts w:hint="eastAsia" w:ascii="Times New Roman" w:hAnsi="Times New Roman" w:cs="宋体"/>
          <w:sz w:val="24"/>
          <w:szCs w:val="24"/>
        </w:rPr>
        <w:t>1、</w:t>
      </w:r>
      <w:r>
        <w:rPr>
          <w:rFonts w:hint="eastAsia" w:ascii="Times New Roman" w:hAnsi="Times New Roman" w:cs="宋体"/>
          <w:b/>
          <w:sz w:val="24"/>
          <w:szCs w:val="24"/>
          <w:u w:val="single"/>
        </w:rPr>
        <w:t>经磋商确定最终采购需求和提交最后报价的供应商后，</w:t>
      </w:r>
      <w:r>
        <w:rPr>
          <w:rFonts w:hint="eastAsia" w:ascii="Times New Roman" w:hAnsi="Times New Roman" w:cs="宋体"/>
          <w:sz w:val="24"/>
          <w:szCs w:val="24"/>
        </w:rPr>
        <w:t>由磋商小组采用综合评分法</w:t>
      </w:r>
      <w:r>
        <w:rPr>
          <w:rFonts w:hint="eastAsia" w:ascii="Times New Roman" w:hAnsi="Times New Roman" w:cs="宋体"/>
          <w:b/>
          <w:sz w:val="24"/>
          <w:szCs w:val="24"/>
          <w:u w:val="single"/>
        </w:rPr>
        <w:t>对提交最后报价的供应商的响应文件和最后报价</w:t>
      </w:r>
      <w:r>
        <w:rPr>
          <w:rFonts w:hint="eastAsia" w:ascii="Times New Roman" w:hAnsi="Times New Roman" w:cs="宋体"/>
          <w:sz w:val="24"/>
          <w:szCs w:val="24"/>
        </w:rPr>
        <w:t>进行综合评分。</w:t>
      </w:r>
    </w:p>
    <w:p w14:paraId="15D9E81F">
      <w:pPr>
        <w:keepNext w:val="0"/>
        <w:keepLines w:val="0"/>
        <w:pageBreakBefore w:val="0"/>
        <w:kinsoku/>
        <w:wordWrap/>
        <w:overflowPunct/>
        <w:topLinePunct w:val="0"/>
        <w:autoSpaceDE/>
        <w:autoSpaceDN/>
        <w:bidi w:val="0"/>
        <w:adjustRightInd/>
        <w:snapToGrid/>
        <w:spacing w:line="360" w:lineRule="auto"/>
        <w:ind w:firstLine="480"/>
        <w:textAlignment w:val="auto"/>
        <w:rPr>
          <w:rFonts w:ascii="Times New Roman" w:hAnsi="Times New Roman" w:cs="宋体"/>
          <w:sz w:val="24"/>
          <w:szCs w:val="24"/>
        </w:rPr>
      </w:pPr>
      <w:r>
        <w:rPr>
          <w:rFonts w:hint="eastAsia" w:ascii="Times New Roman" w:hAnsi="Times New Roman" w:cs="宋体"/>
          <w:sz w:val="24"/>
          <w:szCs w:val="24"/>
        </w:rPr>
        <w:t>2、评审时，磋商小组各成员应当独立对每个有效响应的文件进行评价、打分，然后汇总每个供应商每项评分因素的得分（计算结果均四舍五入保留两位小数）。</w:t>
      </w:r>
    </w:p>
    <w:p w14:paraId="683093CA">
      <w:pPr>
        <w:keepNext w:val="0"/>
        <w:keepLines w:val="0"/>
        <w:pageBreakBefore w:val="0"/>
        <w:kinsoku/>
        <w:wordWrap/>
        <w:overflowPunct/>
        <w:topLinePunct w:val="0"/>
        <w:autoSpaceDE/>
        <w:autoSpaceDN/>
        <w:bidi w:val="0"/>
        <w:adjustRightInd/>
        <w:snapToGrid/>
        <w:spacing w:line="360" w:lineRule="auto"/>
        <w:ind w:firstLine="480"/>
        <w:textAlignment w:val="auto"/>
        <w:rPr>
          <w:rFonts w:ascii="Times New Roman" w:hAnsi="Times New Roman" w:cs="宋体"/>
          <w:sz w:val="24"/>
          <w:szCs w:val="24"/>
        </w:rPr>
      </w:pPr>
      <w:r>
        <w:rPr>
          <w:rFonts w:hint="eastAsia" w:ascii="Times New Roman" w:hAnsi="Times New Roman" w:cs="宋体"/>
          <w:sz w:val="24"/>
          <w:szCs w:val="24"/>
        </w:rPr>
        <w:t>3、本次项目磋商的技术和商务报价评审总分值为100分。两部分评审因素比重如下：</w:t>
      </w:r>
    </w:p>
    <w:p w14:paraId="12B521EA">
      <w:pPr>
        <w:keepNext w:val="0"/>
        <w:keepLines w:val="0"/>
        <w:pageBreakBefore w:val="0"/>
        <w:kinsoku/>
        <w:wordWrap/>
        <w:overflowPunct/>
        <w:topLinePunct w:val="0"/>
        <w:autoSpaceDE/>
        <w:autoSpaceDN/>
        <w:bidi w:val="0"/>
        <w:adjustRightInd/>
        <w:snapToGrid/>
        <w:spacing w:line="360" w:lineRule="auto"/>
        <w:ind w:firstLine="480"/>
        <w:textAlignment w:val="auto"/>
        <w:rPr>
          <w:rFonts w:ascii="Times New Roman" w:hAnsi="Times New Roman" w:cs="宋体"/>
          <w:sz w:val="24"/>
          <w:szCs w:val="24"/>
        </w:rPr>
      </w:pPr>
      <w:r>
        <w:rPr>
          <w:rFonts w:hint="eastAsia" w:ascii="Times New Roman" w:hAnsi="Times New Roman" w:cs="宋体"/>
          <w:sz w:val="24"/>
          <w:szCs w:val="24"/>
        </w:rPr>
        <w:t>商务技术分值占总分值的比重为</w:t>
      </w:r>
      <w:r>
        <w:rPr>
          <w:rFonts w:hint="eastAsia" w:ascii="Times New Roman" w:hAnsi="Times New Roman" w:cs="宋体"/>
          <w:b/>
          <w:sz w:val="24"/>
          <w:szCs w:val="24"/>
          <w:u w:val="single"/>
          <w:lang w:val="en-US" w:eastAsia="zh-CN"/>
        </w:rPr>
        <w:t>9</w:t>
      </w:r>
      <w:r>
        <w:rPr>
          <w:rFonts w:hint="eastAsia" w:ascii="Times New Roman" w:hAnsi="Times New Roman" w:cs="宋体"/>
          <w:b/>
          <w:sz w:val="24"/>
          <w:szCs w:val="24"/>
          <w:u w:val="single"/>
        </w:rPr>
        <w:t>0%（权重）</w:t>
      </w:r>
      <w:r>
        <w:rPr>
          <w:rFonts w:hint="eastAsia" w:ascii="Times New Roman" w:hAnsi="Times New Roman" w:cs="宋体"/>
          <w:sz w:val="24"/>
          <w:szCs w:val="24"/>
        </w:rPr>
        <w:t>（四舍五入保留两位小数）；</w:t>
      </w:r>
    </w:p>
    <w:p w14:paraId="3B7FE029">
      <w:pPr>
        <w:keepNext w:val="0"/>
        <w:keepLines w:val="0"/>
        <w:pageBreakBefore w:val="0"/>
        <w:kinsoku/>
        <w:wordWrap/>
        <w:overflowPunct/>
        <w:topLinePunct w:val="0"/>
        <w:autoSpaceDE/>
        <w:autoSpaceDN/>
        <w:bidi w:val="0"/>
        <w:adjustRightInd/>
        <w:snapToGrid/>
        <w:spacing w:line="360" w:lineRule="auto"/>
        <w:ind w:firstLine="480"/>
        <w:textAlignment w:val="auto"/>
        <w:rPr>
          <w:rFonts w:ascii="Times New Roman" w:hAnsi="Times New Roman" w:cs="宋体"/>
          <w:sz w:val="24"/>
          <w:szCs w:val="24"/>
        </w:rPr>
      </w:pPr>
      <w:r>
        <w:rPr>
          <w:rFonts w:hint="eastAsia" w:ascii="Times New Roman" w:hAnsi="Times New Roman" w:cs="宋体"/>
          <w:sz w:val="24"/>
          <w:szCs w:val="24"/>
        </w:rPr>
        <w:t>报价分值占总分值的比重为</w:t>
      </w:r>
      <w:r>
        <w:rPr>
          <w:rFonts w:hint="eastAsia" w:ascii="Times New Roman" w:hAnsi="Times New Roman" w:cs="宋体"/>
          <w:b/>
          <w:sz w:val="24"/>
          <w:szCs w:val="24"/>
          <w:u w:val="single"/>
          <w:lang w:val="en-US" w:eastAsia="zh-CN"/>
        </w:rPr>
        <w:t>1</w:t>
      </w:r>
      <w:r>
        <w:rPr>
          <w:rFonts w:hint="eastAsia" w:ascii="Times New Roman" w:hAnsi="Times New Roman" w:cs="宋体"/>
          <w:b/>
          <w:sz w:val="24"/>
          <w:szCs w:val="24"/>
          <w:u w:val="single"/>
        </w:rPr>
        <w:t>0%（权重）</w:t>
      </w:r>
      <w:r>
        <w:rPr>
          <w:rFonts w:hint="eastAsia" w:ascii="Times New Roman" w:hAnsi="Times New Roman" w:cs="宋体"/>
          <w:sz w:val="24"/>
          <w:szCs w:val="24"/>
        </w:rPr>
        <w:t>（四舍五入保留两位小数）。</w:t>
      </w:r>
    </w:p>
    <w:p w14:paraId="6971C330">
      <w:pPr>
        <w:keepNext w:val="0"/>
        <w:keepLines w:val="0"/>
        <w:pageBreakBefore w:val="0"/>
        <w:kinsoku/>
        <w:wordWrap/>
        <w:overflowPunct/>
        <w:topLinePunct w:val="0"/>
        <w:autoSpaceDE/>
        <w:autoSpaceDN/>
        <w:bidi w:val="0"/>
        <w:adjustRightInd/>
        <w:snapToGrid/>
        <w:spacing w:line="360" w:lineRule="auto"/>
        <w:ind w:firstLine="480"/>
        <w:textAlignment w:val="auto"/>
        <w:rPr>
          <w:rFonts w:ascii="Times New Roman" w:hAnsi="Times New Roman" w:cs="宋体"/>
          <w:sz w:val="24"/>
          <w:szCs w:val="24"/>
        </w:rPr>
      </w:pPr>
      <w:r>
        <w:rPr>
          <w:rFonts w:hint="eastAsia" w:ascii="Times New Roman" w:hAnsi="Times New Roman" w:cs="宋体"/>
          <w:sz w:val="24"/>
          <w:szCs w:val="24"/>
        </w:rPr>
        <w:t>4、技术分按算术平均值计算，分值四舍五入保留两位小数。</w:t>
      </w:r>
    </w:p>
    <w:p w14:paraId="4F570EF1">
      <w:pPr>
        <w:keepNext w:val="0"/>
        <w:keepLines w:val="0"/>
        <w:pageBreakBefore w:val="0"/>
        <w:kinsoku/>
        <w:wordWrap/>
        <w:overflowPunct/>
        <w:topLinePunct w:val="0"/>
        <w:autoSpaceDE/>
        <w:autoSpaceDN/>
        <w:bidi w:val="0"/>
        <w:adjustRightInd/>
        <w:snapToGrid/>
        <w:spacing w:line="360" w:lineRule="auto"/>
        <w:ind w:firstLine="480"/>
        <w:textAlignment w:val="auto"/>
        <w:rPr>
          <w:rFonts w:ascii="Times New Roman" w:hAnsi="Times New Roman" w:cs="宋体"/>
          <w:sz w:val="24"/>
          <w:szCs w:val="24"/>
        </w:rPr>
      </w:pPr>
      <w:r>
        <w:rPr>
          <w:rFonts w:hint="eastAsia" w:ascii="Times New Roman" w:hAnsi="Times New Roman" w:cs="宋体"/>
          <w:sz w:val="24"/>
          <w:szCs w:val="24"/>
        </w:rPr>
        <w:t>5、报价分统一采用低价优先法计算直接取得，与技术分相加为供应商的综合得分（四舍五入保留两位小数）。</w:t>
      </w:r>
    </w:p>
    <w:p w14:paraId="02F6C7E1">
      <w:pPr>
        <w:keepNext w:val="0"/>
        <w:keepLines w:val="0"/>
        <w:pageBreakBefore w:val="0"/>
        <w:kinsoku/>
        <w:wordWrap/>
        <w:overflowPunct/>
        <w:topLinePunct w:val="0"/>
        <w:autoSpaceDE/>
        <w:autoSpaceDN/>
        <w:bidi w:val="0"/>
        <w:adjustRightInd/>
        <w:snapToGrid/>
        <w:spacing w:line="360" w:lineRule="auto"/>
        <w:ind w:firstLine="480"/>
        <w:textAlignment w:val="auto"/>
        <w:rPr>
          <w:rFonts w:ascii="Times New Roman" w:hAnsi="Times New Roman"/>
          <w:b/>
          <w:sz w:val="24"/>
          <w:szCs w:val="24"/>
        </w:rPr>
      </w:pPr>
      <w:r>
        <w:rPr>
          <w:rFonts w:hint="eastAsia" w:ascii="Times New Roman" w:hAnsi="Times New Roman" w:cs="宋体"/>
          <w:sz w:val="24"/>
          <w:szCs w:val="24"/>
        </w:rPr>
        <w:t>6、磋商小组应当根据综合评分情况，按照评审得分由高到低顺序推荐3名以上成交候选供应商，</w:t>
      </w:r>
      <w:r>
        <w:rPr>
          <w:rFonts w:hint="eastAsia" w:ascii="Times New Roman" w:hAnsi="Times New Roman"/>
          <w:sz w:val="24"/>
          <w:szCs w:val="24"/>
        </w:rPr>
        <w:t>并编写评审报告。</w:t>
      </w:r>
      <w:r>
        <w:rPr>
          <w:rFonts w:hint="eastAsia" w:ascii="Times New Roman" w:hAnsi="Times New Roman"/>
          <w:b/>
          <w:sz w:val="24"/>
          <w:szCs w:val="24"/>
        </w:rPr>
        <w:t>采购人委托磋商小组直接确定成交供应商。</w:t>
      </w:r>
    </w:p>
    <w:p w14:paraId="012D6D83">
      <w:pPr>
        <w:keepNext w:val="0"/>
        <w:keepLines w:val="0"/>
        <w:pageBreakBefore w:val="0"/>
        <w:kinsoku/>
        <w:wordWrap/>
        <w:overflowPunct/>
        <w:topLinePunct w:val="0"/>
        <w:autoSpaceDE/>
        <w:autoSpaceDN/>
        <w:bidi w:val="0"/>
        <w:adjustRightInd/>
        <w:snapToGrid/>
        <w:spacing w:line="360" w:lineRule="auto"/>
        <w:ind w:firstLine="480"/>
        <w:textAlignment w:val="auto"/>
        <w:rPr>
          <w:rFonts w:ascii="Times New Roman" w:hAnsi="Times New Roman" w:cs="宋体"/>
          <w:sz w:val="24"/>
          <w:szCs w:val="24"/>
        </w:rPr>
      </w:pPr>
      <w:r>
        <w:rPr>
          <w:rFonts w:hint="eastAsia" w:ascii="Times New Roman" w:hAnsi="Times New Roman" w:cs="宋体"/>
          <w:sz w:val="24"/>
          <w:szCs w:val="24"/>
        </w:rPr>
        <w:t>7、推荐成交候选人的特殊情况处理：</w:t>
      </w:r>
    </w:p>
    <w:p w14:paraId="0A47CC2D">
      <w:pPr>
        <w:keepNext w:val="0"/>
        <w:keepLines w:val="0"/>
        <w:pageBreakBefore w:val="0"/>
        <w:kinsoku/>
        <w:wordWrap/>
        <w:overflowPunct/>
        <w:topLinePunct w:val="0"/>
        <w:autoSpaceDE/>
        <w:autoSpaceDN/>
        <w:bidi w:val="0"/>
        <w:adjustRightInd/>
        <w:snapToGrid/>
        <w:spacing w:line="360" w:lineRule="auto"/>
        <w:ind w:firstLine="480"/>
        <w:textAlignment w:val="auto"/>
        <w:rPr>
          <w:rFonts w:ascii="Times New Roman" w:hAnsi="Times New Roman" w:cs="宋体"/>
          <w:sz w:val="24"/>
          <w:szCs w:val="24"/>
        </w:rPr>
      </w:pPr>
      <w:r>
        <w:rPr>
          <w:rFonts w:hint="eastAsia" w:ascii="Times New Roman" w:hAnsi="Times New Roman" w:cs="宋体"/>
          <w:sz w:val="24"/>
          <w:szCs w:val="24"/>
        </w:rPr>
        <w:t>（1）评审得分相同时，按照最后报价由低到高的顺序推荐。</w:t>
      </w:r>
    </w:p>
    <w:p w14:paraId="3A40DBB8">
      <w:pPr>
        <w:keepNext w:val="0"/>
        <w:keepLines w:val="0"/>
        <w:pageBreakBefore w:val="0"/>
        <w:kinsoku/>
        <w:wordWrap/>
        <w:overflowPunct/>
        <w:topLinePunct w:val="0"/>
        <w:autoSpaceDE/>
        <w:autoSpaceDN/>
        <w:bidi w:val="0"/>
        <w:adjustRightInd/>
        <w:snapToGrid/>
        <w:spacing w:line="360" w:lineRule="auto"/>
        <w:ind w:firstLine="480"/>
        <w:textAlignment w:val="auto"/>
        <w:rPr>
          <w:rFonts w:ascii="Times New Roman" w:hAnsi="Times New Roman" w:cs="宋体"/>
          <w:sz w:val="24"/>
          <w:szCs w:val="24"/>
        </w:rPr>
      </w:pPr>
      <w:r>
        <w:rPr>
          <w:rFonts w:hint="eastAsia" w:ascii="Times New Roman" w:hAnsi="Times New Roman" w:cs="宋体"/>
          <w:sz w:val="24"/>
          <w:szCs w:val="24"/>
        </w:rPr>
        <w:t>（2）评审得分且最后报价相同的，按照技术指标优劣顺序推荐。</w:t>
      </w:r>
    </w:p>
    <w:p w14:paraId="1798933A">
      <w:pPr>
        <w:keepNext w:val="0"/>
        <w:keepLines w:val="0"/>
        <w:pageBreakBefore w:val="0"/>
        <w:kinsoku/>
        <w:wordWrap/>
        <w:overflowPunct/>
        <w:topLinePunct w:val="0"/>
        <w:autoSpaceDE/>
        <w:autoSpaceDN/>
        <w:bidi w:val="0"/>
        <w:adjustRightInd/>
        <w:snapToGrid/>
        <w:spacing w:line="360" w:lineRule="auto"/>
        <w:ind w:firstLine="480"/>
        <w:textAlignment w:val="auto"/>
        <w:rPr>
          <w:rFonts w:ascii="Times New Roman" w:hAnsi="Times New Roman" w:cs="宋体"/>
          <w:sz w:val="24"/>
          <w:szCs w:val="24"/>
        </w:rPr>
      </w:pPr>
      <w:r>
        <w:rPr>
          <w:rFonts w:hint="eastAsia" w:ascii="Times New Roman" w:hAnsi="Times New Roman" w:cs="宋体"/>
          <w:sz w:val="24"/>
          <w:szCs w:val="24"/>
        </w:rPr>
        <w:t>8、磋商评审时，评委对评审的细则若有争议，由磋商小组集体讨论确定，并对未尽情况有最终解释权。</w:t>
      </w:r>
    </w:p>
    <w:p w14:paraId="0A6AB0C6">
      <w:pPr>
        <w:pStyle w:val="5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jc w:val="both"/>
        <w:textAlignment w:val="auto"/>
        <w:rPr>
          <w:rFonts w:ascii="Times New Roman" w:hAnsi="Times New Roman" w:cs="宋体"/>
          <w:b/>
          <w:bCs/>
          <w:szCs w:val="24"/>
          <w:shd w:val="clear" w:color="auto" w:fill="FFFFFF"/>
          <w:lang w:eastAsia="zh-CN"/>
        </w:rPr>
      </w:pPr>
      <w:r>
        <w:rPr>
          <w:rFonts w:hint="eastAsia" w:ascii="Times New Roman" w:hAnsi="Times New Roman" w:cs="宋体"/>
          <w:b/>
          <w:bCs/>
          <w:szCs w:val="24"/>
          <w:shd w:val="clear" w:color="auto" w:fill="FFFFFF"/>
          <w:lang w:eastAsia="zh-CN"/>
        </w:rPr>
        <w:t>四、综合评分评审标准</w:t>
      </w:r>
    </w:p>
    <w:p w14:paraId="73F04BEE">
      <w:pPr>
        <w:pStyle w:val="5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jc w:val="both"/>
        <w:textAlignment w:val="auto"/>
        <w:rPr>
          <w:rFonts w:ascii="Times New Roman" w:hAnsi="Times New Roman" w:cs="宋体"/>
          <w:b/>
          <w:bCs/>
          <w:szCs w:val="24"/>
          <w:shd w:val="clear" w:color="auto" w:fill="FFFFFF"/>
          <w:lang w:eastAsia="zh-CN"/>
        </w:rPr>
      </w:pPr>
      <w:r>
        <w:rPr>
          <w:rFonts w:hint="eastAsia" w:ascii="Times New Roman" w:hAnsi="Times New Roman" w:cs="宋体"/>
          <w:b/>
          <w:bCs/>
          <w:szCs w:val="24"/>
          <w:shd w:val="clear" w:color="auto" w:fill="FFFFFF"/>
          <w:lang w:eastAsia="zh-CN"/>
        </w:rPr>
        <w:t>（一）商务技术分：（</w:t>
      </w:r>
      <w:r>
        <w:rPr>
          <w:rFonts w:hint="eastAsia" w:ascii="Times New Roman" w:hAnsi="Times New Roman" w:cs="宋体"/>
          <w:b/>
          <w:bCs/>
          <w:szCs w:val="24"/>
          <w:shd w:val="clear" w:color="auto" w:fill="FFFFFF"/>
          <w:lang w:val="en-US" w:eastAsia="zh-CN"/>
        </w:rPr>
        <w:t>9</w:t>
      </w:r>
      <w:r>
        <w:rPr>
          <w:rFonts w:hint="eastAsia" w:ascii="Times New Roman" w:hAnsi="Times New Roman" w:cs="宋体"/>
          <w:b/>
          <w:bCs/>
          <w:szCs w:val="24"/>
          <w:shd w:val="clear" w:color="auto" w:fill="FFFFFF"/>
          <w:lang w:eastAsia="zh-CN"/>
        </w:rPr>
        <w:t>0分）</w:t>
      </w:r>
    </w:p>
    <w:p w14:paraId="1F0B9EE4">
      <w:pPr>
        <w:pStyle w:val="52"/>
        <w:widowControl/>
        <w:shd w:val="clear" w:color="auto" w:fill="FFFFFF"/>
        <w:spacing w:before="0" w:beforeAutospacing="0" w:after="0" w:afterAutospacing="0" w:line="360" w:lineRule="auto"/>
        <w:ind w:firstLine="482"/>
        <w:jc w:val="both"/>
        <w:rPr>
          <w:rFonts w:ascii="Times New Roman" w:hAnsi="Times New Roman" w:cs="宋体"/>
          <w:b/>
          <w:bCs/>
          <w:szCs w:val="24"/>
          <w:shd w:val="clear" w:color="auto" w:fill="FFFFFF"/>
          <w:lang w:eastAsia="zh-CN"/>
        </w:rPr>
      </w:pPr>
    </w:p>
    <w:tbl>
      <w:tblPr>
        <w:tblStyle w:val="56"/>
        <w:tblpPr w:leftFromText="180" w:rightFromText="180" w:vertAnchor="text" w:horzAnchor="page" w:tblpXSpec="center" w:tblpY="413"/>
        <w:tblOverlap w:val="never"/>
        <w:tblW w:w="10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028"/>
        <w:gridCol w:w="743"/>
        <w:gridCol w:w="900"/>
        <w:gridCol w:w="2145"/>
        <w:gridCol w:w="3430"/>
        <w:gridCol w:w="2153"/>
      </w:tblGrid>
      <w:tr w14:paraId="358E3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98" w:type="dxa"/>
            <w:noWrap w:val="0"/>
            <w:vAlign w:val="center"/>
          </w:tcPr>
          <w:p w14:paraId="003C9AF1">
            <w:pPr>
              <w:widowControl/>
              <w:adjustRightInd w:val="0"/>
              <w:snapToGrid w:val="0"/>
              <w:spacing w:line="324" w:lineRule="auto"/>
              <w:jc w:val="center"/>
              <w:rPr>
                <w:rFonts w:hint="eastAsia" w:ascii="宋体" w:hAnsi="宋体" w:eastAsia="宋体" w:cs="宋体"/>
                <w:bCs/>
                <w:sz w:val="21"/>
                <w:szCs w:val="21"/>
              </w:rPr>
            </w:pPr>
            <w:r>
              <w:rPr>
                <w:rFonts w:hint="eastAsia" w:ascii="宋体" w:hAnsi="宋体" w:eastAsia="宋体" w:cs="宋体"/>
                <w:bCs/>
                <w:sz w:val="21"/>
                <w:szCs w:val="21"/>
              </w:rPr>
              <w:t>序号</w:t>
            </w:r>
          </w:p>
        </w:tc>
        <w:tc>
          <w:tcPr>
            <w:tcW w:w="1028" w:type="dxa"/>
            <w:noWrap w:val="0"/>
            <w:vAlign w:val="center"/>
          </w:tcPr>
          <w:p w14:paraId="23EA5C8C">
            <w:pPr>
              <w:widowControl/>
              <w:adjustRightInd w:val="0"/>
              <w:snapToGrid w:val="0"/>
              <w:spacing w:line="324" w:lineRule="auto"/>
              <w:jc w:val="center"/>
              <w:rPr>
                <w:rFonts w:hint="eastAsia" w:ascii="宋体" w:hAnsi="宋体" w:eastAsia="宋体" w:cs="宋体"/>
                <w:bCs/>
                <w:sz w:val="21"/>
                <w:szCs w:val="21"/>
              </w:rPr>
            </w:pPr>
            <w:r>
              <w:rPr>
                <w:rFonts w:hint="eastAsia" w:ascii="宋体" w:hAnsi="宋体" w:eastAsia="宋体" w:cs="宋体"/>
                <w:bCs/>
                <w:sz w:val="21"/>
                <w:szCs w:val="21"/>
              </w:rPr>
              <w:t>评分项目</w:t>
            </w:r>
          </w:p>
        </w:tc>
        <w:tc>
          <w:tcPr>
            <w:tcW w:w="743" w:type="dxa"/>
            <w:noWrap w:val="0"/>
            <w:vAlign w:val="center"/>
          </w:tcPr>
          <w:p w14:paraId="09487BDE">
            <w:pPr>
              <w:widowControl/>
              <w:adjustRightInd w:val="0"/>
              <w:snapToGrid w:val="0"/>
              <w:spacing w:line="324" w:lineRule="auto"/>
              <w:jc w:val="center"/>
              <w:rPr>
                <w:rFonts w:hint="eastAsia" w:ascii="宋体" w:hAnsi="宋体" w:eastAsia="宋体" w:cs="宋体"/>
                <w:bCs/>
                <w:sz w:val="21"/>
                <w:szCs w:val="21"/>
              </w:rPr>
            </w:pPr>
            <w:r>
              <w:rPr>
                <w:rFonts w:hint="eastAsia" w:ascii="宋体" w:hAnsi="宋体" w:eastAsia="宋体" w:cs="宋体"/>
                <w:bCs/>
                <w:sz w:val="21"/>
                <w:szCs w:val="21"/>
              </w:rPr>
              <w:t>项目分值</w:t>
            </w:r>
          </w:p>
        </w:tc>
        <w:tc>
          <w:tcPr>
            <w:tcW w:w="900" w:type="dxa"/>
            <w:noWrap w:val="0"/>
            <w:vAlign w:val="center"/>
          </w:tcPr>
          <w:p w14:paraId="6A030C78">
            <w:pPr>
              <w:widowControl/>
              <w:adjustRightInd w:val="0"/>
              <w:snapToGrid w:val="0"/>
              <w:spacing w:line="324" w:lineRule="auto"/>
              <w:jc w:val="center"/>
              <w:rPr>
                <w:rFonts w:hint="eastAsia" w:ascii="宋体" w:hAnsi="宋体" w:eastAsia="宋体" w:cs="宋体"/>
                <w:bCs/>
                <w:sz w:val="21"/>
                <w:szCs w:val="21"/>
              </w:rPr>
            </w:pPr>
            <w:r>
              <w:rPr>
                <w:rFonts w:hint="eastAsia" w:ascii="宋体" w:hAnsi="宋体" w:eastAsia="宋体" w:cs="宋体"/>
                <w:bCs/>
                <w:sz w:val="21"/>
                <w:szCs w:val="21"/>
              </w:rPr>
              <w:t>细分值</w:t>
            </w:r>
          </w:p>
        </w:tc>
        <w:tc>
          <w:tcPr>
            <w:tcW w:w="2145" w:type="dxa"/>
            <w:noWrap w:val="0"/>
            <w:vAlign w:val="center"/>
          </w:tcPr>
          <w:p w14:paraId="34706F37">
            <w:pPr>
              <w:widowControl/>
              <w:adjustRightInd w:val="0"/>
              <w:snapToGrid w:val="0"/>
              <w:spacing w:line="324" w:lineRule="auto"/>
              <w:jc w:val="center"/>
              <w:rPr>
                <w:rFonts w:hint="eastAsia" w:ascii="宋体" w:hAnsi="宋体" w:eastAsia="宋体" w:cs="宋体"/>
                <w:bCs/>
                <w:sz w:val="21"/>
                <w:szCs w:val="21"/>
              </w:rPr>
            </w:pPr>
            <w:r>
              <w:rPr>
                <w:rFonts w:hint="eastAsia" w:ascii="宋体" w:hAnsi="宋体" w:eastAsia="宋体" w:cs="宋体"/>
                <w:bCs/>
                <w:sz w:val="21"/>
                <w:szCs w:val="21"/>
              </w:rPr>
              <w:t>评分内容</w:t>
            </w:r>
          </w:p>
        </w:tc>
        <w:tc>
          <w:tcPr>
            <w:tcW w:w="3430" w:type="dxa"/>
            <w:noWrap w:val="0"/>
            <w:vAlign w:val="center"/>
          </w:tcPr>
          <w:p w14:paraId="18E1ECBD">
            <w:pPr>
              <w:widowControl/>
              <w:adjustRightInd w:val="0"/>
              <w:snapToGrid w:val="0"/>
              <w:spacing w:line="324" w:lineRule="auto"/>
              <w:jc w:val="center"/>
              <w:rPr>
                <w:rFonts w:hint="eastAsia" w:ascii="宋体" w:hAnsi="宋体" w:eastAsia="宋体" w:cs="宋体"/>
                <w:bCs/>
                <w:sz w:val="21"/>
                <w:szCs w:val="21"/>
              </w:rPr>
            </w:pPr>
            <w:r>
              <w:rPr>
                <w:rFonts w:hint="eastAsia" w:ascii="宋体" w:hAnsi="宋体" w:eastAsia="宋体" w:cs="宋体"/>
                <w:bCs/>
                <w:sz w:val="21"/>
                <w:szCs w:val="21"/>
              </w:rPr>
              <w:t>评分要求或标准</w:t>
            </w:r>
          </w:p>
        </w:tc>
        <w:tc>
          <w:tcPr>
            <w:tcW w:w="2153" w:type="dxa"/>
            <w:noWrap w:val="0"/>
            <w:vAlign w:val="center"/>
          </w:tcPr>
          <w:p w14:paraId="18BB4D3F">
            <w:pPr>
              <w:widowControl/>
              <w:adjustRightInd w:val="0"/>
              <w:snapToGrid w:val="0"/>
              <w:spacing w:line="324" w:lineRule="auto"/>
              <w:jc w:val="center"/>
              <w:rPr>
                <w:rFonts w:hint="eastAsia" w:ascii="宋体" w:hAnsi="宋体" w:eastAsia="宋体" w:cs="宋体"/>
                <w:bCs/>
                <w:sz w:val="21"/>
                <w:szCs w:val="21"/>
              </w:rPr>
            </w:pPr>
            <w:r>
              <w:rPr>
                <w:rFonts w:hint="eastAsia" w:ascii="宋体" w:hAnsi="宋体" w:eastAsia="宋体" w:cs="宋体"/>
                <w:bCs/>
                <w:sz w:val="21"/>
                <w:szCs w:val="21"/>
              </w:rPr>
              <w:t>备 注</w:t>
            </w:r>
          </w:p>
        </w:tc>
      </w:tr>
      <w:tr w14:paraId="4E13C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498" w:type="dxa"/>
            <w:vMerge w:val="restart"/>
            <w:noWrap w:val="0"/>
            <w:vAlign w:val="center"/>
          </w:tcPr>
          <w:p w14:paraId="0EC15601">
            <w:pPr>
              <w:widowControl/>
              <w:adjustRightInd w:val="0"/>
              <w:snapToGrid w:val="0"/>
              <w:spacing w:line="324"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028" w:type="dxa"/>
            <w:vMerge w:val="restart"/>
            <w:noWrap w:val="0"/>
            <w:vAlign w:val="center"/>
          </w:tcPr>
          <w:p w14:paraId="6DC4E853">
            <w:pPr>
              <w:widowControl/>
              <w:adjustRightInd w:val="0"/>
              <w:snapToGrid w:val="0"/>
              <w:spacing w:line="324"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综合 实力 与  商誉</w:t>
            </w:r>
          </w:p>
        </w:tc>
        <w:tc>
          <w:tcPr>
            <w:tcW w:w="743" w:type="dxa"/>
            <w:vMerge w:val="restart"/>
            <w:noWrap w:val="0"/>
            <w:vAlign w:val="center"/>
          </w:tcPr>
          <w:p w14:paraId="52BBB8F4">
            <w:pPr>
              <w:widowControl/>
              <w:adjustRightInd w:val="0"/>
              <w:snapToGrid w:val="0"/>
              <w:spacing w:line="324"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28</w:t>
            </w:r>
          </w:p>
        </w:tc>
        <w:tc>
          <w:tcPr>
            <w:tcW w:w="900" w:type="dxa"/>
            <w:noWrap w:val="0"/>
            <w:vAlign w:val="center"/>
          </w:tcPr>
          <w:p w14:paraId="1ADED959">
            <w:pPr>
              <w:widowControl/>
              <w:adjustRightInd w:val="0"/>
              <w:snapToGrid w:val="0"/>
              <w:spacing w:line="324"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2145" w:type="dxa"/>
            <w:noWrap w:val="0"/>
            <w:vAlign w:val="center"/>
          </w:tcPr>
          <w:p w14:paraId="7C9DE00A">
            <w:pPr>
              <w:keepNext w:val="0"/>
              <w:keepLines w:val="0"/>
              <w:pageBreakBefore w:val="0"/>
              <w:kinsoku/>
              <w:wordWrap/>
              <w:overflowPunct/>
              <w:topLinePunct w:val="0"/>
              <w:autoSpaceDE/>
              <w:autoSpaceDN/>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总公司202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第四季</w:t>
            </w:r>
            <w:r>
              <w:rPr>
                <w:rFonts w:hint="eastAsia" w:ascii="宋体" w:hAnsi="宋体" w:eastAsia="宋体" w:cs="宋体"/>
                <w:color w:val="auto"/>
                <w:sz w:val="21"/>
                <w:szCs w:val="21"/>
                <w:highlight w:val="none"/>
              </w:rPr>
              <w:t>度综合偿付能力充足率。</w:t>
            </w:r>
          </w:p>
        </w:tc>
        <w:tc>
          <w:tcPr>
            <w:tcW w:w="3430" w:type="dxa"/>
            <w:noWrap w:val="0"/>
            <w:vAlign w:val="center"/>
          </w:tcPr>
          <w:p w14:paraId="4658C1F1">
            <w:pPr>
              <w:keepNext w:val="0"/>
              <w:keepLines w:val="0"/>
              <w:pageBreakBefore w:val="0"/>
              <w:widowControl/>
              <w:numPr>
                <w:ilvl w:val="0"/>
                <w:numId w:val="0"/>
              </w:numPr>
              <w:kinsoku/>
              <w:wordWrap/>
              <w:overflowPunct/>
              <w:topLinePunct w:val="0"/>
              <w:autoSpaceDE/>
              <w:autoSpaceDN/>
              <w:bidi w:val="0"/>
              <w:adjustRightInd w:val="0"/>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高于</w:t>
            </w:r>
            <w:r>
              <w:rPr>
                <w:rFonts w:hint="eastAsia" w:ascii="宋体" w:hAnsi="宋体" w:eastAsia="宋体" w:cs="宋体"/>
                <w:color w:val="auto"/>
                <w:sz w:val="21"/>
                <w:szCs w:val="21"/>
                <w:highlight w:val="none"/>
              </w:rPr>
              <w:t>200%（</w:t>
            </w:r>
            <w:r>
              <w:rPr>
                <w:rFonts w:hint="eastAsia" w:ascii="宋体" w:hAnsi="宋体" w:eastAsia="宋体" w:cs="宋体"/>
                <w:color w:val="auto"/>
                <w:sz w:val="21"/>
                <w:szCs w:val="21"/>
                <w:highlight w:val="none"/>
                <w:lang w:val="en-US" w:eastAsia="zh-CN"/>
              </w:rPr>
              <w:t>含</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得10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0%（含）-200%的得</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分；1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0%-1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0%（含）的得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0%（含）-1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0%的得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分；低于1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0%的不得分。</w:t>
            </w:r>
          </w:p>
        </w:tc>
        <w:tc>
          <w:tcPr>
            <w:tcW w:w="2153" w:type="dxa"/>
            <w:noWrap w:val="0"/>
            <w:vAlign w:val="center"/>
          </w:tcPr>
          <w:p w14:paraId="0E5D9D1A">
            <w:pPr>
              <w:keepNext w:val="0"/>
              <w:keepLines w:val="0"/>
              <w:pageBreakBefore w:val="0"/>
              <w:widowControl/>
              <w:kinsoku/>
              <w:wordWrap/>
              <w:overflowPunct/>
              <w:topLinePunct w:val="0"/>
              <w:autoSpaceDE/>
              <w:autoSpaceDN/>
              <w:bidi w:val="0"/>
              <w:adjustRightInd w:val="0"/>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提供中国保险行业协会官网截图并加盖公章。（提供相关材料</w:t>
            </w:r>
            <w:r>
              <w:rPr>
                <w:rFonts w:hint="eastAsia" w:ascii="宋体" w:hAnsi="宋体" w:cs="宋体"/>
                <w:color w:val="auto"/>
                <w:sz w:val="21"/>
                <w:szCs w:val="21"/>
                <w:highlight w:val="none"/>
                <w:lang w:val="en-US" w:eastAsia="zh-CN"/>
              </w:rPr>
              <w:t>复印件</w:t>
            </w:r>
            <w:r>
              <w:rPr>
                <w:rFonts w:hint="eastAsia" w:ascii="宋体" w:hAnsi="宋体" w:eastAsia="宋体" w:cs="宋体"/>
                <w:color w:val="auto"/>
                <w:sz w:val="21"/>
                <w:szCs w:val="21"/>
                <w:highlight w:val="none"/>
              </w:rPr>
              <w:t>并加盖公章）</w:t>
            </w:r>
          </w:p>
        </w:tc>
      </w:tr>
      <w:tr w14:paraId="2A3FE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498" w:type="dxa"/>
            <w:vMerge w:val="continue"/>
            <w:noWrap w:val="0"/>
            <w:vAlign w:val="center"/>
          </w:tcPr>
          <w:p w14:paraId="24DBCCF1">
            <w:pPr>
              <w:widowControl/>
              <w:adjustRightInd w:val="0"/>
              <w:snapToGrid w:val="0"/>
              <w:spacing w:line="324" w:lineRule="auto"/>
              <w:jc w:val="center"/>
              <w:rPr>
                <w:rFonts w:hint="eastAsia" w:ascii="宋体" w:hAnsi="宋体" w:eastAsia="宋体" w:cs="宋体"/>
                <w:sz w:val="21"/>
                <w:szCs w:val="21"/>
              </w:rPr>
            </w:pPr>
          </w:p>
        </w:tc>
        <w:tc>
          <w:tcPr>
            <w:tcW w:w="1028" w:type="dxa"/>
            <w:vMerge w:val="continue"/>
            <w:noWrap w:val="0"/>
            <w:vAlign w:val="center"/>
          </w:tcPr>
          <w:p w14:paraId="1C28639F">
            <w:pPr>
              <w:widowControl/>
              <w:adjustRightInd w:val="0"/>
              <w:snapToGrid w:val="0"/>
              <w:spacing w:line="324" w:lineRule="auto"/>
              <w:jc w:val="center"/>
              <w:rPr>
                <w:rFonts w:hint="eastAsia" w:ascii="宋体" w:hAnsi="宋体" w:eastAsia="宋体" w:cs="宋体"/>
                <w:sz w:val="21"/>
                <w:szCs w:val="21"/>
              </w:rPr>
            </w:pPr>
          </w:p>
        </w:tc>
        <w:tc>
          <w:tcPr>
            <w:tcW w:w="743" w:type="dxa"/>
            <w:vMerge w:val="continue"/>
            <w:noWrap w:val="0"/>
            <w:vAlign w:val="center"/>
          </w:tcPr>
          <w:p w14:paraId="76D5A35E">
            <w:pPr>
              <w:widowControl/>
              <w:adjustRightInd w:val="0"/>
              <w:snapToGrid w:val="0"/>
              <w:spacing w:line="324" w:lineRule="auto"/>
              <w:jc w:val="center"/>
              <w:rPr>
                <w:rFonts w:hint="eastAsia" w:ascii="宋体" w:hAnsi="宋体" w:eastAsia="宋体" w:cs="宋体"/>
                <w:color w:val="auto"/>
                <w:sz w:val="21"/>
                <w:szCs w:val="21"/>
                <w:highlight w:val="none"/>
              </w:rPr>
            </w:pPr>
          </w:p>
        </w:tc>
        <w:tc>
          <w:tcPr>
            <w:tcW w:w="900" w:type="dxa"/>
            <w:noWrap w:val="0"/>
            <w:vAlign w:val="center"/>
          </w:tcPr>
          <w:p w14:paraId="5E894DC2">
            <w:pPr>
              <w:widowControl/>
              <w:adjustRightInd w:val="0"/>
              <w:snapToGrid w:val="0"/>
              <w:spacing w:line="324"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w:t>
            </w:r>
          </w:p>
        </w:tc>
        <w:tc>
          <w:tcPr>
            <w:tcW w:w="2145" w:type="dxa"/>
            <w:noWrap w:val="0"/>
            <w:vAlign w:val="center"/>
          </w:tcPr>
          <w:p w14:paraId="649A2A7C">
            <w:pPr>
              <w:keepNext w:val="0"/>
              <w:keepLines w:val="0"/>
              <w:pageBreakBefore w:val="0"/>
              <w:kinsoku/>
              <w:wordWrap/>
              <w:overflowPunct/>
              <w:topLinePunct w:val="0"/>
              <w:autoSpaceDE/>
              <w:autoSpaceDN/>
              <w:bidi w:val="0"/>
              <w:snapToGrid/>
              <w:spacing w:line="38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总公司202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第三季度</w:t>
            </w:r>
            <w:r>
              <w:rPr>
                <w:rFonts w:hint="eastAsia" w:ascii="宋体" w:hAnsi="宋体" w:eastAsia="宋体" w:cs="宋体"/>
                <w:color w:val="auto"/>
                <w:sz w:val="21"/>
                <w:szCs w:val="21"/>
                <w:highlight w:val="none"/>
              </w:rPr>
              <w:t>偿二代风险综合评级</w:t>
            </w:r>
          </w:p>
        </w:tc>
        <w:tc>
          <w:tcPr>
            <w:tcW w:w="3430" w:type="dxa"/>
            <w:noWrap w:val="0"/>
            <w:vAlign w:val="center"/>
          </w:tcPr>
          <w:p w14:paraId="2A70B7AA">
            <w:pPr>
              <w:keepNext w:val="0"/>
              <w:keepLines w:val="0"/>
              <w:pageBreakBefore w:val="0"/>
              <w:kinsoku/>
              <w:wordWrap/>
              <w:overflowPunct/>
              <w:topLinePunct w:val="0"/>
              <w:autoSpaceDE/>
              <w:autoSpaceDN/>
              <w:bidi w:val="0"/>
              <w:adjustRightInd w:val="0"/>
              <w:snapToGrid/>
              <w:spacing w:line="38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AA</w:t>
            </w:r>
            <w:r>
              <w:rPr>
                <w:rFonts w:hint="eastAsia" w:ascii="宋体" w:hAnsi="宋体" w:eastAsia="宋体" w:cs="宋体"/>
                <w:color w:val="auto"/>
                <w:sz w:val="21"/>
                <w:szCs w:val="21"/>
                <w:highlight w:val="none"/>
              </w:rPr>
              <w:t>A的得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AA的</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分，A的</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分，BBB的得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分，BB及以下的不得</w:t>
            </w:r>
            <w:r>
              <w:rPr>
                <w:rFonts w:hint="eastAsia" w:ascii="宋体" w:hAnsi="宋体" w:eastAsia="宋体" w:cs="宋体"/>
                <w:color w:val="auto"/>
                <w:sz w:val="21"/>
                <w:szCs w:val="21"/>
                <w:highlight w:val="none"/>
              </w:rPr>
              <w:t>分。</w:t>
            </w:r>
          </w:p>
        </w:tc>
        <w:tc>
          <w:tcPr>
            <w:tcW w:w="2153" w:type="dxa"/>
            <w:noWrap w:val="0"/>
            <w:vAlign w:val="center"/>
          </w:tcPr>
          <w:p w14:paraId="726FF793">
            <w:pPr>
              <w:keepNext w:val="0"/>
              <w:keepLines w:val="0"/>
              <w:pageBreakBefore w:val="0"/>
              <w:widowControl/>
              <w:kinsoku/>
              <w:wordWrap/>
              <w:overflowPunct/>
              <w:topLinePunct w:val="0"/>
              <w:autoSpaceDE/>
              <w:autoSpaceDN/>
              <w:bidi w:val="0"/>
              <w:adjustRightInd w:val="0"/>
              <w:snapToGrid/>
              <w:spacing w:line="38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提供证明资料时同时须提供</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官方查询网址。（提供相关材料</w:t>
            </w:r>
            <w:r>
              <w:rPr>
                <w:rFonts w:hint="eastAsia" w:ascii="宋体" w:hAnsi="宋体" w:eastAsia="宋体" w:cs="宋体"/>
                <w:color w:val="auto"/>
                <w:sz w:val="21"/>
                <w:szCs w:val="21"/>
                <w:highlight w:val="none"/>
                <w:lang w:val="en-US" w:eastAsia="zh-CN"/>
              </w:rPr>
              <w:t>复印件</w:t>
            </w:r>
            <w:r>
              <w:rPr>
                <w:rFonts w:hint="eastAsia" w:ascii="宋体" w:hAnsi="宋体" w:eastAsia="宋体" w:cs="宋体"/>
                <w:color w:val="auto"/>
                <w:sz w:val="21"/>
                <w:szCs w:val="21"/>
                <w:highlight w:val="none"/>
              </w:rPr>
              <w:t>并加盖公章）</w:t>
            </w:r>
          </w:p>
        </w:tc>
      </w:tr>
      <w:tr w14:paraId="75ADA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98" w:type="dxa"/>
            <w:vMerge w:val="continue"/>
            <w:noWrap w:val="0"/>
            <w:vAlign w:val="center"/>
          </w:tcPr>
          <w:p w14:paraId="0F5541EE">
            <w:pPr>
              <w:widowControl/>
              <w:adjustRightInd w:val="0"/>
              <w:snapToGrid w:val="0"/>
              <w:spacing w:line="324" w:lineRule="auto"/>
              <w:jc w:val="center"/>
              <w:rPr>
                <w:rFonts w:hint="eastAsia" w:ascii="宋体" w:hAnsi="宋体" w:eastAsia="宋体" w:cs="宋体"/>
                <w:b/>
                <w:sz w:val="21"/>
                <w:szCs w:val="21"/>
              </w:rPr>
            </w:pPr>
          </w:p>
        </w:tc>
        <w:tc>
          <w:tcPr>
            <w:tcW w:w="1028" w:type="dxa"/>
            <w:vMerge w:val="continue"/>
            <w:noWrap w:val="0"/>
            <w:vAlign w:val="center"/>
          </w:tcPr>
          <w:p w14:paraId="7F270181">
            <w:pPr>
              <w:widowControl/>
              <w:adjustRightInd w:val="0"/>
              <w:snapToGrid w:val="0"/>
              <w:spacing w:line="324" w:lineRule="auto"/>
              <w:jc w:val="center"/>
              <w:rPr>
                <w:rFonts w:hint="eastAsia" w:ascii="宋体" w:hAnsi="宋体" w:eastAsia="宋体" w:cs="宋体"/>
                <w:b/>
                <w:sz w:val="21"/>
                <w:szCs w:val="21"/>
              </w:rPr>
            </w:pPr>
          </w:p>
        </w:tc>
        <w:tc>
          <w:tcPr>
            <w:tcW w:w="743" w:type="dxa"/>
            <w:vMerge w:val="continue"/>
            <w:noWrap w:val="0"/>
            <w:vAlign w:val="center"/>
          </w:tcPr>
          <w:p w14:paraId="7B8C1076">
            <w:pPr>
              <w:widowControl/>
              <w:adjustRightInd w:val="0"/>
              <w:snapToGrid w:val="0"/>
              <w:spacing w:line="324" w:lineRule="auto"/>
              <w:jc w:val="center"/>
              <w:rPr>
                <w:rFonts w:hint="eastAsia" w:ascii="宋体" w:hAnsi="宋体" w:eastAsia="宋体" w:cs="宋体"/>
                <w:b/>
                <w:color w:val="auto"/>
                <w:sz w:val="21"/>
                <w:szCs w:val="21"/>
                <w:highlight w:val="none"/>
              </w:rPr>
            </w:pPr>
          </w:p>
        </w:tc>
        <w:tc>
          <w:tcPr>
            <w:tcW w:w="900" w:type="dxa"/>
            <w:noWrap w:val="0"/>
            <w:vAlign w:val="center"/>
          </w:tcPr>
          <w:p w14:paraId="2D2FD87A">
            <w:pPr>
              <w:widowControl/>
              <w:adjustRightInd w:val="0"/>
              <w:snapToGrid w:val="0"/>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2145" w:type="dxa"/>
            <w:noWrap w:val="0"/>
            <w:vAlign w:val="center"/>
          </w:tcPr>
          <w:p w14:paraId="4E78CB90">
            <w:pPr>
              <w:keepNext w:val="0"/>
              <w:keepLines w:val="0"/>
              <w:pageBreakBefore w:val="0"/>
              <w:widowControl/>
              <w:kinsoku/>
              <w:wordWrap/>
              <w:overflowPunct/>
              <w:topLinePunct w:val="0"/>
              <w:autoSpaceDE/>
              <w:autoSpaceDN/>
              <w:bidi w:val="0"/>
              <w:adjustRightInd w:val="0"/>
              <w:snapToGrid/>
              <w:spacing w:line="38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项目承保、</w:t>
            </w:r>
            <w:r>
              <w:rPr>
                <w:rFonts w:hint="eastAsia" w:ascii="宋体" w:hAnsi="宋体" w:eastAsia="宋体" w:cs="宋体"/>
                <w:color w:val="auto"/>
                <w:sz w:val="21"/>
                <w:szCs w:val="21"/>
                <w:highlight w:val="none"/>
              </w:rPr>
              <w:t>合作经验</w:t>
            </w:r>
          </w:p>
        </w:tc>
        <w:tc>
          <w:tcPr>
            <w:tcW w:w="3430" w:type="dxa"/>
            <w:noWrap w:val="0"/>
            <w:vAlign w:val="center"/>
          </w:tcPr>
          <w:p w14:paraId="7385B941">
            <w:pPr>
              <w:keepNext w:val="0"/>
              <w:keepLines w:val="0"/>
              <w:pageBreakBefore w:val="0"/>
              <w:widowControl/>
              <w:kinsoku/>
              <w:wordWrap/>
              <w:overflowPunct/>
              <w:topLinePunct w:val="0"/>
              <w:autoSpaceDE/>
              <w:autoSpaceDN/>
              <w:bidi w:val="0"/>
              <w:adjustRightInd w:val="0"/>
              <w:snapToGrid/>
              <w:spacing w:line="38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w:t>
            </w:r>
            <w:r>
              <w:rPr>
                <w:rFonts w:hint="eastAsia" w:ascii="宋体" w:hAnsi="宋体" w:eastAsia="宋体" w:cs="宋体"/>
                <w:color w:val="auto"/>
                <w:sz w:val="21"/>
                <w:szCs w:val="21"/>
                <w:highlight w:val="none"/>
                <w:lang w:val="en-US" w:eastAsia="zh-CN"/>
              </w:rPr>
              <w:t>2022</w:t>
            </w:r>
            <w:r>
              <w:rPr>
                <w:rFonts w:hint="eastAsia" w:ascii="宋体" w:hAnsi="宋体" w:eastAsia="宋体" w:cs="宋体"/>
                <w:color w:val="auto"/>
                <w:sz w:val="21"/>
                <w:szCs w:val="21"/>
                <w:highlight w:val="none"/>
              </w:rPr>
              <w:t>年以来</w:t>
            </w:r>
            <w:r>
              <w:rPr>
                <w:rFonts w:hint="eastAsia" w:ascii="宋体" w:hAnsi="宋体" w:eastAsia="宋体" w:cs="宋体"/>
                <w:color w:val="auto"/>
                <w:sz w:val="21"/>
                <w:szCs w:val="21"/>
                <w:highlight w:val="none"/>
                <w:lang w:val="en-US" w:eastAsia="zh-CN"/>
              </w:rPr>
              <w:t>承保过</w:t>
            </w:r>
            <w:r>
              <w:rPr>
                <w:rFonts w:hint="eastAsia" w:ascii="宋体" w:hAnsi="宋体" w:cs="宋体"/>
                <w:color w:val="auto"/>
                <w:sz w:val="21"/>
                <w:szCs w:val="21"/>
                <w:highlight w:val="none"/>
                <w:lang w:val="en-US" w:eastAsia="zh-CN"/>
              </w:rPr>
              <w:t>单张保险合同被保险人数达1000人及以上且保单中须有①重大疾病、②意外或疾病身故、③意外或疾病住院费用补偿等三项（以上三项缺一不可）基本保险责任的</w:t>
            </w:r>
            <w:r>
              <w:rPr>
                <w:rFonts w:hint="eastAsia" w:ascii="宋体" w:hAnsi="宋体" w:eastAsia="宋体" w:cs="宋体"/>
                <w:color w:val="auto"/>
                <w:sz w:val="21"/>
                <w:szCs w:val="21"/>
                <w:highlight w:val="none"/>
                <w:lang w:val="en-US" w:eastAsia="zh-CN"/>
              </w:rPr>
              <w:t>类似项目，</w:t>
            </w:r>
            <w:r>
              <w:rPr>
                <w:rFonts w:hint="eastAsia" w:ascii="宋体" w:hAnsi="宋体" w:eastAsia="宋体" w:cs="宋体"/>
                <w:color w:val="auto"/>
                <w:sz w:val="21"/>
                <w:szCs w:val="21"/>
                <w:highlight w:val="none"/>
              </w:rPr>
              <w:t>每</w:t>
            </w:r>
            <w:r>
              <w:rPr>
                <w:rFonts w:hint="eastAsia" w:ascii="宋体" w:hAnsi="宋体" w:eastAsia="宋体" w:cs="宋体"/>
                <w:color w:val="auto"/>
                <w:sz w:val="21"/>
                <w:szCs w:val="21"/>
                <w:highlight w:val="none"/>
                <w:lang w:val="en-US" w:eastAsia="zh-CN"/>
              </w:rPr>
              <w:t>个</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最多得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2153" w:type="dxa"/>
            <w:noWrap w:val="0"/>
            <w:vAlign w:val="center"/>
          </w:tcPr>
          <w:p w14:paraId="26F8B14E">
            <w:pPr>
              <w:keepNext w:val="0"/>
              <w:keepLines w:val="0"/>
              <w:pageBreakBefore w:val="0"/>
              <w:widowControl/>
              <w:kinsoku/>
              <w:wordWrap/>
              <w:overflowPunct/>
              <w:topLinePunct w:val="0"/>
              <w:autoSpaceDE/>
              <w:autoSpaceDN/>
              <w:bidi w:val="0"/>
              <w:adjustRightInd w:val="0"/>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cs="宋体"/>
                <w:color w:val="auto"/>
                <w:sz w:val="21"/>
                <w:szCs w:val="21"/>
                <w:highlight w:val="none"/>
                <w:lang w:val="en-US" w:eastAsia="zh-CN"/>
              </w:rPr>
              <w:t>需</w:t>
            </w:r>
            <w:r>
              <w:rPr>
                <w:rFonts w:hint="eastAsia" w:ascii="宋体" w:hAnsi="宋体" w:eastAsia="宋体" w:cs="宋体"/>
                <w:color w:val="auto"/>
                <w:sz w:val="21"/>
                <w:szCs w:val="21"/>
                <w:highlight w:val="none"/>
              </w:rPr>
              <w:t>提供保险合同复印件</w:t>
            </w:r>
            <w:r>
              <w:rPr>
                <w:rFonts w:hint="eastAsia" w:ascii="宋体" w:hAnsi="宋体" w:cs="宋体"/>
                <w:color w:val="auto"/>
                <w:sz w:val="21"/>
                <w:szCs w:val="21"/>
                <w:highlight w:val="none"/>
                <w:lang w:val="en-US" w:eastAsia="zh-CN"/>
              </w:rPr>
              <w:t>且须说明保险合同中是否承保有重大疾病等三项基本责任，需</w:t>
            </w:r>
            <w:r>
              <w:rPr>
                <w:rFonts w:hint="eastAsia" w:ascii="宋体" w:hAnsi="宋体" w:eastAsia="宋体" w:cs="宋体"/>
                <w:color w:val="auto"/>
                <w:sz w:val="21"/>
                <w:szCs w:val="21"/>
                <w:highlight w:val="none"/>
              </w:rPr>
              <w:t>加盖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单位公章（相同的保险合同号只算一</w:t>
            </w:r>
            <w:r>
              <w:rPr>
                <w:rFonts w:hint="eastAsia" w:ascii="宋体" w:hAnsi="宋体" w:cs="宋体"/>
                <w:color w:val="auto"/>
                <w:sz w:val="21"/>
                <w:szCs w:val="21"/>
                <w:highlight w:val="none"/>
                <w:lang w:val="en-US" w:eastAsia="zh-CN"/>
              </w:rPr>
              <w:t>件</w:t>
            </w:r>
            <w:r>
              <w:rPr>
                <w:rFonts w:hint="eastAsia" w:ascii="宋体" w:hAnsi="宋体" w:eastAsia="宋体" w:cs="宋体"/>
                <w:color w:val="auto"/>
                <w:sz w:val="21"/>
                <w:szCs w:val="21"/>
                <w:highlight w:val="none"/>
              </w:rPr>
              <w:t>）。</w:t>
            </w:r>
          </w:p>
        </w:tc>
      </w:tr>
      <w:tr w14:paraId="5994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0" w:hRule="atLeast"/>
          <w:jc w:val="center"/>
        </w:trPr>
        <w:tc>
          <w:tcPr>
            <w:tcW w:w="498" w:type="dxa"/>
            <w:noWrap w:val="0"/>
            <w:vAlign w:val="center"/>
          </w:tcPr>
          <w:p w14:paraId="6DCFD61F">
            <w:pPr>
              <w:widowControl/>
              <w:adjustRightInd w:val="0"/>
              <w:snapToGrid w:val="0"/>
              <w:spacing w:line="324"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028" w:type="dxa"/>
            <w:noWrap w:val="0"/>
            <w:vAlign w:val="center"/>
          </w:tcPr>
          <w:p w14:paraId="228183A9">
            <w:pPr>
              <w:adjustRightInd w:val="0"/>
              <w:snapToGrid w:val="0"/>
              <w:spacing w:line="324" w:lineRule="auto"/>
              <w:jc w:val="center"/>
              <w:rPr>
                <w:rFonts w:hint="eastAsia" w:ascii="宋体" w:hAnsi="宋体" w:eastAsia="宋体" w:cs="宋体"/>
                <w:sz w:val="21"/>
                <w:szCs w:val="21"/>
              </w:rPr>
            </w:pPr>
            <w:r>
              <w:rPr>
                <w:rFonts w:hint="eastAsia" w:ascii="宋体" w:hAnsi="宋体" w:eastAsia="宋体" w:cs="宋体"/>
                <w:sz w:val="21"/>
                <w:szCs w:val="21"/>
              </w:rPr>
              <w:t>具体保险保障</w:t>
            </w:r>
          </w:p>
        </w:tc>
        <w:tc>
          <w:tcPr>
            <w:tcW w:w="743" w:type="dxa"/>
            <w:noWrap w:val="0"/>
            <w:vAlign w:val="center"/>
          </w:tcPr>
          <w:p w14:paraId="6CCF1EC6">
            <w:pPr>
              <w:adjustRightInd w:val="0"/>
              <w:snapToGrid w:val="0"/>
              <w:spacing w:line="324" w:lineRule="auto"/>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25</w:t>
            </w:r>
          </w:p>
        </w:tc>
        <w:tc>
          <w:tcPr>
            <w:tcW w:w="900" w:type="dxa"/>
            <w:noWrap w:val="0"/>
            <w:vAlign w:val="center"/>
          </w:tcPr>
          <w:p w14:paraId="5149D5B4">
            <w:pPr>
              <w:widowControl/>
              <w:adjustRightInd w:val="0"/>
              <w:snapToGrid w:val="0"/>
              <w:spacing w:line="324"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25</w:t>
            </w:r>
          </w:p>
        </w:tc>
        <w:tc>
          <w:tcPr>
            <w:tcW w:w="2145" w:type="dxa"/>
            <w:noWrap w:val="0"/>
            <w:vAlign w:val="center"/>
          </w:tcPr>
          <w:p w14:paraId="6F49CD49">
            <w:pPr>
              <w:keepNext w:val="0"/>
              <w:keepLines w:val="0"/>
              <w:pageBreakBefore w:val="0"/>
              <w:widowControl w:val="0"/>
              <w:kinsoku/>
              <w:wordWrap/>
              <w:overflowPunct/>
              <w:topLinePunct w:val="0"/>
              <w:autoSpaceDE/>
              <w:autoSpaceDN/>
              <w:bidi w:val="0"/>
              <w:adjustRightInd w:val="0"/>
              <w:snapToGrid/>
              <w:spacing w:line="380" w:lineRule="exact"/>
              <w:ind w:firstLine="0" w:firstLineChars="0"/>
              <w:jc w:val="lef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本项目各保障基本保额：</w:t>
            </w:r>
            <w:r>
              <w:rPr>
                <w:rFonts w:hint="eastAsia" w:ascii="宋体" w:hAnsi="宋体" w:eastAsia="宋体" w:cs="宋体"/>
                <w:b/>
                <w:bCs/>
                <w:color w:val="auto"/>
                <w:sz w:val="21"/>
                <w:szCs w:val="21"/>
                <w:highlight w:val="none"/>
              </w:rPr>
              <w:t>一、【在职民警】</w:t>
            </w:r>
          </w:p>
          <w:p w14:paraId="565745CD">
            <w:pPr>
              <w:keepNext w:val="0"/>
              <w:keepLines w:val="0"/>
              <w:pageBreakBefore w:val="0"/>
              <w:widowControl w:val="0"/>
              <w:kinsoku/>
              <w:wordWrap/>
              <w:overflowPunct/>
              <w:topLinePunct w:val="0"/>
              <w:autoSpaceDE/>
              <w:autoSpaceDN/>
              <w:bidi w:val="0"/>
              <w:adjustRightInd w:val="0"/>
              <w:snapToGrid/>
              <w:spacing w:line="38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none"/>
              </w:rPr>
              <w:t>（一）</w:t>
            </w:r>
            <w:r>
              <w:rPr>
                <w:rFonts w:hint="eastAsia" w:ascii="宋体" w:hAnsi="宋体" w:eastAsia="宋体" w:cs="宋体"/>
                <w:b/>
                <w:bCs/>
                <w:color w:val="auto"/>
                <w:sz w:val="21"/>
                <w:szCs w:val="21"/>
                <w:highlight w:val="none"/>
                <w:u w:val="single"/>
              </w:rPr>
              <w:t>意外保障：</w:t>
            </w:r>
            <w:r>
              <w:rPr>
                <w:rFonts w:hint="eastAsia" w:ascii="宋体" w:hAnsi="宋体" w:eastAsia="宋体" w:cs="宋体"/>
                <w:color w:val="auto"/>
                <w:sz w:val="21"/>
                <w:szCs w:val="21"/>
                <w:highlight w:val="none"/>
              </w:rPr>
              <w:t>1、非因公意外身故及伤残4万元，因公意外身故的8万元；2、意外住院和门诊医疗1万元（共用)。</w:t>
            </w:r>
          </w:p>
          <w:p w14:paraId="2E2C1674">
            <w:pPr>
              <w:keepNext w:val="0"/>
              <w:keepLines w:val="0"/>
              <w:pageBreakBefore w:val="0"/>
              <w:widowControl w:val="0"/>
              <w:numPr>
                <w:ilvl w:val="0"/>
                <w:numId w:val="0"/>
              </w:numPr>
              <w:kinsoku/>
              <w:wordWrap/>
              <w:overflowPunct/>
              <w:topLinePunct w:val="0"/>
              <w:autoSpaceDE/>
              <w:autoSpaceDN/>
              <w:bidi w:val="0"/>
              <w:adjustRightInd w:val="0"/>
              <w:snapToGrid/>
              <w:spacing w:line="38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SA"/>
              </w:rPr>
              <w:t>（二）</w:t>
            </w:r>
            <w:r>
              <w:rPr>
                <w:rFonts w:hint="eastAsia" w:ascii="宋体" w:hAnsi="宋体" w:eastAsia="宋体" w:cs="宋体"/>
                <w:b/>
                <w:bCs/>
                <w:color w:val="auto"/>
                <w:sz w:val="21"/>
                <w:szCs w:val="21"/>
                <w:highlight w:val="none"/>
                <w:u w:val="single"/>
              </w:rPr>
              <w:t>交通意外保障：</w:t>
            </w:r>
            <w:r>
              <w:rPr>
                <w:rFonts w:hint="eastAsia" w:ascii="宋体" w:hAnsi="宋体" w:eastAsia="宋体" w:cs="宋体"/>
                <w:color w:val="auto"/>
                <w:sz w:val="21"/>
                <w:szCs w:val="21"/>
                <w:highlight w:val="none"/>
              </w:rPr>
              <w:t>飞机50万元、轨道交通20万元、水上交通20万元、机动车10万元。</w:t>
            </w:r>
          </w:p>
          <w:p w14:paraId="341B0EDE">
            <w:pPr>
              <w:keepNext w:val="0"/>
              <w:keepLines w:val="0"/>
              <w:pageBreakBefore w:val="0"/>
              <w:widowControl w:val="0"/>
              <w:numPr>
                <w:ilvl w:val="0"/>
                <w:numId w:val="0"/>
              </w:numPr>
              <w:kinsoku/>
              <w:wordWrap/>
              <w:overflowPunct/>
              <w:topLinePunct w:val="0"/>
              <w:autoSpaceDE/>
              <w:autoSpaceDN/>
              <w:bidi w:val="0"/>
              <w:adjustRightInd w:val="0"/>
              <w:snapToGrid/>
              <w:spacing w:line="38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none"/>
              </w:rPr>
              <w:t>（三）</w:t>
            </w:r>
            <w:r>
              <w:rPr>
                <w:rFonts w:hint="eastAsia" w:ascii="宋体" w:hAnsi="宋体" w:eastAsia="宋体" w:cs="宋体"/>
                <w:b/>
                <w:bCs/>
                <w:color w:val="auto"/>
                <w:sz w:val="21"/>
                <w:szCs w:val="21"/>
                <w:highlight w:val="none"/>
                <w:u w:val="single"/>
              </w:rPr>
              <w:t>疾病及重疾保障：</w:t>
            </w:r>
            <w:r>
              <w:rPr>
                <w:rFonts w:hint="eastAsia" w:ascii="宋体" w:hAnsi="宋体" w:eastAsia="宋体" w:cs="宋体"/>
                <w:color w:val="auto"/>
                <w:sz w:val="21"/>
                <w:szCs w:val="21"/>
                <w:highlight w:val="none"/>
              </w:rPr>
              <w:t>1、疾病身故1.5万元；2、住院补贴（含意外和疾病）30元/日</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按180天计</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；3、重大疾病4万元；4、重症监护津贴7.2万元（包括意外和疾病住院）。</w:t>
            </w:r>
          </w:p>
          <w:p w14:paraId="77A80452">
            <w:pPr>
              <w:keepNext w:val="0"/>
              <w:keepLines w:val="0"/>
              <w:pageBreakBefore w:val="0"/>
              <w:widowControl w:val="0"/>
              <w:numPr>
                <w:ilvl w:val="0"/>
                <w:numId w:val="0"/>
              </w:numPr>
              <w:kinsoku/>
              <w:wordWrap/>
              <w:overflowPunct/>
              <w:topLinePunct w:val="0"/>
              <w:autoSpaceDE/>
              <w:autoSpaceDN/>
              <w:bidi w:val="0"/>
              <w:adjustRightInd w:val="0"/>
              <w:snapToGrid/>
              <w:spacing w:line="380" w:lineRule="exact"/>
              <w:ind w:firstLine="0" w:firstLineChars="0"/>
              <w:jc w:val="lef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bidi="ar-SA"/>
              </w:rPr>
              <w:t>二、</w:t>
            </w:r>
            <w:r>
              <w:rPr>
                <w:rFonts w:hint="eastAsia" w:ascii="宋体" w:hAnsi="宋体" w:eastAsia="宋体" w:cs="宋体"/>
                <w:b/>
                <w:bCs/>
                <w:color w:val="auto"/>
                <w:sz w:val="21"/>
                <w:szCs w:val="21"/>
                <w:highlight w:val="none"/>
              </w:rPr>
              <w:t>【配偶及成年子女】</w:t>
            </w:r>
          </w:p>
          <w:p w14:paraId="5CE255B5">
            <w:pPr>
              <w:keepNext w:val="0"/>
              <w:keepLines w:val="0"/>
              <w:pageBreakBefore w:val="0"/>
              <w:widowControl w:val="0"/>
              <w:numPr>
                <w:ilvl w:val="0"/>
                <w:numId w:val="0"/>
              </w:numPr>
              <w:kinsoku/>
              <w:wordWrap/>
              <w:overflowPunct/>
              <w:topLinePunct w:val="0"/>
              <w:autoSpaceDE/>
              <w:autoSpaceDN/>
              <w:bidi w:val="0"/>
              <w:adjustRightInd w:val="0"/>
              <w:snapToGrid/>
              <w:spacing w:line="38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none"/>
              </w:rPr>
              <w:t>（一）</w:t>
            </w:r>
            <w:r>
              <w:rPr>
                <w:rFonts w:hint="eastAsia" w:ascii="宋体" w:hAnsi="宋体" w:eastAsia="宋体" w:cs="宋体"/>
                <w:b/>
                <w:bCs/>
                <w:color w:val="auto"/>
                <w:sz w:val="21"/>
                <w:szCs w:val="21"/>
                <w:highlight w:val="none"/>
                <w:u w:val="single"/>
              </w:rPr>
              <w:t>意外保障：</w:t>
            </w:r>
            <w:r>
              <w:rPr>
                <w:rFonts w:hint="eastAsia" w:ascii="宋体" w:hAnsi="宋体" w:eastAsia="宋体" w:cs="宋体"/>
                <w:color w:val="auto"/>
                <w:sz w:val="21"/>
                <w:szCs w:val="21"/>
                <w:highlight w:val="none"/>
              </w:rPr>
              <w:t>1、意外身故及伤残4万元；2、意外住院和门诊医疗5000元（共用）。</w:t>
            </w:r>
          </w:p>
          <w:p w14:paraId="45BC6EC7">
            <w:pPr>
              <w:keepNext w:val="0"/>
              <w:keepLines w:val="0"/>
              <w:pageBreakBefore w:val="0"/>
              <w:widowControl w:val="0"/>
              <w:numPr>
                <w:ilvl w:val="0"/>
                <w:numId w:val="0"/>
              </w:numPr>
              <w:kinsoku/>
              <w:wordWrap/>
              <w:overflowPunct/>
              <w:topLinePunct w:val="0"/>
              <w:autoSpaceDE/>
              <w:autoSpaceDN/>
              <w:bidi w:val="0"/>
              <w:adjustRightInd w:val="0"/>
              <w:snapToGrid/>
              <w:spacing w:line="38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none"/>
              </w:rPr>
              <w:t>（二）</w:t>
            </w:r>
            <w:r>
              <w:rPr>
                <w:rFonts w:hint="eastAsia" w:ascii="宋体" w:hAnsi="宋体" w:eastAsia="宋体" w:cs="宋体"/>
                <w:b/>
                <w:bCs/>
                <w:color w:val="auto"/>
                <w:sz w:val="21"/>
                <w:szCs w:val="21"/>
                <w:highlight w:val="none"/>
                <w:u w:val="single"/>
              </w:rPr>
              <w:t>疾病及重疾保障：</w:t>
            </w:r>
            <w:r>
              <w:rPr>
                <w:rFonts w:hint="eastAsia" w:ascii="宋体" w:hAnsi="宋体" w:eastAsia="宋体" w:cs="宋体"/>
                <w:color w:val="auto"/>
                <w:sz w:val="21"/>
                <w:szCs w:val="21"/>
                <w:highlight w:val="none"/>
              </w:rPr>
              <w:t>1、疾病身故1万元；2、疾病住院3000元；3、重大疾病4万元。</w:t>
            </w:r>
          </w:p>
          <w:p w14:paraId="6BB6D574">
            <w:pPr>
              <w:keepNext w:val="0"/>
              <w:keepLines w:val="0"/>
              <w:pageBreakBefore w:val="0"/>
              <w:widowControl w:val="0"/>
              <w:numPr>
                <w:ilvl w:val="0"/>
                <w:numId w:val="0"/>
              </w:numPr>
              <w:kinsoku/>
              <w:wordWrap/>
              <w:overflowPunct/>
              <w:topLinePunct w:val="0"/>
              <w:autoSpaceDE/>
              <w:autoSpaceDN/>
              <w:bidi w:val="0"/>
              <w:adjustRightInd w:val="0"/>
              <w:snapToGrid/>
              <w:spacing w:line="380" w:lineRule="exact"/>
              <w:ind w:firstLine="0" w:firstLineChars="0"/>
              <w:jc w:val="lef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bidi="ar-SA"/>
              </w:rPr>
              <w:t>四、</w:t>
            </w:r>
            <w:r>
              <w:rPr>
                <w:rFonts w:hint="eastAsia" w:ascii="宋体" w:hAnsi="宋体" w:eastAsia="宋体" w:cs="宋体"/>
                <w:b/>
                <w:bCs/>
                <w:color w:val="auto"/>
                <w:sz w:val="21"/>
                <w:szCs w:val="21"/>
                <w:highlight w:val="none"/>
              </w:rPr>
              <w:t>【未成年子女】</w:t>
            </w:r>
          </w:p>
          <w:p w14:paraId="361271E9">
            <w:pPr>
              <w:keepNext w:val="0"/>
              <w:keepLines w:val="0"/>
              <w:pageBreakBefore w:val="0"/>
              <w:widowControl w:val="0"/>
              <w:numPr>
                <w:ilvl w:val="0"/>
                <w:numId w:val="0"/>
              </w:numPr>
              <w:kinsoku/>
              <w:wordWrap/>
              <w:overflowPunct/>
              <w:topLinePunct w:val="0"/>
              <w:autoSpaceDE/>
              <w:autoSpaceDN/>
              <w:bidi w:val="0"/>
              <w:adjustRightInd w:val="0"/>
              <w:snapToGrid/>
              <w:spacing w:line="38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none"/>
              </w:rPr>
              <w:t>（一）</w:t>
            </w:r>
            <w:r>
              <w:rPr>
                <w:rFonts w:hint="eastAsia" w:ascii="宋体" w:hAnsi="宋体" w:eastAsia="宋体" w:cs="宋体"/>
                <w:b/>
                <w:bCs/>
                <w:color w:val="auto"/>
                <w:sz w:val="21"/>
                <w:szCs w:val="21"/>
                <w:highlight w:val="none"/>
                <w:u w:val="single"/>
              </w:rPr>
              <w:t>意外保障：</w:t>
            </w:r>
            <w:r>
              <w:rPr>
                <w:rFonts w:hint="eastAsia" w:ascii="宋体" w:hAnsi="宋体" w:eastAsia="宋体" w:cs="宋体"/>
                <w:color w:val="auto"/>
                <w:sz w:val="21"/>
                <w:szCs w:val="21"/>
                <w:highlight w:val="none"/>
              </w:rPr>
              <w:t>1、意外身故及伤残5万元；2、意外住院医疗1万元。</w:t>
            </w:r>
          </w:p>
          <w:p w14:paraId="6C457210">
            <w:pPr>
              <w:keepNext w:val="0"/>
              <w:keepLines w:val="0"/>
              <w:pageBreakBefore w:val="0"/>
              <w:widowControl w:val="0"/>
              <w:numPr>
                <w:ilvl w:val="0"/>
                <w:numId w:val="0"/>
              </w:numPr>
              <w:kinsoku/>
              <w:wordWrap/>
              <w:overflowPunct/>
              <w:topLinePunct w:val="0"/>
              <w:autoSpaceDE/>
              <w:autoSpaceDN/>
              <w:bidi w:val="0"/>
              <w:adjustRightInd w:val="0"/>
              <w:snapToGrid/>
              <w:spacing w:line="38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none"/>
              </w:rPr>
              <w:t>（二）</w:t>
            </w:r>
            <w:r>
              <w:rPr>
                <w:rFonts w:hint="eastAsia" w:ascii="宋体" w:hAnsi="宋体" w:eastAsia="宋体" w:cs="宋体"/>
                <w:b/>
                <w:bCs/>
                <w:color w:val="auto"/>
                <w:sz w:val="21"/>
                <w:szCs w:val="21"/>
                <w:highlight w:val="none"/>
                <w:u w:val="single"/>
              </w:rPr>
              <w:t>疾病及重疾保障：</w:t>
            </w:r>
            <w:r>
              <w:rPr>
                <w:rFonts w:hint="eastAsia" w:ascii="宋体" w:hAnsi="宋体" w:eastAsia="宋体" w:cs="宋体"/>
                <w:color w:val="auto"/>
                <w:sz w:val="21"/>
                <w:szCs w:val="21"/>
                <w:highlight w:val="none"/>
              </w:rPr>
              <w:t>1、疾病身故1万元；2、疾病住院2万元；3、重大疾病4万元。</w:t>
            </w:r>
          </w:p>
        </w:tc>
        <w:tc>
          <w:tcPr>
            <w:tcW w:w="3430" w:type="dxa"/>
            <w:noWrap w:val="0"/>
            <w:vAlign w:val="center"/>
          </w:tcPr>
          <w:p w14:paraId="04489188">
            <w:pPr>
              <w:keepNext w:val="0"/>
              <w:keepLines w:val="0"/>
              <w:pageBreakBefore w:val="0"/>
              <w:widowControl/>
              <w:kinsoku/>
              <w:wordWrap/>
              <w:overflowPunct/>
              <w:topLinePunct w:val="0"/>
              <w:autoSpaceDE/>
              <w:autoSpaceDN/>
              <w:bidi w:val="0"/>
              <w:adjustRightInd w:val="0"/>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在基本保障基础上，满足下列要求可加分：</w:t>
            </w:r>
            <w:r>
              <w:rPr>
                <w:rFonts w:hint="eastAsia" w:ascii="宋体" w:hAnsi="宋体" w:eastAsia="宋体" w:cs="宋体"/>
                <w:b/>
                <w:bCs/>
                <w:color w:val="auto"/>
                <w:sz w:val="21"/>
                <w:szCs w:val="21"/>
                <w:highlight w:val="none"/>
              </w:rPr>
              <w:t>一、【在职民警】</w:t>
            </w:r>
            <w:r>
              <w:rPr>
                <w:rFonts w:hint="eastAsia" w:ascii="宋体" w:hAnsi="宋体" w:eastAsia="宋体" w:cs="宋体"/>
                <w:color w:val="auto"/>
                <w:sz w:val="21"/>
                <w:szCs w:val="21"/>
                <w:highlight w:val="none"/>
              </w:rPr>
              <w:t>1、非因公意外身故及伤残，在基本保额基础上每增加5000元得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分，最高</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分；2、因公意外身故的，在基本保额基础上每增加10000元得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分，最高</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分；3、疾病身故，在基本保额基础上每增加2500元得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分，最高</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分；4、住院津贴，在基本保额</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30元/日</w:t>
            </w:r>
            <w:r>
              <w:rPr>
                <w:rFonts w:hint="eastAsia" w:ascii="宋体" w:hAnsi="宋体" w:cs="宋体"/>
                <w:color w:val="auto"/>
                <w:sz w:val="21"/>
                <w:szCs w:val="21"/>
                <w:highlight w:val="none"/>
                <w:lang w:val="en-US" w:eastAsia="zh-CN"/>
              </w:rPr>
              <w:t>*180天</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基础上每增加1800元得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分，最高</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分；5、重大疾病，在基本保额基础上每增加5000元得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分，最高</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分；6、重症监护津贴，在基本保额基础上每增加9000元得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分，最高</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3A1E67EC">
            <w:pPr>
              <w:keepNext w:val="0"/>
              <w:keepLines w:val="0"/>
              <w:pageBreakBefore w:val="0"/>
              <w:widowControl/>
              <w:numPr>
                <w:ilvl w:val="0"/>
                <w:numId w:val="0"/>
              </w:numPr>
              <w:kinsoku/>
              <w:wordWrap/>
              <w:overflowPunct/>
              <w:topLinePunct w:val="0"/>
              <w:autoSpaceDE/>
              <w:autoSpaceDN/>
              <w:bidi w:val="0"/>
              <w:adjustRightInd w:val="0"/>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SA"/>
              </w:rPr>
              <w:t>二、</w:t>
            </w:r>
            <w:r>
              <w:rPr>
                <w:rFonts w:hint="eastAsia" w:ascii="宋体" w:hAnsi="宋体" w:eastAsia="宋体" w:cs="宋体"/>
                <w:b/>
                <w:bCs/>
                <w:color w:val="auto"/>
                <w:sz w:val="21"/>
                <w:szCs w:val="21"/>
                <w:highlight w:val="none"/>
              </w:rPr>
              <w:t>【配偶及成年子女】</w:t>
            </w:r>
            <w:r>
              <w:rPr>
                <w:rFonts w:hint="eastAsia" w:ascii="宋体" w:hAnsi="宋体" w:eastAsia="宋体" w:cs="宋体"/>
                <w:color w:val="auto"/>
                <w:sz w:val="21"/>
                <w:szCs w:val="21"/>
                <w:highlight w:val="none"/>
              </w:rPr>
              <w:t>1、意外身故及伤残，在基本保额基础上每增加5000元得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分，最高</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分；2、重大疾病，在基本保额基础上每增加5000元得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 分，最高</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3A4D1C05">
            <w:pPr>
              <w:keepNext w:val="0"/>
              <w:keepLines w:val="0"/>
              <w:pageBreakBefore w:val="0"/>
              <w:widowControl/>
              <w:numPr>
                <w:ilvl w:val="0"/>
                <w:numId w:val="0"/>
              </w:numPr>
              <w:kinsoku/>
              <w:wordWrap/>
              <w:overflowPunct/>
              <w:topLinePunct w:val="0"/>
              <w:autoSpaceDE/>
              <w:autoSpaceDN/>
              <w:bidi w:val="0"/>
              <w:adjustRightInd w:val="0"/>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SA"/>
              </w:rPr>
              <w:t>三、</w:t>
            </w:r>
            <w:r>
              <w:rPr>
                <w:rFonts w:hint="eastAsia" w:ascii="宋体" w:hAnsi="宋体" w:eastAsia="宋体" w:cs="宋体"/>
                <w:b/>
                <w:bCs/>
                <w:color w:val="auto"/>
                <w:sz w:val="21"/>
                <w:szCs w:val="21"/>
                <w:highlight w:val="none"/>
              </w:rPr>
              <w:t>【未成年子女】</w:t>
            </w:r>
            <w:r>
              <w:rPr>
                <w:rFonts w:hint="eastAsia" w:ascii="宋体" w:hAnsi="宋体" w:eastAsia="宋体" w:cs="宋体"/>
                <w:color w:val="auto"/>
                <w:sz w:val="21"/>
                <w:szCs w:val="21"/>
                <w:highlight w:val="none"/>
              </w:rPr>
              <w:t>1、疾病住院，在基本保额基础上每增加5000元得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分，最高</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分；2、重大疾病，在基本保额基础上每增加5000元得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分，最高</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40FCBF58">
            <w:pPr>
              <w:keepNext w:val="0"/>
              <w:keepLines w:val="0"/>
              <w:pageBreakBefore w:val="0"/>
              <w:widowControl/>
              <w:numPr>
                <w:ilvl w:val="0"/>
                <w:numId w:val="0"/>
              </w:numPr>
              <w:kinsoku/>
              <w:wordWrap/>
              <w:overflowPunct/>
              <w:topLinePunct w:val="0"/>
              <w:autoSpaceDE/>
              <w:autoSpaceDN/>
              <w:bidi w:val="0"/>
              <w:adjustRightInd w:val="0"/>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SA"/>
              </w:rPr>
              <w:t>四、</w:t>
            </w:r>
            <w:r>
              <w:rPr>
                <w:rFonts w:hint="eastAsia" w:ascii="宋体" w:hAnsi="宋体" w:eastAsia="宋体" w:cs="宋体"/>
                <w:b/>
                <w:bCs/>
                <w:color w:val="auto"/>
                <w:sz w:val="21"/>
                <w:szCs w:val="21"/>
                <w:highlight w:val="none"/>
              </w:rPr>
              <w:t>【增值项加分】</w:t>
            </w:r>
            <w:r>
              <w:rPr>
                <w:rFonts w:hint="eastAsia" w:ascii="宋体" w:hAnsi="宋体" w:eastAsia="宋体" w:cs="宋体"/>
                <w:color w:val="auto"/>
                <w:sz w:val="21"/>
                <w:szCs w:val="21"/>
                <w:highlight w:val="none"/>
              </w:rPr>
              <w:t>：民警因公致残的，按工伤标准进行评定，十级残赔付比例为10%，每高一级，按10%进行递增，一级残为100%，可得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3E140EDE">
            <w:pPr>
              <w:keepNext w:val="0"/>
              <w:keepLines w:val="0"/>
              <w:pageBreakBefore w:val="0"/>
              <w:widowControl/>
              <w:numPr>
                <w:ilvl w:val="0"/>
                <w:numId w:val="0"/>
              </w:numPr>
              <w:kinsoku/>
              <w:wordWrap/>
              <w:overflowPunct/>
              <w:topLinePunct w:val="0"/>
              <w:autoSpaceDE/>
              <w:autoSpaceDN/>
              <w:bidi w:val="0"/>
              <w:adjustRightInd w:val="0"/>
              <w:snapToGrid/>
              <w:spacing w:line="38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SA"/>
              </w:rPr>
              <w:t>五、</w:t>
            </w:r>
            <w:r>
              <w:rPr>
                <w:rFonts w:hint="eastAsia" w:ascii="宋体" w:hAnsi="宋体" w:eastAsia="宋体" w:cs="宋体"/>
                <w:color w:val="auto"/>
                <w:sz w:val="21"/>
                <w:szCs w:val="21"/>
                <w:highlight w:val="none"/>
              </w:rPr>
              <w:t>上述四项最高得</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rPr>
              <w:t>分。</w:t>
            </w:r>
          </w:p>
          <w:p w14:paraId="53FB3F00">
            <w:pPr>
              <w:keepNext w:val="0"/>
              <w:keepLines w:val="0"/>
              <w:pageBreakBefore w:val="0"/>
              <w:widowControl/>
              <w:kinsoku/>
              <w:wordWrap/>
              <w:overflowPunct/>
              <w:topLinePunct w:val="0"/>
              <w:autoSpaceDE/>
              <w:autoSpaceDN/>
              <w:bidi w:val="0"/>
              <w:adjustRightInd w:val="0"/>
              <w:snapToGrid/>
              <w:spacing w:line="380" w:lineRule="exact"/>
              <w:ind w:firstLine="420" w:firstLineChars="200"/>
              <w:jc w:val="left"/>
              <w:textAlignment w:val="auto"/>
              <w:rPr>
                <w:rFonts w:hint="eastAsia" w:ascii="宋体" w:hAnsi="宋体" w:eastAsia="宋体" w:cs="宋体"/>
                <w:color w:val="auto"/>
                <w:sz w:val="21"/>
                <w:szCs w:val="21"/>
                <w:highlight w:val="none"/>
              </w:rPr>
            </w:pPr>
          </w:p>
        </w:tc>
        <w:tc>
          <w:tcPr>
            <w:tcW w:w="2153" w:type="dxa"/>
            <w:noWrap w:val="0"/>
            <w:vAlign w:val="center"/>
          </w:tcPr>
          <w:p w14:paraId="419D0764">
            <w:pPr>
              <w:keepNext w:val="0"/>
              <w:keepLines w:val="0"/>
              <w:pageBreakBefore w:val="0"/>
              <w:widowControl/>
              <w:numPr>
                <w:ilvl w:val="0"/>
                <w:numId w:val="0"/>
              </w:numPr>
              <w:kinsoku/>
              <w:wordWrap/>
              <w:overflowPunct/>
              <w:topLinePunct w:val="0"/>
              <w:autoSpaceDE/>
              <w:autoSpaceDN/>
              <w:bidi w:val="0"/>
              <w:adjustRightInd w:val="0"/>
              <w:snapToGrid/>
              <w:spacing w:line="380" w:lineRule="exact"/>
              <w:ind w:firstLine="420" w:firstLineChars="200"/>
              <w:jc w:val="left"/>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SA"/>
              </w:rPr>
              <w:t>1、</w:t>
            </w:r>
            <w:r>
              <w:rPr>
                <w:rFonts w:hint="eastAsia" w:ascii="宋体" w:hAnsi="宋体" w:eastAsia="宋体" w:cs="宋体"/>
                <w:color w:val="auto"/>
                <w:sz w:val="21"/>
                <w:szCs w:val="21"/>
                <w:highlight w:val="none"/>
                <w:lang w:eastAsia="zh-CN"/>
              </w:rPr>
              <w:t>供应商</w:t>
            </w:r>
            <w:r>
              <w:rPr>
                <w:rFonts w:hint="eastAsia" w:ascii="宋体" w:hAnsi="宋体" w:cs="宋体"/>
                <w:color w:val="auto"/>
                <w:sz w:val="21"/>
                <w:szCs w:val="21"/>
                <w:highlight w:val="none"/>
                <w:lang w:val="en-US" w:eastAsia="zh-CN"/>
              </w:rPr>
              <w:t>需</w:t>
            </w:r>
            <w:r>
              <w:rPr>
                <w:rFonts w:hint="eastAsia" w:ascii="宋体" w:hAnsi="宋体" w:eastAsia="宋体" w:cs="宋体"/>
                <w:color w:val="auto"/>
                <w:sz w:val="21"/>
                <w:szCs w:val="21"/>
                <w:highlight w:val="none"/>
              </w:rPr>
              <w:t>提供</w:t>
            </w:r>
            <w:r>
              <w:rPr>
                <w:rFonts w:hint="eastAsia" w:ascii="宋体" w:hAnsi="宋体" w:cs="宋体"/>
                <w:color w:val="auto"/>
                <w:sz w:val="21"/>
                <w:szCs w:val="21"/>
                <w:highlight w:val="none"/>
                <w:lang w:val="en-US" w:eastAsia="zh-CN"/>
              </w:rPr>
              <w:t>承诺书。</w:t>
            </w:r>
          </w:p>
          <w:p w14:paraId="431F4B05">
            <w:pPr>
              <w:keepNext w:val="0"/>
              <w:keepLines w:val="0"/>
              <w:pageBreakBefore w:val="0"/>
              <w:widowControl/>
              <w:numPr>
                <w:ilvl w:val="0"/>
                <w:numId w:val="0"/>
              </w:numPr>
              <w:kinsoku/>
              <w:wordWrap/>
              <w:overflowPunct/>
              <w:topLinePunct w:val="0"/>
              <w:autoSpaceDE/>
              <w:autoSpaceDN/>
              <w:bidi w:val="0"/>
              <w:adjustRightInd w:val="0"/>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各保障责任必须完</w:t>
            </w:r>
            <w:r>
              <w:rPr>
                <w:rFonts w:hint="eastAsia" w:ascii="宋体" w:hAnsi="宋体" w:cs="宋体"/>
                <w:color w:val="auto"/>
                <w:sz w:val="21"/>
                <w:szCs w:val="21"/>
                <w:highlight w:val="none"/>
                <w:lang w:val="en-US" w:eastAsia="zh-CN"/>
              </w:rPr>
              <w:t>全</w:t>
            </w:r>
            <w:r>
              <w:rPr>
                <w:rFonts w:hint="eastAsia" w:ascii="宋体" w:hAnsi="宋体" w:eastAsia="宋体" w:cs="宋体"/>
                <w:color w:val="auto"/>
                <w:sz w:val="21"/>
                <w:szCs w:val="21"/>
                <w:highlight w:val="none"/>
              </w:rPr>
              <w:t>响应第三章保险需求的各规定，不完全响应</w:t>
            </w:r>
            <w:r>
              <w:rPr>
                <w:rFonts w:hint="eastAsia" w:ascii="宋体" w:hAnsi="宋体" w:cs="宋体"/>
                <w:color w:val="auto"/>
                <w:sz w:val="21"/>
                <w:szCs w:val="21"/>
                <w:highlight w:val="none"/>
                <w:lang w:val="en-US" w:eastAsia="zh-CN"/>
              </w:rPr>
              <w:t>符合性审查不通过</w:t>
            </w:r>
            <w:r>
              <w:rPr>
                <w:rFonts w:hint="eastAsia" w:ascii="宋体" w:hAnsi="宋体" w:eastAsia="宋体" w:cs="宋体"/>
                <w:color w:val="auto"/>
                <w:sz w:val="21"/>
                <w:szCs w:val="21"/>
                <w:highlight w:val="none"/>
              </w:rPr>
              <w:t>。</w:t>
            </w:r>
          </w:p>
        </w:tc>
      </w:tr>
      <w:tr w14:paraId="2F3A8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498" w:type="dxa"/>
            <w:vMerge w:val="restart"/>
            <w:noWrap w:val="0"/>
            <w:vAlign w:val="center"/>
          </w:tcPr>
          <w:p w14:paraId="7EF76A73">
            <w:pPr>
              <w:adjustRightInd w:val="0"/>
              <w:snapToGrid w:val="0"/>
              <w:spacing w:line="324" w:lineRule="auto"/>
              <w:jc w:val="center"/>
              <w:rPr>
                <w:rFonts w:hint="eastAsia" w:ascii="宋体" w:hAnsi="宋体" w:eastAsia="宋体" w:cs="宋体"/>
                <w:sz w:val="21"/>
                <w:szCs w:val="21"/>
              </w:rPr>
            </w:pPr>
            <w:r>
              <w:rPr>
                <w:rFonts w:hint="eastAsia" w:ascii="宋体" w:hAnsi="宋体" w:eastAsia="宋体" w:cs="宋体"/>
                <w:b w:val="0"/>
                <w:bCs/>
                <w:sz w:val="21"/>
                <w:szCs w:val="21"/>
              </w:rPr>
              <w:t>3</w:t>
            </w:r>
          </w:p>
        </w:tc>
        <w:tc>
          <w:tcPr>
            <w:tcW w:w="1028" w:type="dxa"/>
            <w:vMerge w:val="restart"/>
            <w:noWrap w:val="0"/>
            <w:vAlign w:val="center"/>
          </w:tcPr>
          <w:p w14:paraId="54D24DFF">
            <w:pPr>
              <w:adjustRightInd w:val="0"/>
              <w:snapToGrid w:val="0"/>
              <w:spacing w:line="324" w:lineRule="auto"/>
              <w:jc w:val="center"/>
              <w:rPr>
                <w:rFonts w:hint="eastAsia" w:ascii="宋体" w:hAnsi="宋体" w:eastAsia="宋体" w:cs="宋体"/>
                <w:sz w:val="21"/>
                <w:szCs w:val="21"/>
              </w:rPr>
            </w:pPr>
            <w:r>
              <w:rPr>
                <w:rFonts w:hint="eastAsia" w:ascii="宋体" w:hAnsi="宋体" w:eastAsia="宋体" w:cs="宋体"/>
                <w:sz w:val="21"/>
                <w:szCs w:val="21"/>
              </w:rPr>
              <w:t>承保服务理赔能力</w:t>
            </w:r>
          </w:p>
        </w:tc>
        <w:tc>
          <w:tcPr>
            <w:tcW w:w="743" w:type="dxa"/>
            <w:vMerge w:val="restart"/>
            <w:noWrap w:val="0"/>
            <w:vAlign w:val="center"/>
          </w:tcPr>
          <w:p w14:paraId="33CCF4C1">
            <w:pPr>
              <w:widowControl/>
              <w:adjustRightInd w:val="0"/>
              <w:snapToGrid w:val="0"/>
              <w:spacing w:line="324"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7</w:t>
            </w:r>
          </w:p>
        </w:tc>
        <w:tc>
          <w:tcPr>
            <w:tcW w:w="900" w:type="dxa"/>
            <w:noWrap w:val="0"/>
            <w:vAlign w:val="center"/>
          </w:tcPr>
          <w:p w14:paraId="25130F84">
            <w:pPr>
              <w:widowControl/>
              <w:adjustRightInd w:val="0"/>
              <w:snapToGrid w:val="0"/>
              <w:spacing w:line="36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15</w:t>
            </w:r>
          </w:p>
        </w:tc>
        <w:tc>
          <w:tcPr>
            <w:tcW w:w="2145" w:type="dxa"/>
            <w:noWrap w:val="0"/>
            <w:vAlign w:val="center"/>
          </w:tcPr>
          <w:p w14:paraId="7431AA75">
            <w:pPr>
              <w:keepNext w:val="0"/>
              <w:keepLines w:val="0"/>
              <w:pageBreakBefore w:val="0"/>
              <w:kinsoku/>
              <w:wordWrap/>
              <w:overflowPunct/>
              <w:topLinePunct w:val="0"/>
              <w:autoSpaceDE/>
              <w:autoSpaceDN/>
              <w:bidi w:val="0"/>
              <w:adjustRightInd w:val="0"/>
              <w:snapToGrid/>
              <w:spacing w:line="38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成立服务团队</w:t>
            </w:r>
          </w:p>
        </w:tc>
        <w:tc>
          <w:tcPr>
            <w:tcW w:w="3430" w:type="dxa"/>
            <w:tcBorders>
              <w:top w:val="single" w:color="auto" w:sz="4" w:space="0"/>
              <w:left w:val="nil"/>
              <w:bottom w:val="single" w:color="auto" w:sz="4" w:space="0"/>
              <w:right w:val="single" w:color="000000" w:sz="4" w:space="0"/>
            </w:tcBorders>
            <w:noWrap w:val="0"/>
            <w:vAlign w:val="center"/>
          </w:tcPr>
          <w:p w14:paraId="2533B3BF">
            <w:pPr>
              <w:keepNext w:val="0"/>
              <w:keepLines w:val="0"/>
              <w:pageBreakBefore w:val="0"/>
              <w:widowControl/>
              <w:kinsoku/>
              <w:wordWrap/>
              <w:overflowPunct/>
              <w:topLinePunct w:val="0"/>
              <w:autoSpaceDE/>
              <w:autoSpaceDN/>
              <w:bidi w:val="0"/>
              <w:snapToGrid/>
              <w:spacing w:line="38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供应商成立专项的承保服务团队和理赔服务团队，根据人员配置情况的合理性全面性打分。</w:t>
            </w:r>
          </w:p>
          <w:p w14:paraId="6D29A3F5">
            <w:pPr>
              <w:keepNext w:val="0"/>
              <w:keepLines w:val="0"/>
              <w:pageBreakBefore w:val="0"/>
              <w:widowControl/>
              <w:kinsoku/>
              <w:wordWrap/>
              <w:overflowPunct/>
              <w:topLinePunct w:val="0"/>
              <w:autoSpaceDE/>
              <w:autoSpaceDN/>
              <w:bidi w:val="0"/>
              <w:snapToGrid/>
              <w:spacing w:line="38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专项</w:t>
            </w:r>
            <w:r>
              <w:rPr>
                <w:rFonts w:hint="eastAsia" w:ascii="宋体" w:hAnsi="宋体" w:cs="宋体"/>
                <w:color w:val="auto"/>
                <w:sz w:val="21"/>
                <w:szCs w:val="21"/>
                <w:lang w:val="en-US" w:eastAsia="zh-CN"/>
              </w:rPr>
              <w:t>团队</w:t>
            </w:r>
            <w:r>
              <w:rPr>
                <w:rFonts w:hint="eastAsia" w:ascii="宋体" w:hAnsi="宋体" w:eastAsia="宋体" w:cs="宋体"/>
                <w:color w:val="auto"/>
                <w:sz w:val="21"/>
                <w:szCs w:val="21"/>
                <w:lang w:val="en-US" w:eastAsia="zh-CN"/>
              </w:rPr>
              <w:t>服务有效合理、团队人员配置合理、操作性强的得</w:t>
            </w:r>
            <w:r>
              <w:rPr>
                <w:rFonts w:hint="eastAsia" w:ascii="宋体" w:hAnsi="宋体" w:cs="宋体"/>
                <w:color w:val="auto"/>
                <w:sz w:val="21"/>
                <w:szCs w:val="21"/>
                <w:lang w:val="en-US" w:eastAsia="zh-CN"/>
              </w:rPr>
              <w:t>15</w:t>
            </w:r>
            <w:r>
              <w:rPr>
                <w:rFonts w:hint="eastAsia" w:ascii="宋体" w:hAnsi="宋体" w:eastAsia="宋体" w:cs="宋体"/>
                <w:color w:val="auto"/>
                <w:sz w:val="21"/>
                <w:szCs w:val="21"/>
                <w:lang w:val="en-US" w:eastAsia="zh-CN"/>
              </w:rPr>
              <w:t>分；</w:t>
            </w:r>
          </w:p>
          <w:p w14:paraId="42CE516E">
            <w:pPr>
              <w:keepNext w:val="0"/>
              <w:keepLines w:val="0"/>
              <w:pageBreakBefore w:val="0"/>
              <w:widowControl/>
              <w:kinsoku/>
              <w:wordWrap/>
              <w:overflowPunct/>
              <w:topLinePunct w:val="0"/>
              <w:autoSpaceDE/>
              <w:autoSpaceDN/>
              <w:bidi w:val="0"/>
              <w:snapToGrid/>
              <w:spacing w:line="38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专项</w:t>
            </w:r>
            <w:r>
              <w:rPr>
                <w:rFonts w:hint="eastAsia" w:ascii="宋体" w:hAnsi="宋体" w:cs="宋体"/>
                <w:color w:val="auto"/>
                <w:sz w:val="21"/>
                <w:szCs w:val="21"/>
                <w:lang w:val="en-US" w:eastAsia="zh-CN"/>
              </w:rPr>
              <w:t>团队</w:t>
            </w:r>
            <w:r>
              <w:rPr>
                <w:rFonts w:hint="eastAsia" w:ascii="宋体" w:hAnsi="宋体" w:eastAsia="宋体" w:cs="宋体"/>
                <w:color w:val="auto"/>
                <w:sz w:val="21"/>
                <w:szCs w:val="21"/>
                <w:lang w:val="en-US" w:eastAsia="zh-CN"/>
              </w:rPr>
              <w:t>服务</w:t>
            </w:r>
            <w:r>
              <w:rPr>
                <w:rFonts w:hint="eastAsia" w:ascii="宋体" w:hAnsi="宋体" w:cs="宋体"/>
                <w:color w:val="auto"/>
                <w:sz w:val="21"/>
                <w:szCs w:val="21"/>
                <w:lang w:val="en-US" w:eastAsia="zh-CN"/>
              </w:rPr>
              <w:t>较合理、</w:t>
            </w:r>
            <w:r>
              <w:rPr>
                <w:rFonts w:hint="eastAsia" w:ascii="宋体" w:hAnsi="宋体" w:eastAsia="宋体" w:cs="宋体"/>
                <w:color w:val="auto"/>
                <w:sz w:val="21"/>
                <w:szCs w:val="21"/>
                <w:lang w:val="en-US" w:eastAsia="zh-CN"/>
              </w:rPr>
              <w:t>团队人员配置</w:t>
            </w:r>
            <w:r>
              <w:rPr>
                <w:rFonts w:hint="eastAsia" w:ascii="宋体" w:hAnsi="宋体" w:cs="宋体"/>
                <w:color w:val="auto"/>
                <w:sz w:val="21"/>
                <w:szCs w:val="21"/>
                <w:lang w:val="en-US" w:eastAsia="zh-CN"/>
              </w:rPr>
              <w:t>基本</w:t>
            </w:r>
            <w:r>
              <w:rPr>
                <w:rFonts w:hint="eastAsia" w:ascii="宋体" w:hAnsi="宋体" w:eastAsia="宋体" w:cs="宋体"/>
                <w:color w:val="auto"/>
                <w:sz w:val="21"/>
                <w:szCs w:val="21"/>
                <w:lang w:val="en-US" w:eastAsia="zh-CN"/>
              </w:rPr>
              <w:t>符合要求、有一定的操作性得</w:t>
            </w:r>
            <w:r>
              <w:rPr>
                <w:rFonts w:hint="eastAsia" w:ascii="宋体" w:hAnsi="宋体" w:cs="宋体"/>
                <w:color w:val="auto"/>
                <w:sz w:val="21"/>
                <w:szCs w:val="21"/>
                <w:lang w:val="en-US" w:eastAsia="zh-CN"/>
              </w:rPr>
              <w:t>11</w:t>
            </w:r>
            <w:r>
              <w:rPr>
                <w:rFonts w:hint="eastAsia" w:ascii="宋体" w:hAnsi="宋体" w:eastAsia="宋体" w:cs="宋体"/>
                <w:color w:val="auto"/>
                <w:sz w:val="21"/>
                <w:szCs w:val="21"/>
                <w:lang w:val="en-US" w:eastAsia="zh-CN"/>
              </w:rPr>
              <w:t>分；</w:t>
            </w:r>
          </w:p>
          <w:p w14:paraId="7B5B90D8">
            <w:pPr>
              <w:keepNext w:val="0"/>
              <w:keepLines w:val="0"/>
              <w:pageBreakBefore w:val="0"/>
              <w:widowControl/>
              <w:kinsoku/>
              <w:wordWrap/>
              <w:overflowPunct/>
              <w:topLinePunct w:val="0"/>
              <w:autoSpaceDE/>
              <w:autoSpaceDN/>
              <w:bidi w:val="0"/>
              <w:snapToGrid/>
              <w:spacing w:line="38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专项</w:t>
            </w:r>
            <w:r>
              <w:rPr>
                <w:rFonts w:hint="eastAsia" w:ascii="宋体" w:hAnsi="宋体" w:cs="宋体"/>
                <w:color w:val="auto"/>
                <w:sz w:val="21"/>
                <w:szCs w:val="21"/>
                <w:lang w:val="en-US" w:eastAsia="zh-CN"/>
              </w:rPr>
              <w:t>团队</w:t>
            </w:r>
            <w:r>
              <w:rPr>
                <w:rFonts w:hint="eastAsia" w:ascii="宋体" w:hAnsi="宋体" w:eastAsia="宋体" w:cs="宋体"/>
                <w:color w:val="auto"/>
                <w:sz w:val="21"/>
                <w:szCs w:val="21"/>
                <w:lang w:val="en-US" w:eastAsia="zh-CN"/>
              </w:rPr>
              <w:t>服务</w:t>
            </w:r>
            <w:r>
              <w:rPr>
                <w:rFonts w:hint="eastAsia" w:ascii="宋体" w:hAnsi="宋体" w:cs="宋体"/>
                <w:color w:val="auto"/>
                <w:sz w:val="21"/>
                <w:szCs w:val="21"/>
                <w:lang w:val="en-US" w:eastAsia="zh-CN"/>
              </w:rPr>
              <w:t>一般</w:t>
            </w:r>
            <w:r>
              <w:rPr>
                <w:rFonts w:hint="eastAsia" w:ascii="宋体" w:hAnsi="宋体" w:eastAsia="宋体" w:cs="宋体"/>
                <w:color w:val="auto"/>
                <w:sz w:val="21"/>
                <w:szCs w:val="21"/>
                <w:lang w:val="en-US" w:eastAsia="zh-CN"/>
              </w:rPr>
              <w:t>，团队人员配置不合理、可行性有所欠缺得</w:t>
            </w: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en-US" w:eastAsia="zh-CN"/>
              </w:rPr>
              <w:t>分；</w:t>
            </w:r>
          </w:p>
          <w:p w14:paraId="1D97D188">
            <w:pPr>
              <w:keepNext w:val="0"/>
              <w:keepLines w:val="0"/>
              <w:pageBreakBefore w:val="0"/>
              <w:widowControl/>
              <w:kinsoku/>
              <w:wordWrap/>
              <w:overflowPunct/>
              <w:topLinePunct w:val="0"/>
              <w:autoSpaceDE/>
              <w:autoSpaceDN/>
              <w:bidi w:val="0"/>
              <w:snapToGrid/>
              <w:spacing w:line="38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未提供承诺不得分。</w:t>
            </w:r>
          </w:p>
        </w:tc>
        <w:tc>
          <w:tcPr>
            <w:tcW w:w="2153" w:type="dxa"/>
            <w:tcBorders>
              <w:top w:val="nil"/>
              <w:left w:val="nil"/>
              <w:bottom w:val="single" w:color="auto" w:sz="4" w:space="0"/>
              <w:right w:val="single" w:color="auto" w:sz="4" w:space="0"/>
            </w:tcBorders>
            <w:noWrap w:val="0"/>
            <w:vAlign w:val="center"/>
          </w:tcPr>
          <w:p w14:paraId="0E7F9551">
            <w:pPr>
              <w:keepNext w:val="0"/>
              <w:keepLines w:val="0"/>
              <w:pageBreakBefore w:val="0"/>
              <w:kinsoku/>
              <w:wordWrap/>
              <w:overflowPunct/>
              <w:topLinePunct w:val="0"/>
              <w:autoSpaceDE/>
              <w:autoSpaceDN/>
              <w:bidi w:val="0"/>
              <w:adjustRightInd w:val="0"/>
              <w:snapToGrid/>
              <w:spacing w:line="38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需提供相应承诺并盖供应商公章，不提供不得分。</w:t>
            </w:r>
          </w:p>
        </w:tc>
      </w:tr>
      <w:tr w14:paraId="155F6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498" w:type="dxa"/>
            <w:vMerge w:val="continue"/>
            <w:noWrap w:val="0"/>
            <w:vAlign w:val="center"/>
          </w:tcPr>
          <w:p w14:paraId="63E7E863">
            <w:pPr>
              <w:adjustRightInd w:val="0"/>
              <w:snapToGrid w:val="0"/>
              <w:spacing w:line="324" w:lineRule="auto"/>
              <w:jc w:val="left"/>
              <w:rPr>
                <w:rFonts w:hint="eastAsia" w:ascii="宋体" w:hAnsi="宋体" w:eastAsia="宋体" w:cs="宋体"/>
                <w:b/>
                <w:sz w:val="21"/>
                <w:szCs w:val="21"/>
              </w:rPr>
            </w:pPr>
          </w:p>
        </w:tc>
        <w:tc>
          <w:tcPr>
            <w:tcW w:w="1028" w:type="dxa"/>
            <w:vMerge w:val="continue"/>
            <w:noWrap w:val="0"/>
            <w:vAlign w:val="center"/>
          </w:tcPr>
          <w:p w14:paraId="012C04EC">
            <w:pPr>
              <w:adjustRightInd w:val="0"/>
              <w:snapToGrid w:val="0"/>
              <w:spacing w:line="324" w:lineRule="auto"/>
              <w:jc w:val="center"/>
              <w:rPr>
                <w:rFonts w:hint="eastAsia" w:ascii="宋体" w:hAnsi="宋体" w:eastAsia="宋体" w:cs="宋体"/>
                <w:sz w:val="21"/>
                <w:szCs w:val="21"/>
              </w:rPr>
            </w:pPr>
          </w:p>
        </w:tc>
        <w:tc>
          <w:tcPr>
            <w:tcW w:w="743" w:type="dxa"/>
            <w:vMerge w:val="continue"/>
            <w:noWrap w:val="0"/>
            <w:vAlign w:val="center"/>
          </w:tcPr>
          <w:p w14:paraId="4B73A9EF">
            <w:pPr>
              <w:widowControl/>
              <w:adjustRightInd w:val="0"/>
              <w:snapToGrid w:val="0"/>
              <w:spacing w:line="324" w:lineRule="auto"/>
              <w:jc w:val="center"/>
              <w:rPr>
                <w:rFonts w:hint="eastAsia" w:ascii="宋体" w:hAnsi="宋体" w:eastAsia="宋体" w:cs="宋体"/>
                <w:sz w:val="21"/>
                <w:szCs w:val="21"/>
              </w:rPr>
            </w:pPr>
          </w:p>
        </w:tc>
        <w:tc>
          <w:tcPr>
            <w:tcW w:w="900" w:type="dxa"/>
            <w:noWrap w:val="0"/>
            <w:vAlign w:val="center"/>
          </w:tcPr>
          <w:p w14:paraId="0E17C9B1">
            <w:pPr>
              <w:widowControl/>
              <w:adjustRightInd w:val="0"/>
              <w:snapToGrid w:val="0"/>
              <w:spacing w:line="360" w:lineRule="exact"/>
              <w:jc w:val="center"/>
              <w:rPr>
                <w:rFonts w:hint="default" w:ascii="宋体" w:hAnsi="宋体" w:eastAsia="宋体" w:cs="宋体"/>
                <w:color w:val="C0504D" w:themeColor="accent2"/>
                <w:sz w:val="21"/>
                <w:szCs w:val="21"/>
                <w:lang w:val="en-US" w:eastAsia="zh-CN"/>
                <w14:textFill>
                  <w14:solidFill>
                    <w14:schemeClr w14:val="accent2"/>
                  </w14:solidFill>
                </w14:textFill>
              </w:rPr>
            </w:pPr>
            <w:r>
              <w:rPr>
                <w:rFonts w:hint="eastAsia" w:ascii="宋体" w:hAnsi="宋体" w:cs="宋体"/>
                <w:color w:val="auto"/>
                <w:sz w:val="21"/>
                <w:szCs w:val="21"/>
                <w:lang w:val="en-US" w:eastAsia="zh-CN"/>
              </w:rPr>
              <w:t>12</w:t>
            </w:r>
          </w:p>
        </w:tc>
        <w:tc>
          <w:tcPr>
            <w:tcW w:w="2145" w:type="dxa"/>
            <w:noWrap w:val="0"/>
            <w:vAlign w:val="center"/>
          </w:tcPr>
          <w:p w14:paraId="5D4D94D2">
            <w:pPr>
              <w:keepNext w:val="0"/>
              <w:keepLines w:val="0"/>
              <w:pageBreakBefore w:val="0"/>
              <w:kinsoku/>
              <w:wordWrap/>
              <w:overflowPunct/>
              <w:topLinePunct w:val="0"/>
              <w:autoSpaceDE/>
              <w:autoSpaceDN/>
              <w:bidi w:val="0"/>
              <w:adjustRightInd w:val="0"/>
              <w:snapToGrid/>
              <w:spacing w:line="38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理赔服务</w:t>
            </w:r>
            <w:r>
              <w:rPr>
                <w:rFonts w:hint="eastAsia" w:ascii="宋体" w:hAnsi="宋体" w:cs="宋体"/>
                <w:sz w:val="21"/>
                <w:szCs w:val="21"/>
                <w:lang w:val="en-US" w:eastAsia="zh-CN"/>
              </w:rPr>
              <w:t>方案</w:t>
            </w:r>
          </w:p>
        </w:tc>
        <w:tc>
          <w:tcPr>
            <w:tcW w:w="3430" w:type="dxa"/>
            <w:tcBorders>
              <w:top w:val="single" w:color="auto" w:sz="4" w:space="0"/>
              <w:left w:val="nil"/>
              <w:bottom w:val="single" w:color="auto" w:sz="4" w:space="0"/>
              <w:right w:val="single" w:color="000000" w:sz="4" w:space="0"/>
            </w:tcBorders>
            <w:noWrap w:val="0"/>
            <w:vAlign w:val="center"/>
          </w:tcPr>
          <w:p w14:paraId="3DB08C51">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根据供应商在磋商方案中陈述的</w:t>
            </w:r>
            <w:r>
              <w:rPr>
                <w:rFonts w:hint="eastAsia" w:ascii="宋体" w:hAnsi="宋体" w:cs="宋体"/>
                <w:sz w:val="21"/>
                <w:szCs w:val="21"/>
                <w:lang w:val="en-US" w:eastAsia="zh-CN"/>
              </w:rPr>
              <w:t>理赔服务保障措施、</w:t>
            </w:r>
            <w:r>
              <w:rPr>
                <w:rFonts w:hint="eastAsia" w:ascii="宋体" w:hAnsi="宋体" w:eastAsia="宋体" w:cs="宋体"/>
                <w:sz w:val="21"/>
                <w:szCs w:val="21"/>
                <w:lang w:val="en-US" w:eastAsia="zh-CN"/>
              </w:rPr>
              <w:t>提高理赔满意度、争议处理的保障措施及有效投诉的处罚措施和标准的进行打分。</w:t>
            </w:r>
          </w:p>
          <w:p w14:paraId="189BA188">
            <w:pPr>
              <w:pStyle w:val="9"/>
              <w:keepNext w:val="0"/>
              <w:keepLines w:val="0"/>
              <w:pageBreakBefore w:val="0"/>
              <w:widowControl w:val="0"/>
              <w:kinsoku/>
              <w:wordWrap/>
              <w:overflowPunct/>
              <w:topLinePunct w:val="0"/>
              <w:autoSpaceDE/>
              <w:autoSpaceDN/>
              <w:bidi w:val="0"/>
              <w:snapToGrid/>
              <w:spacing w:before="0" w:after="0" w:line="380" w:lineRule="exact"/>
              <w:ind w:firstLine="420" w:firstLineChars="200"/>
              <w:textAlignment w:val="auto"/>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t>方案合理有效、保证措施完整、对有效投诉处理措施和标准合理且有针对性得12分；</w:t>
            </w:r>
          </w:p>
          <w:p w14:paraId="26EA685A">
            <w:pPr>
              <w:pStyle w:val="9"/>
              <w:keepNext w:val="0"/>
              <w:keepLines w:val="0"/>
              <w:pageBreakBefore w:val="0"/>
              <w:widowControl w:val="0"/>
              <w:kinsoku/>
              <w:wordWrap/>
              <w:overflowPunct/>
              <w:topLinePunct w:val="0"/>
              <w:autoSpaceDE/>
              <w:autoSpaceDN/>
              <w:bidi w:val="0"/>
              <w:snapToGrid/>
              <w:spacing w:before="0" w:after="0" w:line="380" w:lineRule="exact"/>
              <w:ind w:firstLine="420" w:firstLineChars="200"/>
              <w:textAlignment w:val="auto"/>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t>方案较为合理、保证措施较完整、对有效投诉处理措施和标准较合理且针对性一般得8分；</w:t>
            </w:r>
          </w:p>
          <w:p w14:paraId="307E6B1F">
            <w:pPr>
              <w:pStyle w:val="9"/>
              <w:keepNext w:val="0"/>
              <w:keepLines w:val="0"/>
              <w:pageBreakBefore w:val="0"/>
              <w:widowControl w:val="0"/>
              <w:kinsoku/>
              <w:wordWrap/>
              <w:overflowPunct/>
              <w:topLinePunct w:val="0"/>
              <w:autoSpaceDE/>
              <w:autoSpaceDN/>
              <w:bidi w:val="0"/>
              <w:snapToGrid/>
              <w:spacing w:before="0" w:after="0" w:line="380" w:lineRule="exact"/>
              <w:ind w:firstLine="420" w:firstLineChars="200"/>
              <w:textAlignment w:val="auto"/>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t>方案合理性一般、保证措施合不完整、对有效投诉处理措施和标准合理性一般且针对性不强得4分；</w:t>
            </w:r>
          </w:p>
          <w:p w14:paraId="2989C679">
            <w:pPr>
              <w:keepNext w:val="0"/>
              <w:keepLines w:val="0"/>
              <w:pageBreakBefore w:val="0"/>
              <w:widowControl w:val="0"/>
              <w:kinsoku/>
              <w:wordWrap/>
              <w:overflowPunct/>
              <w:topLinePunct w:val="0"/>
              <w:autoSpaceDE/>
              <w:autoSpaceDN/>
              <w:bidi w:val="0"/>
              <w:snapToGrid/>
              <w:spacing w:line="380" w:lineRule="exact"/>
              <w:ind w:firstLine="420" w:firstLineChars="200"/>
              <w:textAlignment w:val="auto"/>
              <w:rPr>
                <w:rFonts w:hint="default"/>
                <w:lang w:val="en-US" w:eastAsia="zh-CN"/>
              </w:rPr>
            </w:pPr>
            <w:r>
              <w:rPr>
                <w:rFonts w:hint="eastAsia" w:ascii="宋体" w:hAnsi="宋体" w:eastAsia="宋体" w:cs="宋体"/>
                <w:sz w:val="21"/>
                <w:szCs w:val="21"/>
                <w:lang w:val="en-US" w:eastAsia="zh-CN"/>
              </w:rPr>
              <w:t>未提供承诺不得分。</w:t>
            </w:r>
          </w:p>
        </w:tc>
        <w:tc>
          <w:tcPr>
            <w:tcW w:w="2153" w:type="dxa"/>
            <w:tcBorders>
              <w:top w:val="nil"/>
              <w:left w:val="nil"/>
              <w:bottom w:val="single" w:color="auto" w:sz="4" w:space="0"/>
              <w:right w:val="single" w:color="auto" w:sz="4" w:space="0"/>
            </w:tcBorders>
            <w:noWrap w:val="0"/>
            <w:vAlign w:val="center"/>
          </w:tcPr>
          <w:p w14:paraId="6BBD6EED">
            <w:pPr>
              <w:keepNext w:val="0"/>
              <w:keepLines w:val="0"/>
              <w:pageBreakBefore w:val="0"/>
              <w:kinsoku/>
              <w:wordWrap/>
              <w:overflowPunct/>
              <w:topLinePunct w:val="0"/>
              <w:autoSpaceDE/>
              <w:autoSpaceDN/>
              <w:bidi w:val="0"/>
              <w:adjustRightInd w:val="0"/>
              <w:snapToGrid/>
              <w:spacing w:line="38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需提供相应理赔</w:t>
            </w:r>
            <w:r>
              <w:rPr>
                <w:rFonts w:hint="eastAsia" w:ascii="宋体" w:hAnsi="宋体" w:cs="宋体"/>
                <w:sz w:val="21"/>
                <w:szCs w:val="21"/>
                <w:lang w:val="en-US" w:eastAsia="zh-CN"/>
              </w:rPr>
              <w:t>服务方案</w:t>
            </w:r>
            <w:r>
              <w:rPr>
                <w:rFonts w:hint="eastAsia" w:ascii="宋体" w:hAnsi="宋体" w:eastAsia="宋体" w:cs="宋体"/>
                <w:sz w:val="21"/>
                <w:szCs w:val="21"/>
                <w:lang w:val="en-US" w:eastAsia="zh-CN"/>
              </w:rPr>
              <w:t>并盖供应商公章，不提供不得分。</w:t>
            </w:r>
          </w:p>
        </w:tc>
      </w:tr>
      <w:tr w14:paraId="1D50B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98" w:type="dxa"/>
            <w:vMerge w:val="continue"/>
            <w:noWrap w:val="0"/>
            <w:vAlign w:val="center"/>
          </w:tcPr>
          <w:p w14:paraId="21AC64DC">
            <w:pPr>
              <w:adjustRightInd w:val="0"/>
              <w:snapToGrid w:val="0"/>
              <w:spacing w:line="324" w:lineRule="auto"/>
              <w:jc w:val="left"/>
              <w:rPr>
                <w:rFonts w:hint="eastAsia" w:ascii="宋体" w:hAnsi="宋体" w:eastAsia="宋体" w:cs="宋体"/>
                <w:b/>
                <w:sz w:val="21"/>
                <w:szCs w:val="21"/>
              </w:rPr>
            </w:pPr>
          </w:p>
        </w:tc>
        <w:tc>
          <w:tcPr>
            <w:tcW w:w="1028" w:type="dxa"/>
            <w:vMerge w:val="continue"/>
            <w:noWrap w:val="0"/>
            <w:vAlign w:val="center"/>
          </w:tcPr>
          <w:p w14:paraId="47430D01">
            <w:pPr>
              <w:adjustRightInd w:val="0"/>
              <w:snapToGrid w:val="0"/>
              <w:spacing w:line="324" w:lineRule="auto"/>
              <w:jc w:val="center"/>
              <w:rPr>
                <w:rFonts w:hint="eastAsia" w:ascii="宋体" w:hAnsi="宋体" w:eastAsia="宋体" w:cs="宋体"/>
                <w:sz w:val="21"/>
                <w:szCs w:val="21"/>
              </w:rPr>
            </w:pPr>
          </w:p>
        </w:tc>
        <w:tc>
          <w:tcPr>
            <w:tcW w:w="743" w:type="dxa"/>
            <w:vMerge w:val="continue"/>
            <w:noWrap w:val="0"/>
            <w:vAlign w:val="center"/>
          </w:tcPr>
          <w:p w14:paraId="3BC3A883">
            <w:pPr>
              <w:widowControl/>
              <w:adjustRightInd w:val="0"/>
              <w:snapToGrid w:val="0"/>
              <w:spacing w:line="324" w:lineRule="auto"/>
              <w:jc w:val="center"/>
              <w:rPr>
                <w:rFonts w:hint="eastAsia" w:ascii="宋体" w:hAnsi="宋体" w:eastAsia="宋体" w:cs="宋体"/>
                <w:sz w:val="21"/>
                <w:szCs w:val="21"/>
              </w:rPr>
            </w:pPr>
          </w:p>
        </w:tc>
        <w:tc>
          <w:tcPr>
            <w:tcW w:w="900" w:type="dxa"/>
            <w:noWrap w:val="0"/>
            <w:vAlign w:val="center"/>
          </w:tcPr>
          <w:p w14:paraId="7678EF88">
            <w:pPr>
              <w:widowControl/>
              <w:adjustRightInd w:val="0"/>
              <w:snapToGrid w:val="0"/>
              <w:spacing w:line="360" w:lineRule="exact"/>
              <w:jc w:val="center"/>
              <w:rPr>
                <w:rFonts w:hint="default" w:ascii="宋体" w:hAnsi="宋体" w:eastAsia="宋体" w:cs="宋体"/>
                <w:kern w:val="2"/>
                <w:sz w:val="21"/>
                <w:szCs w:val="21"/>
                <w:lang w:val="en-US" w:eastAsia="zh-CN" w:bidi="ar-SA"/>
              </w:rPr>
            </w:pPr>
            <w:r>
              <w:rPr>
                <w:rFonts w:hint="eastAsia" w:ascii="宋体" w:hAnsi="宋体" w:cs="宋体"/>
                <w:color w:val="auto"/>
                <w:sz w:val="21"/>
                <w:szCs w:val="21"/>
                <w:lang w:val="en-US" w:eastAsia="zh-CN"/>
              </w:rPr>
              <w:t>10</w:t>
            </w:r>
          </w:p>
        </w:tc>
        <w:tc>
          <w:tcPr>
            <w:tcW w:w="2145" w:type="dxa"/>
            <w:noWrap w:val="0"/>
            <w:vAlign w:val="center"/>
          </w:tcPr>
          <w:p w14:paraId="30A9E80C">
            <w:pPr>
              <w:keepNext w:val="0"/>
              <w:keepLines w:val="0"/>
              <w:pageBreakBefore w:val="0"/>
              <w:widowControl/>
              <w:kinsoku/>
              <w:wordWrap/>
              <w:overflowPunct/>
              <w:topLinePunct w:val="0"/>
              <w:autoSpaceDE/>
              <w:autoSpaceDN/>
              <w:bidi w:val="0"/>
              <w:adjustRightInd w:val="0"/>
              <w:snapToGrid/>
              <w:spacing w:line="38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保全服务能力</w:t>
            </w:r>
          </w:p>
        </w:tc>
        <w:tc>
          <w:tcPr>
            <w:tcW w:w="3430" w:type="dxa"/>
            <w:tcBorders>
              <w:top w:val="single" w:color="auto" w:sz="4" w:space="0"/>
              <w:left w:val="nil"/>
              <w:bottom w:val="single" w:color="auto" w:sz="4" w:space="0"/>
              <w:right w:val="single" w:color="000000" w:sz="4" w:space="0"/>
            </w:tcBorders>
            <w:noWrap w:val="0"/>
            <w:vAlign w:val="center"/>
          </w:tcPr>
          <w:p w14:paraId="74739C67">
            <w:pPr>
              <w:keepNext w:val="0"/>
              <w:keepLines w:val="0"/>
              <w:pageBreakBefore w:val="0"/>
              <w:widowControl/>
              <w:kinsoku/>
              <w:wordWrap/>
              <w:overflowPunct/>
              <w:topLinePunct w:val="0"/>
              <w:autoSpaceDE/>
              <w:autoSpaceDN/>
              <w:bidi w:val="0"/>
              <w:adjustRightInd w:val="0"/>
              <w:snapToGrid/>
              <w:spacing w:line="38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（1）使用自有系统平台提供网上人员变更，提供快捷便利的服务体验,可实时加减人员得</w:t>
            </w:r>
            <w:r>
              <w:rPr>
                <w:rFonts w:hint="eastAsia" w:ascii="宋体" w:hAnsi="宋体" w:eastAsia="宋体" w:cs="宋体"/>
                <w:sz w:val="21"/>
                <w:szCs w:val="21"/>
                <w:lang w:val="en-US" w:eastAsia="zh-CN"/>
              </w:rPr>
              <w:t>2</w:t>
            </w:r>
            <w:r>
              <w:rPr>
                <w:rFonts w:hint="eastAsia" w:ascii="宋体" w:hAnsi="宋体" w:eastAsia="宋体" w:cs="宋体"/>
                <w:sz w:val="21"/>
                <w:szCs w:val="21"/>
              </w:rPr>
              <w:t>分；不能提供的不得分</w:t>
            </w:r>
          </w:p>
          <w:p w14:paraId="4EA93D11">
            <w:pPr>
              <w:keepNext w:val="0"/>
              <w:keepLines w:val="0"/>
              <w:pageBreakBefore w:val="0"/>
              <w:widowControl/>
              <w:kinsoku/>
              <w:wordWrap/>
              <w:overflowPunct/>
              <w:topLinePunct w:val="0"/>
              <w:autoSpaceDE/>
              <w:autoSpaceDN/>
              <w:bidi w:val="0"/>
              <w:adjustRightInd w:val="0"/>
              <w:snapToGrid/>
              <w:spacing w:line="38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（2）使用自有系统平台提供网上人员变更，提供定期月结服务得2分；不能提供的不得分</w:t>
            </w:r>
          </w:p>
          <w:p w14:paraId="16ECFCF0">
            <w:pPr>
              <w:keepNext w:val="0"/>
              <w:keepLines w:val="0"/>
              <w:pageBreakBefore w:val="0"/>
              <w:widowControl/>
              <w:kinsoku/>
              <w:wordWrap/>
              <w:overflowPunct/>
              <w:topLinePunct w:val="0"/>
              <w:autoSpaceDE/>
              <w:autoSpaceDN/>
              <w:bidi w:val="0"/>
              <w:adjustRightInd w:val="0"/>
              <w:snapToGrid/>
              <w:spacing w:line="38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）同时能使用自有系统平台（包括微信）提供自助理赔，得2分；没有自有自助理赔的而需借助第三方平台提供自助理赔，得1分；不能提供自助理赔：得0分；</w:t>
            </w:r>
          </w:p>
          <w:p w14:paraId="5DA8857A">
            <w:pPr>
              <w:keepNext w:val="0"/>
              <w:keepLines w:val="0"/>
              <w:pageBreakBefore w:val="0"/>
              <w:widowControl/>
              <w:kinsoku/>
              <w:wordWrap/>
              <w:overflowPunct/>
              <w:topLinePunct w:val="0"/>
              <w:autoSpaceDE/>
              <w:autoSpaceDN/>
              <w:bidi w:val="0"/>
              <w:adjustRightInd w:val="0"/>
              <w:snapToGrid/>
              <w:spacing w:line="38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4）能</w:t>
            </w:r>
            <w:r>
              <w:rPr>
                <w:rFonts w:hint="eastAsia" w:ascii="宋体" w:hAnsi="宋体" w:eastAsia="宋体" w:cs="宋体"/>
                <w:sz w:val="21"/>
                <w:szCs w:val="21"/>
              </w:rPr>
              <w:t>通过手机端自助查询理赔进度及结果</w:t>
            </w:r>
            <w:r>
              <w:rPr>
                <w:rFonts w:hint="eastAsia" w:ascii="宋体" w:hAnsi="宋体" w:eastAsia="宋体" w:cs="宋体"/>
                <w:sz w:val="21"/>
                <w:szCs w:val="21"/>
                <w:lang w:val="en-US" w:eastAsia="zh-CN"/>
              </w:rPr>
              <w:t>的</w:t>
            </w:r>
            <w:r>
              <w:rPr>
                <w:rFonts w:hint="eastAsia" w:ascii="宋体" w:hAnsi="宋体" w:eastAsia="宋体" w:cs="宋体"/>
                <w:sz w:val="21"/>
                <w:szCs w:val="21"/>
              </w:rPr>
              <w:t>得</w:t>
            </w:r>
            <w:r>
              <w:rPr>
                <w:rFonts w:hint="eastAsia" w:ascii="宋体" w:hAnsi="宋体" w:eastAsia="宋体" w:cs="宋体"/>
                <w:sz w:val="21"/>
                <w:szCs w:val="21"/>
                <w:lang w:val="en-US" w:eastAsia="zh-CN"/>
              </w:rPr>
              <w:t>4</w:t>
            </w:r>
            <w:r>
              <w:rPr>
                <w:rFonts w:hint="eastAsia" w:ascii="宋体" w:hAnsi="宋体" w:eastAsia="宋体" w:cs="宋体"/>
                <w:sz w:val="21"/>
                <w:szCs w:val="21"/>
              </w:rPr>
              <w:t>分；通过手机端只能够自助查询理赔结果得</w:t>
            </w:r>
            <w:r>
              <w:rPr>
                <w:rFonts w:hint="eastAsia" w:ascii="宋体" w:hAnsi="宋体" w:eastAsia="宋体" w:cs="宋体"/>
                <w:sz w:val="21"/>
                <w:szCs w:val="21"/>
                <w:lang w:val="en-US" w:eastAsia="zh-CN"/>
              </w:rPr>
              <w:t>2</w:t>
            </w:r>
            <w:r>
              <w:rPr>
                <w:rFonts w:hint="eastAsia" w:ascii="宋体" w:hAnsi="宋体" w:eastAsia="宋体" w:cs="宋体"/>
                <w:sz w:val="21"/>
                <w:szCs w:val="21"/>
              </w:rPr>
              <w:t>分；不能通过手机端查询理赔进度及结果</w:t>
            </w:r>
            <w:r>
              <w:rPr>
                <w:rFonts w:hint="eastAsia" w:ascii="宋体" w:hAnsi="宋体" w:eastAsia="宋体" w:cs="宋体"/>
                <w:sz w:val="21"/>
                <w:szCs w:val="21"/>
                <w:lang w:val="en-US" w:eastAsia="zh-CN"/>
              </w:rPr>
              <w:t>不得分</w:t>
            </w:r>
            <w:r>
              <w:rPr>
                <w:rFonts w:hint="eastAsia" w:ascii="宋体" w:hAnsi="宋体" w:eastAsia="宋体" w:cs="宋体"/>
                <w:sz w:val="21"/>
                <w:szCs w:val="21"/>
              </w:rPr>
              <w:t>；</w:t>
            </w:r>
          </w:p>
        </w:tc>
        <w:tc>
          <w:tcPr>
            <w:tcW w:w="2153" w:type="dxa"/>
            <w:tcBorders>
              <w:top w:val="nil"/>
              <w:left w:val="nil"/>
              <w:bottom w:val="single" w:color="auto" w:sz="4" w:space="0"/>
              <w:right w:val="single" w:color="auto" w:sz="4" w:space="0"/>
            </w:tcBorders>
            <w:noWrap w:val="0"/>
            <w:vAlign w:val="center"/>
          </w:tcPr>
          <w:p w14:paraId="1F3C5AD4">
            <w:pPr>
              <w:keepNext w:val="0"/>
              <w:keepLines w:val="0"/>
              <w:pageBreakBefore w:val="0"/>
              <w:widowControl/>
              <w:kinsoku/>
              <w:wordWrap/>
              <w:overflowPunct/>
              <w:topLinePunct w:val="0"/>
              <w:autoSpaceDE/>
              <w:autoSpaceDN/>
              <w:bidi w:val="0"/>
              <w:adjustRightInd w:val="0"/>
              <w:snapToGrid/>
              <w:spacing w:line="38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提供网上平台截图等证明材料，所提供的材料未能反映相关数据的，视为未提供，网上加减人员定期月结提供承诺书</w:t>
            </w:r>
          </w:p>
        </w:tc>
      </w:tr>
      <w:tr w14:paraId="2D347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526" w:type="dxa"/>
            <w:gridSpan w:val="2"/>
            <w:noWrap w:val="0"/>
            <w:vAlign w:val="center"/>
          </w:tcPr>
          <w:p w14:paraId="67BE0A43">
            <w:pPr>
              <w:widowControl/>
              <w:adjustRightInd w:val="0"/>
              <w:snapToGrid w:val="0"/>
              <w:spacing w:line="324" w:lineRule="auto"/>
              <w:jc w:val="center"/>
              <w:rPr>
                <w:rFonts w:hint="eastAsia" w:ascii="宋体" w:hAnsi="宋体" w:eastAsia="宋体" w:cs="宋体"/>
                <w:sz w:val="21"/>
                <w:szCs w:val="21"/>
              </w:rPr>
            </w:pPr>
            <w:r>
              <w:rPr>
                <w:rFonts w:hint="eastAsia" w:ascii="宋体" w:hAnsi="宋体" w:eastAsia="宋体" w:cs="宋体"/>
                <w:sz w:val="21"/>
                <w:szCs w:val="21"/>
              </w:rPr>
              <w:t>小计</w:t>
            </w:r>
          </w:p>
        </w:tc>
        <w:tc>
          <w:tcPr>
            <w:tcW w:w="743" w:type="dxa"/>
            <w:noWrap w:val="0"/>
            <w:vAlign w:val="center"/>
          </w:tcPr>
          <w:p w14:paraId="37829E30">
            <w:pPr>
              <w:widowControl/>
              <w:adjustRightInd w:val="0"/>
              <w:snapToGrid w:val="0"/>
              <w:spacing w:line="324"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0分</w:t>
            </w:r>
          </w:p>
        </w:tc>
        <w:tc>
          <w:tcPr>
            <w:tcW w:w="900" w:type="dxa"/>
            <w:noWrap w:val="0"/>
            <w:vAlign w:val="center"/>
          </w:tcPr>
          <w:p w14:paraId="64C7F621">
            <w:pPr>
              <w:widowControl/>
              <w:adjustRightInd w:val="0"/>
              <w:snapToGrid w:val="0"/>
              <w:spacing w:line="360" w:lineRule="exact"/>
              <w:jc w:val="center"/>
              <w:rPr>
                <w:rFonts w:hint="eastAsia" w:ascii="宋体" w:hAnsi="宋体" w:eastAsia="宋体" w:cs="宋体"/>
                <w:sz w:val="21"/>
                <w:szCs w:val="21"/>
              </w:rPr>
            </w:pPr>
          </w:p>
        </w:tc>
        <w:tc>
          <w:tcPr>
            <w:tcW w:w="2145" w:type="dxa"/>
            <w:noWrap w:val="0"/>
            <w:vAlign w:val="center"/>
          </w:tcPr>
          <w:p w14:paraId="42697409">
            <w:pPr>
              <w:widowControl/>
              <w:adjustRightInd w:val="0"/>
              <w:snapToGrid w:val="0"/>
              <w:spacing w:line="360" w:lineRule="exact"/>
              <w:jc w:val="left"/>
              <w:rPr>
                <w:rFonts w:hint="eastAsia" w:ascii="宋体" w:hAnsi="宋体" w:eastAsia="宋体" w:cs="宋体"/>
                <w:sz w:val="21"/>
                <w:szCs w:val="21"/>
              </w:rPr>
            </w:pPr>
          </w:p>
        </w:tc>
        <w:tc>
          <w:tcPr>
            <w:tcW w:w="3430" w:type="dxa"/>
            <w:tcBorders>
              <w:top w:val="single" w:color="auto" w:sz="4" w:space="0"/>
              <w:left w:val="nil"/>
              <w:bottom w:val="single" w:color="auto" w:sz="4" w:space="0"/>
              <w:right w:val="single" w:color="000000" w:sz="4" w:space="0"/>
            </w:tcBorders>
            <w:noWrap w:val="0"/>
            <w:vAlign w:val="center"/>
          </w:tcPr>
          <w:p w14:paraId="132BA662">
            <w:pPr>
              <w:widowControl/>
              <w:adjustRightInd w:val="0"/>
              <w:snapToGrid w:val="0"/>
              <w:spacing w:line="360" w:lineRule="exact"/>
              <w:jc w:val="left"/>
              <w:rPr>
                <w:rFonts w:hint="eastAsia" w:ascii="宋体" w:hAnsi="宋体" w:eastAsia="宋体" w:cs="宋体"/>
                <w:sz w:val="21"/>
                <w:szCs w:val="21"/>
              </w:rPr>
            </w:pPr>
          </w:p>
        </w:tc>
        <w:tc>
          <w:tcPr>
            <w:tcW w:w="2153" w:type="dxa"/>
            <w:tcBorders>
              <w:top w:val="single" w:color="auto" w:sz="4" w:space="0"/>
              <w:left w:val="nil"/>
              <w:bottom w:val="single" w:color="auto" w:sz="4" w:space="0"/>
              <w:right w:val="single" w:color="auto" w:sz="4" w:space="0"/>
            </w:tcBorders>
            <w:noWrap w:val="0"/>
            <w:vAlign w:val="center"/>
          </w:tcPr>
          <w:p w14:paraId="17CE849E">
            <w:pPr>
              <w:widowControl/>
              <w:adjustRightInd w:val="0"/>
              <w:snapToGrid w:val="0"/>
              <w:spacing w:line="360" w:lineRule="exact"/>
              <w:jc w:val="left"/>
              <w:rPr>
                <w:rFonts w:hint="eastAsia" w:ascii="宋体" w:hAnsi="宋体" w:eastAsia="宋体" w:cs="宋体"/>
                <w:sz w:val="21"/>
                <w:szCs w:val="21"/>
              </w:rPr>
            </w:pPr>
          </w:p>
        </w:tc>
      </w:tr>
    </w:tbl>
    <w:p w14:paraId="4F8D50F2">
      <w:pPr>
        <w:pStyle w:val="52"/>
        <w:widowControl/>
        <w:shd w:val="clear" w:color="auto" w:fill="FFFFFF"/>
        <w:spacing w:before="0" w:beforeAutospacing="0" w:after="0" w:afterAutospacing="0" w:line="360" w:lineRule="auto"/>
        <w:ind w:firstLine="482"/>
        <w:jc w:val="both"/>
        <w:rPr>
          <w:rFonts w:ascii="Times New Roman" w:hAnsi="Times New Roman" w:cs="宋体"/>
          <w:b/>
          <w:bCs/>
          <w:szCs w:val="24"/>
          <w:shd w:val="clear" w:color="auto" w:fill="FFFFFF"/>
          <w:lang w:eastAsia="zh-CN"/>
        </w:rPr>
      </w:pPr>
    </w:p>
    <w:p w14:paraId="0DC6B24A">
      <w:pPr>
        <w:pStyle w:val="52"/>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440" w:lineRule="exact"/>
        <w:ind w:firstLine="482" w:firstLineChars="200"/>
        <w:jc w:val="both"/>
        <w:textAlignment w:val="auto"/>
        <w:rPr>
          <w:rFonts w:ascii="Times New Roman" w:hAnsi="Times New Roman" w:cs="宋体"/>
          <w:b/>
          <w:szCs w:val="24"/>
          <w:lang w:eastAsia="zh-CN"/>
        </w:rPr>
      </w:pPr>
      <w:r>
        <w:rPr>
          <w:rFonts w:hint="eastAsia" w:ascii="Times New Roman" w:hAnsi="Times New Roman" w:cs="宋体"/>
          <w:b/>
          <w:szCs w:val="24"/>
          <w:lang w:eastAsia="zh-CN"/>
        </w:rPr>
        <w:t>注：以上所提供材料必须真实可靠，伪造证书证件、伪造合同、伪造发票等一切弄虚作假行为，一经发现和查实（含在本项目合同履行期间被查实），采购方有权取消成交资格或终止合同。</w:t>
      </w:r>
    </w:p>
    <w:p w14:paraId="2AEB4D89">
      <w:pPr>
        <w:pStyle w:val="52"/>
        <w:keepNext w:val="0"/>
        <w:keepLines w:val="0"/>
        <w:pageBreakBefore w:val="0"/>
        <w:widowControl/>
        <w:numPr>
          <w:ilvl w:val="0"/>
          <w:numId w:val="0"/>
        </w:numPr>
        <w:shd w:val="clear" w:color="auto" w:fill="FFFFFF"/>
        <w:kinsoku/>
        <w:wordWrap/>
        <w:overflowPunct/>
        <w:topLinePunct w:val="0"/>
        <w:autoSpaceDE/>
        <w:autoSpaceDN/>
        <w:bidi w:val="0"/>
        <w:snapToGrid/>
        <w:spacing w:before="0" w:beforeAutospacing="0" w:after="0" w:afterAutospacing="0" w:line="440" w:lineRule="exact"/>
        <w:ind w:firstLine="482" w:firstLineChars="200"/>
        <w:jc w:val="both"/>
        <w:textAlignment w:val="auto"/>
        <w:rPr>
          <w:rFonts w:hint="eastAsia" w:ascii="Times New Roman" w:hAnsi="Times New Roman" w:cs="宋体"/>
          <w:b/>
          <w:bCs/>
          <w:szCs w:val="24"/>
          <w:shd w:val="clear" w:color="auto" w:fill="FFFFFF"/>
          <w:lang w:eastAsia="zh-CN"/>
        </w:rPr>
      </w:pPr>
      <w:r>
        <w:rPr>
          <w:rFonts w:hint="eastAsia" w:ascii="Times New Roman" w:hAnsi="Times New Roman" w:eastAsia="宋体" w:cs="宋体"/>
          <w:b/>
          <w:bCs/>
          <w:sz w:val="24"/>
          <w:szCs w:val="24"/>
          <w:shd w:val="clear" w:fill="FFFFFF"/>
          <w:lang w:val="en-US" w:eastAsia="zh-CN" w:bidi="ar-SA"/>
        </w:rPr>
        <w:t>（二）</w:t>
      </w:r>
      <w:r>
        <w:rPr>
          <w:rFonts w:hint="eastAsia" w:ascii="Times New Roman" w:hAnsi="Times New Roman" w:cs="宋体"/>
          <w:b/>
          <w:bCs/>
          <w:szCs w:val="24"/>
          <w:shd w:val="clear" w:color="auto" w:fill="FFFFFF"/>
          <w:lang w:eastAsia="zh-CN"/>
        </w:rPr>
        <w:t>报价分：</w:t>
      </w:r>
      <w:r>
        <w:rPr>
          <w:rFonts w:hint="eastAsia" w:ascii="Times New Roman" w:hAnsi="Times New Roman" w:cs="宋体"/>
          <w:b/>
          <w:bCs/>
          <w:szCs w:val="24"/>
          <w:shd w:val="clear" w:color="auto" w:fill="FFFFFF"/>
          <w:lang w:val="en-US" w:eastAsia="zh-CN"/>
        </w:rPr>
        <w:t>1</w:t>
      </w:r>
      <w:r>
        <w:rPr>
          <w:rFonts w:hint="eastAsia" w:ascii="Times New Roman" w:hAnsi="Times New Roman" w:cs="宋体"/>
          <w:b/>
          <w:bCs/>
          <w:szCs w:val="24"/>
          <w:shd w:val="clear" w:color="auto" w:fill="FFFFFF"/>
          <w:lang w:eastAsia="zh-CN"/>
        </w:rPr>
        <w:t>0分</w:t>
      </w:r>
    </w:p>
    <w:p w14:paraId="32B8EEEC">
      <w:pPr>
        <w:pStyle w:val="52"/>
        <w:keepNext w:val="0"/>
        <w:keepLines w:val="0"/>
        <w:pageBreakBefore w:val="0"/>
        <w:widowControl/>
        <w:numPr>
          <w:ilvl w:val="0"/>
          <w:numId w:val="0"/>
        </w:numPr>
        <w:shd w:val="clear" w:color="auto" w:fill="FFFFFF"/>
        <w:kinsoku/>
        <w:wordWrap/>
        <w:overflowPunct/>
        <w:topLinePunct w:val="0"/>
        <w:autoSpaceDE/>
        <w:autoSpaceDN/>
        <w:bidi w:val="0"/>
        <w:snapToGrid/>
        <w:spacing w:before="0" w:beforeAutospacing="0" w:after="0" w:afterAutospacing="0" w:line="440" w:lineRule="exact"/>
        <w:ind w:firstLine="480" w:firstLineChars="200"/>
        <w:jc w:val="both"/>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1、</w:t>
      </w:r>
      <w:r>
        <w:rPr>
          <w:rFonts w:hint="eastAsia" w:ascii="宋体" w:hAnsi="宋体" w:eastAsia="宋体" w:cs="Times New Roman"/>
          <w:sz w:val="24"/>
          <w:szCs w:val="24"/>
          <w:highlight w:val="none"/>
          <w:lang w:eastAsia="zh-CN"/>
        </w:rPr>
        <w:t>在职民警人均保费</w:t>
      </w:r>
      <w:r>
        <w:rPr>
          <w:rFonts w:hint="eastAsia" w:ascii="宋体" w:hAnsi="宋体" w:eastAsia="宋体" w:cs="Times New Roman"/>
          <w:sz w:val="24"/>
          <w:szCs w:val="24"/>
          <w:highlight w:val="none"/>
          <w:lang w:val="en-US" w:eastAsia="zh-CN"/>
        </w:rPr>
        <w:t>价格分（7分）</w:t>
      </w:r>
    </w:p>
    <w:p w14:paraId="6F14ACAD">
      <w:pPr>
        <w:pStyle w:val="52"/>
        <w:keepNext w:val="0"/>
        <w:keepLines w:val="0"/>
        <w:pageBreakBefore w:val="0"/>
        <w:widowControl/>
        <w:numPr>
          <w:ilvl w:val="0"/>
          <w:numId w:val="0"/>
        </w:numPr>
        <w:shd w:val="clear" w:color="auto" w:fill="FFFFFF"/>
        <w:kinsoku/>
        <w:wordWrap/>
        <w:overflowPunct/>
        <w:topLinePunct w:val="0"/>
        <w:autoSpaceDE/>
        <w:autoSpaceDN/>
        <w:bidi w:val="0"/>
        <w:snapToGrid/>
        <w:spacing w:before="0" w:beforeAutospacing="0" w:after="0" w:afterAutospacing="0" w:line="440" w:lineRule="exact"/>
        <w:ind w:firstLine="480" w:firstLineChars="200"/>
        <w:jc w:val="both"/>
        <w:textAlignment w:val="auto"/>
        <w:rPr>
          <w:rFonts w:hint="eastAsia" w:ascii="Times New Roman" w:hAnsi="Times New Roman" w:cs="宋体"/>
          <w:b/>
          <w:bCs/>
          <w:szCs w:val="24"/>
          <w:highlight w:val="none"/>
          <w:shd w:val="clear" w:color="auto" w:fill="FFFFFF"/>
          <w:lang w:eastAsia="zh-CN"/>
        </w:rPr>
      </w:pPr>
      <w:r>
        <w:rPr>
          <w:rFonts w:hint="eastAsia" w:ascii="宋体" w:hAnsi="宋体" w:eastAsia="宋体" w:cs="Times New Roman"/>
          <w:sz w:val="24"/>
          <w:szCs w:val="24"/>
          <w:highlight w:val="none"/>
          <w:lang w:eastAsia="zh-CN"/>
        </w:rPr>
        <w:t>在职民警人均保费</w:t>
      </w:r>
      <w:r>
        <w:rPr>
          <w:rFonts w:hint="eastAsia" w:ascii="宋体" w:hAnsi="宋体" w:eastAsia="宋体" w:cs="Times New Roman"/>
          <w:sz w:val="24"/>
          <w:szCs w:val="24"/>
          <w:highlight w:val="none"/>
          <w:lang w:val="en-US" w:eastAsia="zh-CN"/>
        </w:rPr>
        <w:t>最高限价</w:t>
      </w:r>
      <w:r>
        <w:rPr>
          <w:rFonts w:hint="eastAsia" w:ascii="宋体" w:hAnsi="宋体" w:eastAsia="宋体" w:cs="Times New Roman"/>
          <w:sz w:val="24"/>
          <w:szCs w:val="24"/>
          <w:highlight w:val="none"/>
          <w:lang w:eastAsia="zh-CN"/>
        </w:rPr>
        <w:t>200元</w:t>
      </w:r>
      <w:r>
        <w:rPr>
          <w:rFonts w:hint="eastAsia" w:ascii="宋体" w:hAnsi="宋体" w:eastAsia="宋体" w:cs="Times New Roman"/>
          <w:sz w:val="24"/>
          <w:szCs w:val="24"/>
          <w:highlight w:val="none"/>
          <w:lang w:val="en-US" w:eastAsia="zh-CN"/>
        </w:rPr>
        <w:t>/人</w:t>
      </w:r>
      <w:r>
        <w:rPr>
          <w:rFonts w:hint="eastAsia" w:ascii="宋体" w:hAnsi="宋体" w:eastAsia="宋体" w:cs="Times New Roman"/>
          <w:sz w:val="24"/>
          <w:szCs w:val="24"/>
          <w:highlight w:val="none"/>
          <w:lang w:eastAsia="zh-CN"/>
        </w:rPr>
        <w:t>，</w:t>
      </w:r>
      <w:r>
        <w:rPr>
          <w:rFonts w:hint="eastAsia" w:ascii="宋体" w:hAnsi="宋体" w:eastAsia="宋体" w:cs="Times New Roman"/>
          <w:b/>
          <w:bCs/>
          <w:sz w:val="24"/>
          <w:szCs w:val="24"/>
          <w:highlight w:val="none"/>
          <w:lang w:eastAsia="zh-CN"/>
        </w:rPr>
        <w:t>报</w:t>
      </w:r>
      <w:r>
        <w:rPr>
          <w:rFonts w:hint="eastAsia" w:ascii="宋体" w:hAnsi="宋体"/>
          <w:b/>
          <w:bCs/>
          <w:sz w:val="24"/>
          <w:szCs w:val="24"/>
          <w:highlight w:val="none"/>
        </w:rPr>
        <w:t>价超过最高限价的将作为无效响应处理。</w:t>
      </w:r>
    </w:p>
    <w:p w14:paraId="423C9F46">
      <w:pPr>
        <w:pStyle w:val="52"/>
        <w:keepNext w:val="0"/>
        <w:keepLines w:val="0"/>
        <w:pageBreakBefore w:val="0"/>
        <w:widowControl/>
        <w:numPr>
          <w:ilvl w:val="0"/>
          <w:numId w:val="0"/>
        </w:numPr>
        <w:shd w:val="clear" w:color="auto" w:fill="FFFFFF"/>
        <w:kinsoku/>
        <w:wordWrap/>
        <w:overflowPunct/>
        <w:topLinePunct w:val="0"/>
        <w:autoSpaceDE/>
        <w:autoSpaceDN/>
        <w:bidi w:val="0"/>
        <w:snapToGrid/>
        <w:spacing w:before="0" w:beforeAutospacing="0" w:after="0" w:afterAutospacing="0"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价格分统一采用低价优先法计算，即满足招标文件要求且投标价格最低的</w:t>
      </w:r>
      <w:r>
        <w:rPr>
          <w:rFonts w:hint="eastAsia" w:ascii="宋体" w:hAnsi="宋体" w:eastAsia="宋体" w:cs="Times New Roman"/>
          <w:sz w:val="24"/>
          <w:szCs w:val="24"/>
          <w:highlight w:val="none"/>
          <w:lang w:eastAsia="zh-CN"/>
        </w:rPr>
        <w:t>在职民警人均保费</w:t>
      </w:r>
      <w:r>
        <w:rPr>
          <w:rFonts w:hint="eastAsia" w:ascii="宋体" w:hAnsi="宋体" w:eastAsia="宋体" w:cs="宋体"/>
          <w:color w:val="auto"/>
          <w:sz w:val="24"/>
          <w:szCs w:val="24"/>
          <w:highlight w:val="none"/>
        </w:rPr>
        <w:t>投标报价为评标基准价，其价格分为满分。其他投标人的价格分统一按照下列公式计算：</w:t>
      </w:r>
    </w:p>
    <w:p w14:paraId="75C26345">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Times New Roman"/>
          <w:sz w:val="24"/>
          <w:szCs w:val="24"/>
          <w:highlight w:val="none"/>
          <w:lang w:eastAsia="zh-CN"/>
        </w:rPr>
        <w:t>在职民警人均保费</w:t>
      </w:r>
      <w:r>
        <w:rPr>
          <w:rFonts w:hint="eastAsia" w:ascii="宋体" w:hAnsi="宋体" w:eastAsia="宋体" w:cs="宋体"/>
          <w:color w:val="auto"/>
          <w:sz w:val="24"/>
          <w:szCs w:val="24"/>
          <w:highlight w:val="none"/>
        </w:rPr>
        <w:t>投标报价得分=（评标基准价/投标报价）×</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×100</w:t>
      </w:r>
      <w:r>
        <w:rPr>
          <w:rFonts w:hint="eastAsia" w:ascii="宋体" w:hAnsi="宋体" w:eastAsia="宋体" w:cs="宋体"/>
          <w:color w:val="auto"/>
          <w:sz w:val="24"/>
          <w:szCs w:val="24"/>
          <w:highlight w:val="none"/>
          <w:lang w:val="en-US" w:eastAsia="zh-CN"/>
        </w:rPr>
        <w:t>%</w:t>
      </w:r>
    </w:p>
    <w:p w14:paraId="3378316C">
      <w:pPr>
        <w:keepNext w:val="0"/>
        <w:keepLines w:val="0"/>
        <w:pageBreakBefore w:val="0"/>
        <w:numPr>
          <w:ilvl w:val="0"/>
          <w:numId w:val="0"/>
        </w:numPr>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bidi="ar-SA"/>
        </w:rPr>
        <w:t>2、</w:t>
      </w:r>
      <w:r>
        <w:rPr>
          <w:rFonts w:hint="eastAsia" w:ascii="宋体" w:hAnsi="宋体" w:eastAsia="宋体" w:cs="Times New Roman"/>
          <w:sz w:val="24"/>
          <w:szCs w:val="24"/>
          <w:highlight w:val="none"/>
          <w:lang w:eastAsia="zh-CN"/>
        </w:rPr>
        <w:t>在职民警配偶及成年子女和未成年子女人均保费</w:t>
      </w:r>
      <w:r>
        <w:rPr>
          <w:rFonts w:hint="eastAsia" w:ascii="宋体" w:hAnsi="宋体" w:eastAsia="宋体" w:cs="Times New Roman"/>
          <w:sz w:val="24"/>
          <w:szCs w:val="24"/>
          <w:highlight w:val="none"/>
          <w:lang w:val="en-US" w:eastAsia="zh-CN"/>
        </w:rPr>
        <w:t>价格分（3分）</w:t>
      </w:r>
    </w:p>
    <w:p w14:paraId="7A2EE7E5">
      <w:pPr>
        <w:keepNext w:val="0"/>
        <w:keepLines w:val="0"/>
        <w:pageBreakBefore w:val="0"/>
        <w:numPr>
          <w:ilvl w:val="0"/>
          <w:numId w:val="0"/>
        </w:numPr>
        <w:kinsoku/>
        <w:wordWrap/>
        <w:overflowPunct/>
        <w:topLinePunct w:val="0"/>
        <w:autoSpaceDE/>
        <w:autoSpaceDN/>
        <w:bidi w:val="0"/>
        <w:adjustRightInd w:val="0"/>
        <w:snapToGrid/>
        <w:spacing w:line="440" w:lineRule="exact"/>
        <w:ind w:firstLine="480" w:firstLineChars="200"/>
        <w:textAlignment w:val="auto"/>
        <w:rPr>
          <w:rFonts w:hint="eastAsia" w:ascii="宋体" w:hAnsi="宋体"/>
          <w:b/>
          <w:bCs/>
          <w:sz w:val="24"/>
          <w:szCs w:val="24"/>
          <w:highlight w:val="none"/>
        </w:rPr>
      </w:pPr>
      <w:r>
        <w:rPr>
          <w:rFonts w:hint="eastAsia" w:ascii="宋体" w:hAnsi="宋体" w:eastAsia="宋体" w:cs="Times New Roman"/>
          <w:sz w:val="24"/>
          <w:szCs w:val="24"/>
          <w:highlight w:val="none"/>
          <w:lang w:eastAsia="zh-CN"/>
        </w:rPr>
        <w:t>在职民警配偶及成年子女和未成年子女人均保费100元</w:t>
      </w:r>
      <w:r>
        <w:rPr>
          <w:rFonts w:hint="eastAsia" w:ascii="宋体" w:hAnsi="宋体" w:eastAsia="宋体" w:cs="Times New Roman"/>
          <w:sz w:val="24"/>
          <w:szCs w:val="24"/>
          <w:highlight w:val="none"/>
          <w:lang w:val="en-US" w:eastAsia="zh-CN"/>
        </w:rPr>
        <w:t>/人</w:t>
      </w:r>
      <w:r>
        <w:rPr>
          <w:rFonts w:hint="eastAsia" w:ascii="宋体" w:hAnsi="宋体" w:eastAsia="宋体" w:cs="Times New Roman"/>
          <w:sz w:val="24"/>
          <w:szCs w:val="24"/>
          <w:highlight w:val="none"/>
          <w:lang w:eastAsia="zh-CN"/>
        </w:rPr>
        <w:t>，</w:t>
      </w:r>
      <w:r>
        <w:rPr>
          <w:rFonts w:hint="eastAsia" w:ascii="宋体" w:hAnsi="宋体" w:eastAsia="宋体" w:cs="Times New Roman"/>
          <w:b/>
          <w:bCs/>
          <w:sz w:val="24"/>
          <w:szCs w:val="24"/>
          <w:highlight w:val="none"/>
          <w:lang w:eastAsia="zh-CN"/>
        </w:rPr>
        <w:t>报</w:t>
      </w:r>
      <w:r>
        <w:rPr>
          <w:rFonts w:hint="eastAsia" w:ascii="宋体" w:hAnsi="宋体"/>
          <w:b/>
          <w:bCs/>
          <w:sz w:val="24"/>
          <w:szCs w:val="24"/>
          <w:highlight w:val="none"/>
        </w:rPr>
        <w:t>价超过最高限价的将作为无效响应处理。</w:t>
      </w:r>
    </w:p>
    <w:p w14:paraId="26E79F7A">
      <w:pPr>
        <w:pStyle w:val="52"/>
        <w:keepNext w:val="0"/>
        <w:keepLines w:val="0"/>
        <w:pageBreakBefore w:val="0"/>
        <w:widowControl/>
        <w:numPr>
          <w:ilvl w:val="0"/>
          <w:numId w:val="0"/>
        </w:numPr>
        <w:shd w:val="clear" w:color="auto" w:fill="FFFFFF"/>
        <w:kinsoku/>
        <w:wordWrap/>
        <w:overflowPunct/>
        <w:topLinePunct w:val="0"/>
        <w:autoSpaceDE/>
        <w:autoSpaceDN/>
        <w:bidi w:val="0"/>
        <w:snapToGrid/>
        <w:spacing w:before="0" w:beforeAutospacing="0" w:after="0" w:afterAutospacing="0"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价格分统一采用低价优先法计算，即满足招标文件要求且</w:t>
      </w:r>
      <w:r>
        <w:rPr>
          <w:rFonts w:hint="eastAsia" w:ascii="宋体" w:hAnsi="宋体" w:eastAsia="宋体" w:cs="Times New Roman"/>
          <w:sz w:val="24"/>
          <w:szCs w:val="24"/>
          <w:highlight w:val="none"/>
          <w:lang w:eastAsia="zh-CN"/>
        </w:rPr>
        <w:t>在职民警配偶及成年子女和未成年子女人均保费</w:t>
      </w:r>
      <w:r>
        <w:rPr>
          <w:rFonts w:hint="eastAsia" w:ascii="宋体" w:hAnsi="宋体" w:eastAsia="宋体" w:cs="Times New Roman"/>
          <w:sz w:val="24"/>
          <w:szCs w:val="24"/>
          <w:highlight w:val="none"/>
          <w:lang w:val="en-US" w:eastAsia="zh-CN"/>
        </w:rPr>
        <w:t>价格</w:t>
      </w:r>
      <w:r>
        <w:rPr>
          <w:rFonts w:hint="eastAsia" w:ascii="宋体" w:hAnsi="宋体" w:eastAsia="宋体" w:cs="宋体"/>
          <w:color w:val="auto"/>
          <w:sz w:val="24"/>
          <w:szCs w:val="24"/>
          <w:highlight w:val="none"/>
        </w:rPr>
        <w:t>最低的投标报价为评标基准价，其价格分为满分。其他投标人的价格分统一按照下列公式计算：</w:t>
      </w:r>
    </w:p>
    <w:p w14:paraId="384B7C2D">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Times New Roman"/>
          <w:sz w:val="24"/>
          <w:szCs w:val="24"/>
          <w:highlight w:val="none"/>
          <w:lang w:eastAsia="zh-CN"/>
        </w:rPr>
        <w:t>在职民警配偶及成年子女和未成年子女人均保费</w:t>
      </w:r>
      <w:r>
        <w:rPr>
          <w:rFonts w:hint="eastAsia" w:ascii="宋体" w:hAnsi="宋体" w:eastAsia="宋体" w:cs="宋体"/>
          <w:color w:val="auto"/>
          <w:sz w:val="24"/>
          <w:szCs w:val="24"/>
          <w:highlight w:val="none"/>
        </w:rPr>
        <w:t>投标报价得分=（评标基准价/投标报价）×</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×100</w:t>
      </w:r>
      <w:r>
        <w:rPr>
          <w:rFonts w:hint="eastAsia" w:ascii="宋体" w:hAnsi="宋体" w:eastAsia="宋体" w:cs="宋体"/>
          <w:color w:val="auto"/>
          <w:sz w:val="24"/>
          <w:szCs w:val="24"/>
          <w:highlight w:val="none"/>
          <w:lang w:val="en-US" w:eastAsia="zh-CN"/>
        </w:rPr>
        <w:t>%</w:t>
      </w:r>
    </w:p>
    <w:p w14:paraId="1CB4A022">
      <w:pPr>
        <w:keepNext w:val="0"/>
        <w:keepLines w:val="0"/>
        <w:pageBreakBefore w:val="0"/>
        <w:kinsoku/>
        <w:wordWrap/>
        <w:overflowPunct/>
        <w:topLinePunct w:val="0"/>
        <w:autoSpaceDE/>
        <w:autoSpaceDN/>
        <w:bidi w:val="0"/>
        <w:adjustRightInd w:val="0"/>
        <w:snapToGrid/>
        <w:spacing w:line="440" w:lineRule="exact"/>
        <w:ind w:firstLine="482" w:firstLineChars="200"/>
        <w:textAlignment w:val="auto"/>
        <w:rPr>
          <w:rFonts w:hint="eastAsia"/>
          <w:highlight w:val="none"/>
          <w:lang w:val="en-US" w:eastAsia="zh-CN"/>
        </w:rPr>
      </w:pPr>
      <w:r>
        <w:rPr>
          <w:rFonts w:hint="eastAsia" w:ascii="宋体" w:hAnsi="宋体" w:eastAsia="宋体" w:cs="宋体"/>
          <w:b/>
          <w:bCs/>
          <w:kern w:val="0"/>
          <w:sz w:val="24"/>
          <w:szCs w:val="24"/>
          <w:highlight w:val="none"/>
        </w:rPr>
        <w:t>总得分为两项得分之和，总得分高者推荐为成交候选人。</w:t>
      </w:r>
    </w:p>
    <w:p w14:paraId="7233AF8D">
      <w:pPr>
        <w:pStyle w:val="52"/>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440" w:lineRule="exact"/>
        <w:ind w:firstLine="482" w:firstLineChars="200"/>
        <w:jc w:val="both"/>
        <w:textAlignment w:val="auto"/>
        <w:rPr>
          <w:rFonts w:ascii="Times New Roman" w:hAnsi="Times New Roman" w:cs="宋体"/>
          <w:b/>
          <w:bCs/>
          <w:szCs w:val="24"/>
          <w:lang w:eastAsia="zh-CN"/>
        </w:rPr>
      </w:pPr>
      <w:r>
        <w:rPr>
          <w:rFonts w:hint="eastAsia" w:ascii="Times New Roman" w:hAnsi="Times New Roman" w:cs="宋体"/>
          <w:b/>
          <w:bCs/>
          <w:szCs w:val="24"/>
          <w:lang w:eastAsia="zh-CN"/>
        </w:rPr>
        <w:t>五、出现下列情形之一的，作无效响应处理</w:t>
      </w:r>
    </w:p>
    <w:p w14:paraId="6355653F">
      <w:pPr>
        <w:keepNext w:val="0"/>
        <w:keepLines w:val="0"/>
        <w:pageBreakBefore w:val="0"/>
        <w:kinsoku/>
        <w:wordWrap/>
        <w:overflowPunct/>
        <w:topLinePunct w:val="0"/>
        <w:autoSpaceDE/>
        <w:autoSpaceDN/>
        <w:bidi w:val="0"/>
        <w:snapToGrid/>
        <w:spacing w:line="440" w:lineRule="exact"/>
        <w:ind w:firstLine="480" w:firstLineChars="200"/>
        <w:textAlignment w:val="auto"/>
        <w:rPr>
          <w:rFonts w:ascii="Times New Roman" w:hAnsi="Times New Roman" w:cs="宋体"/>
          <w:sz w:val="24"/>
          <w:szCs w:val="24"/>
        </w:rPr>
      </w:pPr>
      <w:r>
        <w:rPr>
          <w:rFonts w:hint="eastAsia" w:ascii="Times New Roman" w:hAnsi="Times New Roman" w:cs="宋体"/>
          <w:sz w:val="24"/>
          <w:szCs w:val="24"/>
        </w:rPr>
        <w:t>1、响应文件未按规定要求签署、盖章及主要资料不齐全的；</w:t>
      </w:r>
    </w:p>
    <w:p w14:paraId="03FA6796">
      <w:pPr>
        <w:keepNext w:val="0"/>
        <w:keepLines w:val="0"/>
        <w:pageBreakBefore w:val="0"/>
        <w:kinsoku/>
        <w:wordWrap/>
        <w:overflowPunct/>
        <w:topLinePunct w:val="0"/>
        <w:autoSpaceDE/>
        <w:autoSpaceDN/>
        <w:bidi w:val="0"/>
        <w:snapToGrid/>
        <w:spacing w:line="440" w:lineRule="exact"/>
        <w:ind w:firstLine="480"/>
        <w:textAlignment w:val="auto"/>
        <w:rPr>
          <w:rFonts w:ascii="Times New Roman" w:hAnsi="Times New Roman" w:cs="宋体"/>
          <w:sz w:val="24"/>
          <w:szCs w:val="24"/>
        </w:rPr>
      </w:pPr>
      <w:r>
        <w:rPr>
          <w:rFonts w:hint="eastAsia" w:ascii="Times New Roman" w:hAnsi="Times New Roman" w:cs="宋体"/>
          <w:sz w:val="24"/>
          <w:szCs w:val="24"/>
        </w:rPr>
        <w:t>2、响应文件的资料有虚报或者谎报的；</w:t>
      </w:r>
    </w:p>
    <w:p w14:paraId="36BB7C4E">
      <w:pPr>
        <w:keepNext w:val="0"/>
        <w:keepLines w:val="0"/>
        <w:pageBreakBefore w:val="0"/>
        <w:kinsoku/>
        <w:wordWrap/>
        <w:overflowPunct/>
        <w:topLinePunct w:val="0"/>
        <w:autoSpaceDE/>
        <w:autoSpaceDN/>
        <w:bidi w:val="0"/>
        <w:snapToGrid/>
        <w:spacing w:line="440" w:lineRule="exact"/>
        <w:ind w:firstLine="480"/>
        <w:textAlignment w:val="auto"/>
        <w:rPr>
          <w:rFonts w:ascii="Times New Roman" w:hAnsi="Times New Roman" w:cs="宋体"/>
          <w:sz w:val="24"/>
          <w:szCs w:val="24"/>
        </w:rPr>
      </w:pPr>
      <w:r>
        <w:rPr>
          <w:rFonts w:hint="eastAsia" w:ascii="Times New Roman" w:hAnsi="Times New Roman" w:cs="宋体"/>
          <w:sz w:val="24"/>
          <w:szCs w:val="24"/>
        </w:rPr>
        <w:t>3、响应文件中资格审查文件及技术响应文件出现磋商报价的内容；</w:t>
      </w:r>
    </w:p>
    <w:p w14:paraId="131E9438">
      <w:pPr>
        <w:keepNext w:val="0"/>
        <w:keepLines w:val="0"/>
        <w:pageBreakBefore w:val="0"/>
        <w:kinsoku/>
        <w:wordWrap/>
        <w:overflowPunct/>
        <w:topLinePunct w:val="0"/>
        <w:autoSpaceDE/>
        <w:autoSpaceDN/>
        <w:bidi w:val="0"/>
        <w:snapToGrid/>
        <w:spacing w:line="440" w:lineRule="exact"/>
        <w:ind w:firstLine="480"/>
        <w:textAlignment w:val="auto"/>
        <w:rPr>
          <w:rFonts w:ascii="Times New Roman" w:hAnsi="Times New Roman" w:cs="宋体"/>
          <w:sz w:val="24"/>
          <w:szCs w:val="24"/>
        </w:rPr>
      </w:pPr>
      <w:r>
        <w:rPr>
          <w:rFonts w:hint="eastAsia" w:ascii="Times New Roman" w:hAnsi="Times New Roman" w:cs="宋体"/>
          <w:sz w:val="24"/>
          <w:szCs w:val="24"/>
        </w:rPr>
        <w:t>4、不具备磋商文件规定的资格要求的；</w:t>
      </w:r>
    </w:p>
    <w:p w14:paraId="4A14EF42">
      <w:pPr>
        <w:keepNext w:val="0"/>
        <w:keepLines w:val="0"/>
        <w:pageBreakBefore w:val="0"/>
        <w:kinsoku/>
        <w:wordWrap/>
        <w:overflowPunct/>
        <w:topLinePunct w:val="0"/>
        <w:autoSpaceDE/>
        <w:autoSpaceDN/>
        <w:bidi w:val="0"/>
        <w:snapToGrid/>
        <w:spacing w:line="440" w:lineRule="exact"/>
        <w:ind w:firstLine="480"/>
        <w:textAlignment w:val="auto"/>
        <w:rPr>
          <w:rFonts w:ascii="Times New Roman" w:hAnsi="Times New Roman" w:cs="宋体"/>
          <w:sz w:val="24"/>
          <w:szCs w:val="24"/>
        </w:rPr>
      </w:pPr>
      <w:r>
        <w:rPr>
          <w:rFonts w:hint="eastAsia" w:ascii="Times New Roman" w:hAnsi="Times New Roman" w:cs="宋体"/>
          <w:sz w:val="24"/>
          <w:szCs w:val="24"/>
        </w:rPr>
        <w:t>5、响应文件有重大漏项或重大不合理的；</w:t>
      </w:r>
    </w:p>
    <w:p w14:paraId="36750BB6">
      <w:pPr>
        <w:keepNext w:val="0"/>
        <w:keepLines w:val="0"/>
        <w:pageBreakBefore w:val="0"/>
        <w:kinsoku/>
        <w:wordWrap/>
        <w:overflowPunct/>
        <w:topLinePunct w:val="0"/>
        <w:autoSpaceDE/>
        <w:autoSpaceDN/>
        <w:bidi w:val="0"/>
        <w:snapToGrid/>
        <w:spacing w:line="440" w:lineRule="exact"/>
        <w:ind w:firstLine="480"/>
        <w:textAlignment w:val="auto"/>
        <w:rPr>
          <w:rFonts w:ascii="Times New Roman" w:hAnsi="Times New Roman" w:cs="宋体"/>
          <w:sz w:val="24"/>
          <w:szCs w:val="24"/>
        </w:rPr>
      </w:pPr>
      <w:r>
        <w:rPr>
          <w:rFonts w:hint="eastAsia" w:ascii="Times New Roman" w:hAnsi="Times New Roman" w:cs="宋体"/>
          <w:sz w:val="24"/>
          <w:szCs w:val="24"/>
        </w:rPr>
        <w:t>6、项目技术、方案不满足项目需求中的要求，有重大偏离或保留的；</w:t>
      </w:r>
    </w:p>
    <w:p w14:paraId="50CA566A">
      <w:pPr>
        <w:keepNext w:val="0"/>
        <w:keepLines w:val="0"/>
        <w:pageBreakBefore w:val="0"/>
        <w:kinsoku/>
        <w:wordWrap/>
        <w:overflowPunct/>
        <w:topLinePunct w:val="0"/>
        <w:autoSpaceDE/>
        <w:autoSpaceDN/>
        <w:bidi w:val="0"/>
        <w:snapToGrid/>
        <w:spacing w:line="440" w:lineRule="exact"/>
        <w:ind w:firstLine="480"/>
        <w:textAlignment w:val="auto"/>
        <w:rPr>
          <w:rFonts w:ascii="Times New Roman" w:hAnsi="Times New Roman" w:cs="宋体"/>
          <w:sz w:val="24"/>
          <w:szCs w:val="24"/>
        </w:rPr>
      </w:pPr>
      <w:r>
        <w:rPr>
          <w:rFonts w:hint="eastAsia" w:ascii="Times New Roman" w:hAnsi="Times New Roman" w:cs="宋体"/>
          <w:sz w:val="24"/>
          <w:szCs w:val="24"/>
        </w:rPr>
        <w:t>7、磋商响应报价超出项目预算的；</w:t>
      </w:r>
    </w:p>
    <w:p w14:paraId="5BD43119">
      <w:pPr>
        <w:keepNext w:val="0"/>
        <w:keepLines w:val="0"/>
        <w:pageBreakBefore w:val="0"/>
        <w:kinsoku/>
        <w:wordWrap/>
        <w:overflowPunct/>
        <w:topLinePunct w:val="0"/>
        <w:autoSpaceDE/>
        <w:autoSpaceDN/>
        <w:bidi w:val="0"/>
        <w:snapToGrid/>
        <w:spacing w:line="440" w:lineRule="exact"/>
        <w:ind w:firstLine="480"/>
        <w:textAlignment w:val="auto"/>
        <w:rPr>
          <w:rFonts w:ascii="Times New Roman" w:hAnsi="Times New Roman" w:cs="宋体"/>
          <w:sz w:val="24"/>
          <w:szCs w:val="24"/>
        </w:rPr>
      </w:pPr>
      <w:r>
        <w:rPr>
          <w:rFonts w:hint="eastAsia" w:ascii="Times New Roman" w:hAnsi="Times New Roman" w:cs="宋体"/>
          <w:sz w:val="24"/>
          <w:szCs w:val="24"/>
        </w:rPr>
        <w:t>8、被认定为低于成本报价磋商竞标的；</w:t>
      </w:r>
    </w:p>
    <w:p w14:paraId="15A70C7F">
      <w:pPr>
        <w:keepNext w:val="0"/>
        <w:keepLines w:val="0"/>
        <w:pageBreakBefore w:val="0"/>
        <w:kinsoku/>
        <w:wordWrap/>
        <w:overflowPunct/>
        <w:topLinePunct w:val="0"/>
        <w:autoSpaceDE/>
        <w:autoSpaceDN/>
        <w:bidi w:val="0"/>
        <w:snapToGrid/>
        <w:spacing w:line="440" w:lineRule="exact"/>
        <w:ind w:firstLine="480"/>
        <w:textAlignment w:val="auto"/>
        <w:rPr>
          <w:rFonts w:ascii="Times New Roman" w:hAnsi="Times New Roman" w:cs="宋体"/>
          <w:sz w:val="24"/>
          <w:szCs w:val="24"/>
        </w:rPr>
      </w:pPr>
      <w:r>
        <w:rPr>
          <w:rFonts w:hint="eastAsia" w:ascii="Times New Roman" w:hAnsi="Times New Roman" w:cs="宋体"/>
          <w:sz w:val="24"/>
          <w:szCs w:val="24"/>
        </w:rPr>
        <w:t>9、供应商的磋商报价低于自己前一轮的；</w:t>
      </w:r>
    </w:p>
    <w:p w14:paraId="6D41091D">
      <w:pPr>
        <w:keepNext w:val="0"/>
        <w:keepLines w:val="0"/>
        <w:pageBreakBefore w:val="0"/>
        <w:kinsoku/>
        <w:wordWrap/>
        <w:overflowPunct/>
        <w:topLinePunct w:val="0"/>
        <w:autoSpaceDE/>
        <w:autoSpaceDN/>
        <w:bidi w:val="0"/>
        <w:snapToGrid/>
        <w:spacing w:line="440" w:lineRule="exact"/>
        <w:ind w:firstLine="480"/>
        <w:textAlignment w:val="auto"/>
        <w:rPr>
          <w:rFonts w:ascii="Times New Roman" w:hAnsi="Times New Roman" w:cs="宋体"/>
          <w:sz w:val="24"/>
          <w:szCs w:val="24"/>
        </w:rPr>
      </w:pPr>
      <w:r>
        <w:rPr>
          <w:rFonts w:hint="eastAsia" w:ascii="Times New Roman" w:hAnsi="Times New Roman" w:cs="宋体"/>
          <w:sz w:val="24"/>
          <w:szCs w:val="24"/>
        </w:rPr>
        <w:t>10、不符合法律、法规和磋商文件中规定的其他实质性响应要求的；</w:t>
      </w:r>
    </w:p>
    <w:p w14:paraId="1A800013">
      <w:pPr>
        <w:keepNext w:val="0"/>
        <w:keepLines w:val="0"/>
        <w:pageBreakBefore w:val="0"/>
        <w:kinsoku/>
        <w:wordWrap/>
        <w:overflowPunct/>
        <w:topLinePunct w:val="0"/>
        <w:autoSpaceDE/>
        <w:autoSpaceDN/>
        <w:bidi w:val="0"/>
        <w:snapToGrid/>
        <w:spacing w:line="440" w:lineRule="exact"/>
        <w:ind w:firstLine="480"/>
        <w:textAlignment w:val="auto"/>
        <w:rPr>
          <w:rFonts w:ascii="Times New Roman" w:hAnsi="Times New Roman" w:cs="宋体"/>
          <w:sz w:val="24"/>
          <w:szCs w:val="24"/>
        </w:rPr>
      </w:pPr>
      <w:r>
        <w:rPr>
          <w:rFonts w:hint="eastAsia" w:ascii="Times New Roman" w:hAnsi="Times New Roman" w:cs="宋体"/>
          <w:sz w:val="24"/>
          <w:szCs w:val="24"/>
        </w:rPr>
        <w:t>11、磋商小组依据法律法规可以认定为无效响应的其他情况；</w:t>
      </w:r>
    </w:p>
    <w:p w14:paraId="3E381680">
      <w:pPr>
        <w:keepNext w:val="0"/>
        <w:keepLines w:val="0"/>
        <w:pageBreakBefore w:val="0"/>
        <w:kinsoku/>
        <w:wordWrap/>
        <w:overflowPunct/>
        <w:topLinePunct w:val="0"/>
        <w:autoSpaceDE/>
        <w:autoSpaceDN/>
        <w:bidi w:val="0"/>
        <w:snapToGrid/>
        <w:spacing w:line="440" w:lineRule="exact"/>
        <w:ind w:firstLine="480"/>
        <w:textAlignment w:val="auto"/>
        <w:rPr>
          <w:rFonts w:ascii="Times New Roman" w:hAnsi="Times New Roman" w:cs="宋体"/>
          <w:sz w:val="24"/>
          <w:szCs w:val="24"/>
        </w:rPr>
      </w:pPr>
      <w:r>
        <w:rPr>
          <w:rFonts w:hint="eastAsia" w:ascii="Times New Roman" w:hAnsi="Times New Roman" w:cs="宋体"/>
          <w:sz w:val="24"/>
          <w:szCs w:val="24"/>
        </w:rPr>
        <w:t>12、未按要求提供样品的（如有）。</w:t>
      </w:r>
    </w:p>
    <w:p w14:paraId="2DBB7A50">
      <w:pPr>
        <w:pStyle w:val="52"/>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440" w:lineRule="exact"/>
        <w:ind w:firstLine="482"/>
        <w:jc w:val="both"/>
        <w:textAlignment w:val="auto"/>
        <w:rPr>
          <w:rFonts w:ascii="Times New Roman" w:hAnsi="Times New Roman" w:cs="宋体"/>
          <w:b/>
          <w:bCs/>
          <w:szCs w:val="24"/>
          <w:shd w:val="clear" w:color="auto" w:fill="FFFFFF"/>
          <w:lang w:eastAsia="zh-CN"/>
        </w:rPr>
      </w:pPr>
      <w:r>
        <w:rPr>
          <w:rFonts w:hint="eastAsia" w:ascii="Times New Roman" w:hAnsi="Times New Roman" w:cs="宋体"/>
          <w:b/>
          <w:bCs/>
          <w:szCs w:val="24"/>
          <w:shd w:val="clear" w:color="auto" w:fill="FFFFFF"/>
          <w:lang w:val="en-US" w:eastAsia="zh-CN"/>
        </w:rPr>
        <w:t>六</w:t>
      </w:r>
      <w:r>
        <w:rPr>
          <w:rFonts w:hint="eastAsia" w:ascii="Times New Roman" w:hAnsi="Times New Roman" w:cs="宋体"/>
          <w:b/>
          <w:bCs/>
          <w:szCs w:val="24"/>
          <w:shd w:val="clear" w:color="auto" w:fill="FFFFFF"/>
          <w:lang w:eastAsia="zh-CN"/>
        </w:rPr>
        <w:t>、出现下列情形之一的，</w:t>
      </w:r>
      <w:r>
        <w:rPr>
          <w:rFonts w:hint="eastAsia" w:ascii="Times New Roman" w:hAnsi="Times New Roman" w:cs="宋体"/>
          <w:b/>
          <w:bCs/>
          <w:szCs w:val="24"/>
          <w:lang w:eastAsia="zh-CN"/>
        </w:rPr>
        <w:t>作无效</w:t>
      </w:r>
      <w:r>
        <w:rPr>
          <w:rFonts w:hint="eastAsia" w:ascii="Times New Roman" w:hAnsi="Times New Roman" w:cs="宋体"/>
          <w:b/>
          <w:bCs/>
          <w:szCs w:val="24"/>
          <w:shd w:val="clear" w:color="auto" w:fill="FFFFFF"/>
          <w:lang w:eastAsia="zh-CN"/>
        </w:rPr>
        <w:t>响应处理</w:t>
      </w:r>
    </w:p>
    <w:p w14:paraId="35E9FE41">
      <w:pPr>
        <w:keepNext w:val="0"/>
        <w:keepLines w:val="0"/>
        <w:pageBreakBefore w:val="0"/>
        <w:kinsoku/>
        <w:wordWrap/>
        <w:overflowPunct/>
        <w:topLinePunct w:val="0"/>
        <w:autoSpaceDE/>
        <w:autoSpaceDN/>
        <w:bidi w:val="0"/>
        <w:snapToGrid/>
        <w:spacing w:line="440" w:lineRule="exact"/>
        <w:ind w:firstLine="480"/>
        <w:textAlignment w:val="auto"/>
        <w:rPr>
          <w:rFonts w:ascii="Times New Roman" w:hAnsi="Times New Roman" w:cs="宋体"/>
          <w:sz w:val="24"/>
          <w:szCs w:val="24"/>
        </w:rPr>
      </w:pPr>
      <w:r>
        <w:rPr>
          <w:rFonts w:hint="eastAsia" w:ascii="Times New Roman" w:hAnsi="Times New Roman" w:cs="宋体"/>
          <w:sz w:val="24"/>
          <w:szCs w:val="24"/>
        </w:rPr>
        <w:t>1、供应商的报价均超出了采购预算，采购单位不能支付的；</w:t>
      </w:r>
    </w:p>
    <w:p w14:paraId="1E5D006B">
      <w:pPr>
        <w:keepNext w:val="0"/>
        <w:keepLines w:val="0"/>
        <w:pageBreakBefore w:val="0"/>
        <w:kinsoku/>
        <w:wordWrap/>
        <w:overflowPunct/>
        <w:topLinePunct w:val="0"/>
        <w:autoSpaceDE/>
        <w:autoSpaceDN/>
        <w:bidi w:val="0"/>
        <w:snapToGrid/>
        <w:spacing w:line="440" w:lineRule="exact"/>
        <w:ind w:firstLine="480"/>
        <w:textAlignment w:val="auto"/>
        <w:rPr>
          <w:rFonts w:ascii="Times New Roman" w:hAnsi="Times New Roman" w:cs="宋体"/>
          <w:sz w:val="24"/>
          <w:szCs w:val="24"/>
        </w:rPr>
      </w:pPr>
      <w:r>
        <w:rPr>
          <w:rFonts w:hint="eastAsia" w:ascii="Times New Roman" w:hAnsi="Times New Roman" w:cs="宋体"/>
          <w:sz w:val="24"/>
          <w:szCs w:val="24"/>
        </w:rPr>
        <w:t>2、因情况变化，不再符合规定的竞争性磋商采购方式所适用情形的；</w:t>
      </w:r>
    </w:p>
    <w:p w14:paraId="48410DF8">
      <w:pPr>
        <w:keepNext w:val="0"/>
        <w:keepLines w:val="0"/>
        <w:pageBreakBefore w:val="0"/>
        <w:kinsoku/>
        <w:wordWrap/>
        <w:overflowPunct/>
        <w:topLinePunct w:val="0"/>
        <w:autoSpaceDE/>
        <w:autoSpaceDN/>
        <w:bidi w:val="0"/>
        <w:snapToGrid/>
        <w:spacing w:line="440" w:lineRule="exact"/>
        <w:ind w:firstLine="480"/>
        <w:textAlignment w:val="auto"/>
        <w:rPr>
          <w:rFonts w:ascii="Times New Roman" w:hAnsi="Times New Roman" w:cs="宋体"/>
          <w:sz w:val="24"/>
          <w:szCs w:val="24"/>
        </w:rPr>
      </w:pPr>
      <w:r>
        <w:rPr>
          <w:rFonts w:hint="eastAsia" w:ascii="Times New Roman" w:hAnsi="Times New Roman" w:cs="宋体"/>
          <w:sz w:val="24"/>
          <w:szCs w:val="24"/>
        </w:rPr>
        <w:t>3、出现影响采购公正的违法、违规行为的；</w:t>
      </w:r>
    </w:p>
    <w:p w14:paraId="0FAE48A0">
      <w:pPr>
        <w:keepNext w:val="0"/>
        <w:keepLines w:val="0"/>
        <w:pageBreakBefore w:val="0"/>
        <w:kinsoku/>
        <w:wordWrap/>
        <w:overflowPunct/>
        <w:topLinePunct w:val="0"/>
        <w:autoSpaceDE/>
        <w:autoSpaceDN/>
        <w:bidi w:val="0"/>
        <w:snapToGrid/>
        <w:spacing w:line="440" w:lineRule="exact"/>
        <w:ind w:firstLine="480"/>
        <w:textAlignment w:val="auto"/>
        <w:rPr>
          <w:rFonts w:ascii="Times New Roman" w:hAnsi="Times New Roman" w:cs="宋体"/>
          <w:sz w:val="24"/>
          <w:szCs w:val="24"/>
        </w:rPr>
      </w:pPr>
      <w:r>
        <w:rPr>
          <w:rFonts w:hint="eastAsia" w:ascii="Times New Roman" w:hAnsi="Times New Roman" w:cs="宋体"/>
          <w:sz w:val="24"/>
          <w:szCs w:val="24"/>
        </w:rPr>
        <w:t>4、因重大变故，采购任务取消的；</w:t>
      </w:r>
    </w:p>
    <w:p w14:paraId="18A644B0">
      <w:pPr>
        <w:pStyle w:val="52"/>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440" w:lineRule="exact"/>
        <w:ind w:firstLine="480"/>
        <w:jc w:val="both"/>
        <w:textAlignment w:val="auto"/>
        <w:rPr>
          <w:rFonts w:ascii="Times New Roman" w:hAnsi="Times New Roman" w:cs="宋体"/>
          <w:b/>
          <w:bCs/>
          <w:szCs w:val="24"/>
          <w:lang w:eastAsia="zh-CN"/>
        </w:rPr>
      </w:pPr>
      <w:r>
        <w:rPr>
          <w:rFonts w:hint="eastAsia" w:ascii="Times New Roman" w:hAnsi="Times New Roman" w:cs="宋体"/>
          <w:szCs w:val="24"/>
          <w:lang w:eastAsia="zh-CN"/>
        </w:rPr>
        <w:t>5、磋商小组依据法律法规可以认定为无效响应的其他情况。</w:t>
      </w:r>
    </w:p>
    <w:p w14:paraId="3580D43A">
      <w:pPr>
        <w:pStyle w:val="52"/>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440" w:lineRule="exact"/>
        <w:ind w:firstLine="482"/>
        <w:jc w:val="both"/>
        <w:textAlignment w:val="auto"/>
        <w:rPr>
          <w:rFonts w:ascii="Times New Roman" w:hAnsi="Times New Roman" w:cs="宋体"/>
          <w:b/>
          <w:bCs/>
          <w:szCs w:val="24"/>
          <w:shd w:val="clear" w:color="auto" w:fill="FFFFFF"/>
          <w:lang w:eastAsia="zh-CN"/>
        </w:rPr>
      </w:pPr>
      <w:r>
        <w:rPr>
          <w:rFonts w:hint="eastAsia" w:ascii="Times New Roman" w:hAnsi="Times New Roman" w:cs="宋体"/>
          <w:b/>
          <w:bCs/>
          <w:szCs w:val="24"/>
          <w:shd w:val="clear" w:color="auto" w:fill="FFFFFF"/>
          <w:lang w:val="en-US" w:eastAsia="zh-CN"/>
        </w:rPr>
        <w:t>七</w:t>
      </w:r>
      <w:r>
        <w:rPr>
          <w:rFonts w:hint="eastAsia" w:ascii="Times New Roman" w:hAnsi="Times New Roman" w:cs="宋体"/>
          <w:b/>
          <w:bCs/>
          <w:szCs w:val="24"/>
          <w:shd w:val="clear" w:color="auto" w:fill="FFFFFF"/>
          <w:lang w:eastAsia="zh-CN"/>
        </w:rPr>
        <w:t>、出现下列情形之一的，采购人或采购代理机构应当终止竞争性磋商采购活动，发布项目终止公告并说明原因，重新开展采购活动：</w:t>
      </w:r>
    </w:p>
    <w:p w14:paraId="6E9122C6">
      <w:pPr>
        <w:keepNext w:val="0"/>
        <w:keepLines w:val="0"/>
        <w:pageBreakBefore w:val="0"/>
        <w:kinsoku/>
        <w:wordWrap/>
        <w:overflowPunct/>
        <w:topLinePunct w:val="0"/>
        <w:autoSpaceDE/>
        <w:autoSpaceDN/>
        <w:bidi w:val="0"/>
        <w:snapToGrid/>
        <w:spacing w:line="440" w:lineRule="exact"/>
        <w:ind w:firstLine="480"/>
        <w:textAlignment w:val="auto"/>
        <w:rPr>
          <w:rFonts w:ascii="Times New Roman" w:hAnsi="Times New Roman" w:cs="宋体"/>
          <w:sz w:val="24"/>
          <w:szCs w:val="24"/>
        </w:rPr>
      </w:pPr>
      <w:r>
        <w:rPr>
          <w:rFonts w:hint="eastAsia" w:ascii="Times New Roman" w:hAnsi="Times New Roman" w:cs="宋体"/>
          <w:sz w:val="24"/>
          <w:szCs w:val="24"/>
        </w:rPr>
        <w:t>1、在采购过程中符合要求的供应商或者报价未超过采购预算的供应商不足3家的；</w:t>
      </w:r>
    </w:p>
    <w:p w14:paraId="7BFD6D20">
      <w:pPr>
        <w:keepNext w:val="0"/>
        <w:keepLines w:val="0"/>
        <w:pageBreakBefore w:val="0"/>
        <w:kinsoku/>
        <w:wordWrap/>
        <w:overflowPunct/>
        <w:topLinePunct w:val="0"/>
        <w:autoSpaceDE/>
        <w:autoSpaceDN/>
        <w:bidi w:val="0"/>
        <w:snapToGrid/>
        <w:spacing w:line="440" w:lineRule="exact"/>
        <w:ind w:firstLine="480"/>
        <w:textAlignment w:val="auto"/>
        <w:rPr>
          <w:rFonts w:ascii="Times New Roman" w:hAnsi="Times New Roman" w:cs="宋体"/>
          <w:sz w:val="24"/>
          <w:szCs w:val="24"/>
        </w:rPr>
      </w:pPr>
      <w:r>
        <w:rPr>
          <w:rFonts w:hint="eastAsia" w:ascii="Times New Roman" w:hAnsi="Times New Roman" w:cs="宋体"/>
          <w:sz w:val="24"/>
          <w:szCs w:val="24"/>
        </w:rPr>
        <w:t>2、因情况变化，不再符合规定的竞争性磋商采购方式所适用情形的；</w:t>
      </w:r>
    </w:p>
    <w:p w14:paraId="21A1F1E0">
      <w:pPr>
        <w:keepNext w:val="0"/>
        <w:keepLines w:val="0"/>
        <w:pageBreakBefore w:val="0"/>
        <w:kinsoku/>
        <w:wordWrap/>
        <w:overflowPunct/>
        <w:topLinePunct w:val="0"/>
        <w:autoSpaceDE/>
        <w:autoSpaceDN/>
        <w:bidi w:val="0"/>
        <w:snapToGrid/>
        <w:spacing w:line="440" w:lineRule="exact"/>
        <w:ind w:firstLine="480"/>
        <w:textAlignment w:val="auto"/>
        <w:rPr>
          <w:rFonts w:ascii="Times New Roman" w:hAnsi="Times New Roman" w:cs="宋体"/>
          <w:sz w:val="24"/>
          <w:szCs w:val="24"/>
        </w:rPr>
      </w:pPr>
      <w:r>
        <w:rPr>
          <w:rFonts w:hint="eastAsia" w:ascii="Times New Roman" w:hAnsi="Times New Roman" w:cs="宋体"/>
          <w:sz w:val="24"/>
          <w:szCs w:val="24"/>
        </w:rPr>
        <w:t>3、出现影响采购公正的违法、违规行为的；</w:t>
      </w:r>
    </w:p>
    <w:p w14:paraId="54217765">
      <w:pPr>
        <w:pStyle w:val="52"/>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440" w:lineRule="exact"/>
        <w:ind w:firstLine="482"/>
        <w:jc w:val="both"/>
        <w:textAlignment w:val="auto"/>
        <w:rPr>
          <w:rFonts w:ascii="Times New Roman" w:hAnsi="Times New Roman" w:cs="宋体"/>
          <w:b/>
          <w:bCs/>
          <w:szCs w:val="24"/>
          <w:shd w:val="clear" w:color="auto" w:fill="FFFFFF"/>
          <w:lang w:eastAsia="zh-CN"/>
        </w:rPr>
      </w:pPr>
      <w:r>
        <w:rPr>
          <w:rFonts w:hint="eastAsia" w:ascii="Times New Roman" w:hAnsi="Times New Roman" w:cs="宋体"/>
          <w:b/>
          <w:bCs/>
          <w:szCs w:val="24"/>
          <w:shd w:val="clear" w:color="auto" w:fill="FFFFFF"/>
          <w:lang w:val="en-US" w:eastAsia="zh-CN"/>
        </w:rPr>
        <w:t>八</w:t>
      </w:r>
      <w:r>
        <w:rPr>
          <w:rFonts w:hint="eastAsia" w:ascii="Times New Roman" w:hAnsi="Times New Roman" w:cs="宋体"/>
          <w:b/>
          <w:bCs/>
          <w:szCs w:val="24"/>
          <w:shd w:val="clear" w:color="auto" w:fill="FFFFFF"/>
          <w:lang w:eastAsia="zh-CN"/>
        </w:rPr>
        <w:t>、成交通知</w:t>
      </w:r>
    </w:p>
    <w:p w14:paraId="47A95190">
      <w:pPr>
        <w:keepNext w:val="0"/>
        <w:keepLines w:val="0"/>
        <w:pageBreakBefore w:val="0"/>
        <w:kinsoku/>
        <w:wordWrap/>
        <w:overflowPunct/>
        <w:topLinePunct w:val="0"/>
        <w:autoSpaceDE/>
        <w:autoSpaceDN/>
        <w:bidi w:val="0"/>
        <w:snapToGrid/>
        <w:spacing w:line="440" w:lineRule="exact"/>
        <w:ind w:firstLine="480"/>
        <w:jc w:val="left"/>
        <w:textAlignment w:val="auto"/>
        <w:rPr>
          <w:rFonts w:ascii="Times New Roman" w:hAnsi="Times New Roman" w:cs="宋体"/>
          <w:b/>
          <w:iCs/>
          <w:sz w:val="44"/>
          <w:szCs w:val="44"/>
        </w:rPr>
      </w:pPr>
      <w:r>
        <w:rPr>
          <w:rFonts w:hint="eastAsia" w:ascii="Times New Roman" w:hAnsi="Times New Roman" w:cs="宋体"/>
          <w:sz w:val="24"/>
          <w:szCs w:val="24"/>
        </w:rPr>
        <w:t>成交结果在南通市公安局官网公告公示栏公示</w:t>
      </w:r>
      <w:r>
        <w:rPr>
          <w:rFonts w:hint="eastAsia" w:ascii="Times New Roman" w:hAnsi="Times New Roman" w:cs="宋体"/>
          <w:b/>
          <w:sz w:val="24"/>
          <w:szCs w:val="24"/>
          <w:u w:val="single"/>
        </w:rPr>
        <w:t>1</w:t>
      </w:r>
      <w:r>
        <w:rPr>
          <w:rFonts w:hint="eastAsia" w:ascii="Times New Roman" w:hAnsi="Times New Roman" w:cs="宋体"/>
          <w:sz w:val="24"/>
          <w:szCs w:val="24"/>
        </w:rPr>
        <w:t>个工作日。《成交通知书》一经发出，采购单位改变成交结果，或者成交人放弃成交的，各自承担相应的法律责任。《成交通知书》是采购合同的组成部分。</w:t>
      </w:r>
      <w:r>
        <w:rPr>
          <w:rFonts w:ascii="Times New Roman" w:hAnsi="Times New Roman" w:cs="宋体"/>
          <w:b/>
          <w:iCs/>
          <w:sz w:val="44"/>
          <w:szCs w:val="44"/>
        </w:rPr>
        <w:br w:type="page" w:clear="all"/>
      </w:r>
    </w:p>
    <w:p w14:paraId="29087E16">
      <w:pPr>
        <w:spacing w:line="360" w:lineRule="auto"/>
        <w:ind w:firstLine="480"/>
        <w:jc w:val="center"/>
        <w:rPr>
          <w:rFonts w:ascii="Times New Roman" w:hAnsi="Times New Roman" w:cs="宋体"/>
          <w:b/>
          <w:iCs/>
          <w:sz w:val="44"/>
          <w:szCs w:val="44"/>
        </w:rPr>
      </w:pPr>
    </w:p>
    <w:p w14:paraId="136776AB">
      <w:pPr>
        <w:spacing w:line="360" w:lineRule="auto"/>
        <w:ind w:firstLine="480"/>
        <w:jc w:val="center"/>
        <w:rPr>
          <w:rFonts w:ascii="Times New Roman" w:hAnsi="Times New Roman"/>
          <w:b/>
          <w:sz w:val="44"/>
          <w:szCs w:val="44"/>
        </w:rPr>
      </w:pPr>
      <w:r>
        <w:rPr>
          <w:rFonts w:ascii="Times New Roman" w:hAnsi="Times New Roman" w:cs="宋体"/>
          <w:b/>
          <w:iCs/>
          <w:sz w:val="44"/>
          <w:szCs w:val="44"/>
        </w:rPr>
        <w:t>第</w:t>
      </w:r>
      <w:r>
        <w:rPr>
          <w:rFonts w:hint="eastAsia" w:ascii="Times New Roman" w:hAnsi="Times New Roman" w:cs="宋体"/>
          <w:b/>
          <w:iCs/>
          <w:sz w:val="44"/>
          <w:szCs w:val="44"/>
        </w:rPr>
        <w:t>五</w:t>
      </w:r>
      <w:r>
        <w:rPr>
          <w:rFonts w:ascii="Times New Roman" w:hAnsi="Times New Roman" w:cs="宋体"/>
          <w:b/>
          <w:iCs/>
          <w:sz w:val="44"/>
          <w:szCs w:val="44"/>
        </w:rPr>
        <w:t>章</w:t>
      </w:r>
      <w:r>
        <w:rPr>
          <w:rFonts w:hint="eastAsia" w:ascii="Times New Roman" w:hAnsi="Times New Roman"/>
          <w:b/>
          <w:sz w:val="44"/>
          <w:szCs w:val="44"/>
        </w:rPr>
        <w:t>合同主要条款</w:t>
      </w:r>
    </w:p>
    <w:p w14:paraId="0338D057">
      <w:pPr>
        <w:spacing w:before="120" w:line="22" w:lineRule="atLeast"/>
        <w:rPr>
          <w:rFonts w:ascii="宋体" w:hAnsi="宋体" w:cs="宋体"/>
          <w:sz w:val="24"/>
        </w:rPr>
      </w:pPr>
    </w:p>
    <w:p w14:paraId="32703544">
      <w:pPr>
        <w:spacing w:before="120" w:line="22" w:lineRule="atLeast"/>
        <w:ind w:left="960"/>
        <w:rPr>
          <w:rFonts w:hint="eastAsia" w:ascii="宋体" w:hAnsi="宋体" w:cs="宋体"/>
          <w:sz w:val="24"/>
        </w:rPr>
      </w:pPr>
    </w:p>
    <w:p w14:paraId="6BF978B1">
      <w:pPr>
        <w:spacing w:before="319"/>
        <w:ind w:right="105" w:firstLine="6720"/>
        <w:rPr>
          <w:rFonts w:hint="eastAsia" w:ascii="宋体" w:hAnsi="宋体" w:eastAsia="宋体" w:cs="宋体"/>
          <w:sz w:val="21"/>
          <w:szCs w:val="21"/>
          <w:u w:val="single"/>
        </w:rPr>
      </w:pPr>
      <w:r>
        <w:rPr>
          <w:rFonts w:hint="eastAsia" w:ascii="宋体" w:hAnsi="宋体" w:eastAsia="宋体" w:cs="宋体"/>
          <w:sz w:val="21"/>
          <w:szCs w:val="21"/>
        </w:rPr>
        <w:t>合同编号：</w:t>
      </w:r>
    </w:p>
    <w:p w14:paraId="7A10869D">
      <w:pPr>
        <w:spacing w:before="319"/>
        <w:ind w:right="105" w:firstLine="602"/>
        <w:rPr>
          <w:rFonts w:hint="eastAsia" w:ascii="宋体" w:hAnsi="宋体" w:eastAsia="宋体" w:cs="宋体"/>
          <w:b/>
          <w:bCs/>
          <w:sz w:val="21"/>
          <w:szCs w:val="21"/>
        </w:rPr>
      </w:pPr>
    </w:p>
    <w:p w14:paraId="68FFE28D">
      <w:pPr>
        <w:keepNext w:val="0"/>
        <w:keepLines w:val="0"/>
        <w:pageBreakBefore w:val="0"/>
        <w:widowControl w:val="0"/>
        <w:kinsoku/>
        <w:wordWrap/>
        <w:overflowPunct/>
        <w:topLinePunct w:val="0"/>
        <w:autoSpaceDE/>
        <w:autoSpaceDN/>
        <w:bidi w:val="0"/>
        <w:adjustRightInd/>
        <w:snapToGrid/>
        <w:ind w:right="0" w:firstLine="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采购合同</w:t>
      </w:r>
    </w:p>
    <w:p w14:paraId="0B2D6BF9">
      <w:pPr>
        <w:spacing w:line="420" w:lineRule="exact"/>
        <w:ind w:firstLine="602"/>
        <w:rPr>
          <w:rFonts w:hint="eastAsia" w:ascii="宋体" w:hAnsi="宋体" w:eastAsia="宋体" w:cs="宋体"/>
          <w:b/>
          <w:bCs/>
          <w:sz w:val="28"/>
          <w:szCs w:val="28"/>
        </w:rPr>
      </w:pPr>
    </w:p>
    <w:p w14:paraId="11CA445A">
      <w:pPr>
        <w:spacing w:line="420" w:lineRule="exact"/>
        <w:ind w:firstLine="602"/>
        <w:rPr>
          <w:rFonts w:hint="eastAsia" w:ascii="宋体" w:hAnsi="宋体" w:eastAsia="宋体" w:cs="宋体"/>
          <w:b/>
          <w:bCs/>
          <w:sz w:val="28"/>
          <w:szCs w:val="28"/>
        </w:rPr>
      </w:pPr>
    </w:p>
    <w:p w14:paraId="5042D5E1">
      <w:pPr>
        <w:keepNext w:val="0"/>
        <w:keepLines w:val="0"/>
        <w:pageBreakBefore w:val="0"/>
        <w:widowControl w:val="0"/>
        <w:kinsoku/>
        <w:wordWrap/>
        <w:overflowPunct/>
        <w:topLinePunct w:val="0"/>
        <w:autoSpaceDE/>
        <w:autoSpaceDN/>
        <w:bidi w:val="0"/>
        <w:adjustRightInd/>
        <w:snapToGrid/>
        <w:spacing w:line="480" w:lineRule="auto"/>
        <w:ind w:firstLine="0"/>
        <w:jc w:val="center"/>
        <w:textAlignment w:val="auto"/>
        <w:rPr>
          <w:rFonts w:hint="eastAsia" w:ascii="宋体" w:hAnsi="宋体" w:eastAsia="宋体" w:cs="宋体"/>
          <w:b/>
          <w:sz w:val="28"/>
          <w:szCs w:val="28"/>
        </w:rPr>
      </w:pPr>
      <w:r>
        <w:rPr>
          <w:rFonts w:hint="eastAsia" w:ascii="宋体" w:hAnsi="宋体" w:eastAsia="宋体" w:cs="宋体"/>
          <w:b/>
          <w:sz w:val="28"/>
          <w:szCs w:val="28"/>
        </w:rPr>
        <w:t>第一部分 合同书</w:t>
      </w:r>
    </w:p>
    <w:p w14:paraId="60CDEFEB">
      <w:pPr>
        <w:widowControl/>
        <w:spacing w:before="120" w:after="160" w:line="480" w:lineRule="auto"/>
        <w:rPr>
          <w:rFonts w:hint="eastAsia" w:ascii="宋体" w:hAnsi="宋体" w:eastAsia="宋体" w:cs="宋体"/>
          <w:bCs/>
          <w:sz w:val="28"/>
          <w:szCs w:val="28"/>
        </w:rPr>
      </w:pPr>
    </w:p>
    <w:p w14:paraId="166F25A9">
      <w:pPr>
        <w:spacing w:line="600" w:lineRule="auto"/>
        <w:jc w:val="center"/>
        <w:rPr>
          <w:rFonts w:hint="eastAsia" w:ascii="宋体" w:hAnsi="宋体" w:cs="宋体"/>
          <w:b/>
          <w:bCs/>
          <w:sz w:val="28"/>
          <w:szCs w:val="28"/>
          <w:u w:val="single"/>
          <w:lang w:eastAsia="zh-CN"/>
        </w:rPr>
      </w:pPr>
      <w:r>
        <w:rPr>
          <w:rFonts w:hint="eastAsia" w:ascii="宋体" w:hAnsi="宋体" w:eastAsia="宋体" w:cs="宋体"/>
          <w:b/>
          <w:bCs/>
          <w:sz w:val="28"/>
          <w:szCs w:val="28"/>
        </w:rPr>
        <w:t>项目名称：</w:t>
      </w:r>
      <w:r>
        <w:rPr>
          <w:rFonts w:hint="eastAsia" w:ascii="宋体" w:hAnsi="宋体" w:cs="宋体"/>
          <w:b/>
          <w:bCs/>
          <w:sz w:val="28"/>
          <w:szCs w:val="28"/>
          <w:u w:val="single"/>
          <w:lang w:eastAsia="zh-CN"/>
        </w:rPr>
        <w:t>南通公安大病特困救助基金会2025民警家庭医疗保险项目</w:t>
      </w:r>
    </w:p>
    <w:p w14:paraId="0852654C">
      <w:pPr>
        <w:spacing w:line="600" w:lineRule="auto"/>
        <w:ind w:firstLine="843" w:firstLineChars="300"/>
        <w:jc w:val="left"/>
        <w:rPr>
          <w:rFonts w:hint="eastAsia" w:ascii="宋体" w:hAnsi="宋体" w:eastAsia="宋体" w:cs="宋体"/>
          <w:b/>
          <w:sz w:val="28"/>
          <w:szCs w:val="28"/>
          <w:highlight w:val="yellow"/>
          <w:u w:val="single"/>
        </w:rPr>
      </w:pPr>
      <w:r>
        <w:rPr>
          <w:rFonts w:hint="eastAsia" w:ascii="宋体" w:hAnsi="宋体" w:eastAsia="宋体" w:cs="宋体"/>
          <w:b/>
          <w:bCs/>
          <w:sz w:val="28"/>
          <w:szCs w:val="28"/>
        </w:rPr>
        <w:t>项目编号：</w:t>
      </w:r>
    </w:p>
    <w:p w14:paraId="000820FF">
      <w:pPr>
        <w:spacing w:line="420" w:lineRule="exact"/>
        <w:ind w:firstLine="1004"/>
        <w:jc w:val="left"/>
        <w:rPr>
          <w:rFonts w:hint="eastAsia" w:ascii="宋体" w:hAnsi="宋体" w:eastAsia="宋体" w:cs="宋体"/>
          <w:b/>
          <w:bCs/>
          <w:sz w:val="21"/>
          <w:szCs w:val="21"/>
        </w:rPr>
      </w:pPr>
    </w:p>
    <w:p w14:paraId="5D93F037">
      <w:pPr>
        <w:spacing w:line="420" w:lineRule="exact"/>
        <w:ind w:firstLine="1004"/>
        <w:jc w:val="left"/>
        <w:rPr>
          <w:rFonts w:hint="eastAsia" w:ascii="宋体" w:hAnsi="宋体" w:eastAsia="宋体" w:cs="宋体"/>
          <w:b/>
          <w:bCs/>
          <w:sz w:val="21"/>
          <w:szCs w:val="21"/>
        </w:rPr>
      </w:pPr>
    </w:p>
    <w:p w14:paraId="17E8BFDD">
      <w:pPr>
        <w:spacing w:line="420" w:lineRule="exact"/>
        <w:ind w:firstLine="1004"/>
        <w:jc w:val="left"/>
        <w:rPr>
          <w:rFonts w:hint="eastAsia" w:ascii="宋体" w:hAnsi="宋体" w:eastAsia="宋体" w:cs="宋体"/>
          <w:b/>
          <w:bCs/>
          <w:sz w:val="21"/>
          <w:szCs w:val="21"/>
        </w:rPr>
      </w:pPr>
    </w:p>
    <w:p w14:paraId="23690F8D">
      <w:pPr>
        <w:spacing w:line="420" w:lineRule="exact"/>
        <w:ind w:firstLine="1004"/>
        <w:jc w:val="left"/>
        <w:rPr>
          <w:rFonts w:hint="eastAsia" w:ascii="宋体" w:hAnsi="宋体" w:eastAsia="宋体" w:cs="宋体"/>
          <w:b/>
          <w:bCs/>
          <w:sz w:val="21"/>
          <w:szCs w:val="21"/>
        </w:rPr>
      </w:pPr>
    </w:p>
    <w:p w14:paraId="3C66AAC0">
      <w:pPr>
        <w:keepNext w:val="0"/>
        <w:keepLines w:val="0"/>
        <w:pageBreakBefore w:val="0"/>
        <w:widowControl/>
        <w:kinsoku/>
        <w:wordWrap/>
        <w:overflowPunct/>
        <w:topLinePunct w:val="0"/>
        <w:autoSpaceDE/>
        <w:autoSpaceDN/>
        <w:bidi w:val="0"/>
        <w:adjustRightInd/>
        <w:snapToGrid/>
        <w:spacing w:before="120" w:after="160" w:line="480" w:lineRule="auto"/>
        <w:ind w:left="0" w:firstLine="840" w:firstLineChars="400"/>
        <w:jc w:val="left"/>
        <w:textAlignment w:val="auto"/>
        <w:rPr>
          <w:rFonts w:hint="eastAsia" w:ascii="宋体" w:hAnsi="宋体" w:eastAsia="宋体" w:cs="宋体"/>
          <w:bCs/>
          <w:sz w:val="21"/>
          <w:szCs w:val="21"/>
          <w:u w:val="single"/>
        </w:rPr>
      </w:pPr>
      <w:r>
        <w:rPr>
          <w:rFonts w:hint="eastAsia" w:ascii="宋体" w:hAnsi="宋体" w:eastAsia="宋体" w:cs="宋体"/>
          <w:bCs/>
          <w:sz w:val="21"/>
          <w:szCs w:val="21"/>
        </w:rPr>
        <w:t>甲方（采 购 人）：</w:t>
      </w:r>
    </w:p>
    <w:p w14:paraId="359F7A39">
      <w:pPr>
        <w:keepNext w:val="0"/>
        <w:keepLines w:val="0"/>
        <w:pageBreakBefore w:val="0"/>
        <w:widowControl/>
        <w:kinsoku/>
        <w:wordWrap/>
        <w:overflowPunct/>
        <w:topLinePunct w:val="0"/>
        <w:autoSpaceDE/>
        <w:autoSpaceDN/>
        <w:bidi w:val="0"/>
        <w:adjustRightInd/>
        <w:snapToGrid/>
        <w:spacing w:before="120" w:after="160" w:line="480" w:lineRule="auto"/>
        <w:ind w:left="0" w:firstLine="840" w:firstLineChars="400"/>
        <w:jc w:val="left"/>
        <w:textAlignment w:val="auto"/>
        <w:rPr>
          <w:rFonts w:hint="eastAsia" w:ascii="宋体" w:hAnsi="宋体" w:eastAsia="宋体" w:cs="宋体"/>
          <w:bCs/>
          <w:sz w:val="21"/>
          <w:szCs w:val="21"/>
          <w:u w:val="single"/>
        </w:rPr>
      </w:pPr>
      <w:r>
        <w:rPr>
          <w:rFonts w:hint="eastAsia" w:ascii="宋体" w:hAnsi="宋体" w:eastAsia="宋体" w:cs="宋体"/>
          <w:bCs/>
          <w:sz w:val="21"/>
          <w:szCs w:val="21"/>
        </w:rPr>
        <w:t>乙方（成交投标人）：</w:t>
      </w:r>
    </w:p>
    <w:p w14:paraId="074CCB44">
      <w:pPr>
        <w:keepNext w:val="0"/>
        <w:keepLines w:val="0"/>
        <w:pageBreakBefore w:val="0"/>
        <w:widowControl/>
        <w:kinsoku/>
        <w:wordWrap/>
        <w:overflowPunct/>
        <w:topLinePunct w:val="0"/>
        <w:autoSpaceDE/>
        <w:autoSpaceDN/>
        <w:bidi w:val="0"/>
        <w:adjustRightInd/>
        <w:snapToGrid/>
        <w:spacing w:before="120" w:after="160" w:line="480" w:lineRule="auto"/>
        <w:ind w:left="0" w:firstLine="840" w:firstLineChars="400"/>
        <w:jc w:val="left"/>
        <w:textAlignment w:val="auto"/>
        <w:rPr>
          <w:rFonts w:hint="eastAsia" w:ascii="宋体" w:hAnsi="宋体" w:eastAsia="宋体" w:cs="宋体"/>
          <w:bCs/>
          <w:sz w:val="21"/>
          <w:szCs w:val="21"/>
          <w:u w:val="single"/>
        </w:rPr>
      </w:pPr>
      <w:r>
        <w:rPr>
          <w:rFonts w:hint="eastAsia" w:ascii="宋体" w:hAnsi="宋体" w:eastAsia="宋体" w:cs="宋体"/>
          <w:bCs/>
          <w:sz w:val="21"/>
          <w:szCs w:val="21"/>
        </w:rPr>
        <w:t>签 订 地：</w:t>
      </w:r>
      <w:r>
        <w:rPr>
          <w:rFonts w:hint="eastAsia" w:ascii="宋体" w:hAnsi="宋体" w:eastAsia="宋体" w:cs="宋体"/>
          <w:bCs/>
          <w:sz w:val="21"/>
          <w:szCs w:val="21"/>
          <w:u w:val="single"/>
        </w:rPr>
        <w:t xml:space="preserve">            南通市                </w:t>
      </w:r>
    </w:p>
    <w:p w14:paraId="5A10DD4E">
      <w:pPr>
        <w:keepNext w:val="0"/>
        <w:keepLines w:val="0"/>
        <w:pageBreakBefore w:val="0"/>
        <w:widowControl/>
        <w:kinsoku/>
        <w:wordWrap/>
        <w:overflowPunct/>
        <w:topLinePunct w:val="0"/>
        <w:autoSpaceDE/>
        <w:autoSpaceDN/>
        <w:bidi w:val="0"/>
        <w:adjustRightInd/>
        <w:snapToGrid/>
        <w:spacing w:before="120" w:after="160" w:line="480" w:lineRule="auto"/>
        <w:ind w:left="0" w:firstLine="840" w:firstLineChars="400"/>
        <w:jc w:val="left"/>
        <w:textAlignment w:val="auto"/>
        <w:rPr>
          <w:rFonts w:hint="eastAsia" w:ascii="宋体" w:hAnsi="宋体" w:eastAsia="宋体" w:cs="宋体"/>
          <w:bCs/>
          <w:sz w:val="21"/>
          <w:szCs w:val="21"/>
          <w:u w:val="single"/>
        </w:rPr>
      </w:pPr>
      <w:r>
        <w:rPr>
          <w:rFonts w:hint="eastAsia" w:ascii="宋体" w:hAnsi="宋体" w:eastAsia="宋体" w:cs="宋体"/>
          <w:bCs/>
          <w:sz w:val="21"/>
          <w:szCs w:val="21"/>
        </w:rPr>
        <w:t>签订日期：</w:t>
      </w:r>
      <w:r>
        <w:rPr>
          <w:rFonts w:hint="eastAsia" w:ascii="宋体" w:hAnsi="宋体" w:cs="宋体"/>
          <w:bCs/>
          <w:sz w:val="21"/>
          <w:szCs w:val="21"/>
          <w:lang w:val="en-US" w:eastAsia="zh-CN"/>
        </w:rPr>
        <w:t xml:space="preserve"> </w:t>
      </w:r>
      <w:r>
        <w:rPr>
          <w:rFonts w:hint="eastAsia" w:ascii="宋体" w:hAnsi="宋体" w:eastAsia="宋体" w:cs="宋体"/>
          <w:bCs/>
          <w:sz w:val="21"/>
          <w:szCs w:val="21"/>
        </w:rPr>
        <w:t>年</w:t>
      </w:r>
      <w:r>
        <w:rPr>
          <w:rFonts w:hint="eastAsia" w:ascii="宋体" w:hAnsi="宋体" w:cs="宋体"/>
          <w:bCs/>
          <w:sz w:val="21"/>
          <w:szCs w:val="21"/>
          <w:lang w:val="en-US" w:eastAsia="zh-CN"/>
        </w:rPr>
        <w:t xml:space="preserve"> </w:t>
      </w:r>
      <w:r>
        <w:rPr>
          <w:rFonts w:hint="eastAsia" w:ascii="宋体" w:hAnsi="宋体" w:eastAsia="宋体" w:cs="宋体"/>
          <w:bCs/>
          <w:sz w:val="21"/>
          <w:szCs w:val="21"/>
        </w:rPr>
        <w:t>月</w:t>
      </w:r>
      <w:r>
        <w:rPr>
          <w:rFonts w:hint="eastAsia" w:ascii="宋体" w:hAnsi="宋体" w:cs="宋体"/>
          <w:bCs/>
          <w:sz w:val="21"/>
          <w:szCs w:val="21"/>
          <w:lang w:val="en-US" w:eastAsia="zh-CN"/>
        </w:rPr>
        <w:t xml:space="preserve"> </w:t>
      </w:r>
      <w:r>
        <w:rPr>
          <w:rFonts w:hint="eastAsia" w:ascii="宋体" w:hAnsi="宋体" w:eastAsia="宋体" w:cs="宋体"/>
          <w:bCs/>
          <w:sz w:val="21"/>
          <w:szCs w:val="21"/>
        </w:rPr>
        <w:t>日</w:t>
      </w:r>
    </w:p>
    <w:p w14:paraId="24D90ED6">
      <w:pPr>
        <w:spacing w:line="420" w:lineRule="exact"/>
        <w:ind w:firstLine="602"/>
        <w:rPr>
          <w:rFonts w:hint="eastAsia" w:ascii="宋体" w:hAnsi="宋体" w:eastAsia="宋体" w:cs="宋体"/>
          <w:b/>
          <w:bCs/>
          <w:sz w:val="21"/>
          <w:szCs w:val="21"/>
        </w:rPr>
      </w:pPr>
    </w:p>
    <w:p w14:paraId="75E916C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br w:type="page" w:clear="all"/>
      </w:r>
      <w:r>
        <w:rPr>
          <w:rFonts w:hint="eastAsia" w:ascii="宋体" w:hAnsi="宋体" w:cs="宋体"/>
          <w:b/>
          <w:bCs/>
          <w:sz w:val="21"/>
          <w:szCs w:val="21"/>
          <w:lang w:val="en-US" w:eastAsia="zh-CN"/>
        </w:rPr>
        <w:t>2025</w:t>
      </w:r>
      <w:r>
        <w:rPr>
          <w:rFonts w:hint="eastAsia" w:ascii="宋体" w:hAnsi="宋体" w:eastAsia="宋体" w:cs="宋体"/>
          <w:bCs/>
          <w:sz w:val="21"/>
          <w:szCs w:val="21"/>
          <w:lang w:val="zh-CN"/>
        </w:rPr>
        <w:t>年</w:t>
      </w:r>
      <w:r>
        <w:rPr>
          <w:rFonts w:hint="eastAsia" w:ascii="宋体" w:hAnsi="宋体" w:cs="宋体"/>
          <w:bCs/>
          <w:sz w:val="21"/>
          <w:szCs w:val="21"/>
          <w:lang w:val="en-US" w:eastAsia="zh-CN"/>
        </w:rPr>
        <w:t xml:space="preserve"> </w:t>
      </w:r>
      <w:r>
        <w:rPr>
          <w:rFonts w:hint="eastAsia" w:ascii="宋体" w:hAnsi="宋体" w:eastAsia="宋体" w:cs="宋体"/>
          <w:bCs/>
          <w:sz w:val="21"/>
          <w:szCs w:val="21"/>
          <w:lang w:val="zh-CN"/>
        </w:rPr>
        <w:t>月</w:t>
      </w:r>
      <w:r>
        <w:rPr>
          <w:rFonts w:hint="eastAsia" w:ascii="宋体" w:hAnsi="宋体" w:cs="宋体"/>
          <w:bCs/>
          <w:sz w:val="21"/>
          <w:szCs w:val="21"/>
          <w:lang w:val="en-US" w:eastAsia="zh-CN"/>
        </w:rPr>
        <w:t xml:space="preserve"> </w:t>
      </w:r>
      <w:r>
        <w:rPr>
          <w:rFonts w:hint="eastAsia" w:ascii="宋体" w:hAnsi="宋体" w:eastAsia="宋体" w:cs="宋体"/>
          <w:bCs/>
          <w:sz w:val="21"/>
          <w:szCs w:val="21"/>
          <w:lang w:val="zh-CN"/>
        </w:rPr>
        <w:t>日</w:t>
      </w:r>
      <w:r>
        <w:rPr>
          <w:rFonts w:hint="eastAsia" w:ascii="宋体" w:hAnsi="宋体" w:eastAsia="宋体" w:cs="宋体"/>
          <w:bCs/>
          <w:sz w:val="21"/>
          <w:szCs w:val="21"/>
        </w:rPr>
        <w:t>，</w:t>
      </w:r>
      <w:r>
        <w:rPr>
          <w:rFonts w:hint="eastAsia" w:ascii="宋体" w:hAnsi="宋体" w:eastAsia="宋体" w:cs="宋体"/>
          <w:bCs/>
          <w:sz w:val="21"/>
          <w:szCs w:val="21"/>
          <w:u w:val="single"/>
        </w:rPr>
        <w:t>南通公安大病特困救助基金会</w:t>
      </w:r>
      <w:r>
        <w:rPr>
          <w:rFonts w:hint="eastAsia" w:ascii="宋体" w:hAnsi="宋体" w:eastAsia="宋体" w:cs="宋体"/>
          <w:bCs/>
          <w:sz w:val="21"/>
          <w:szCs w:val="21"/>
        </w:rPr>
        <w:t>以</w:t>
      </w:r>
      <w:r>
        <w:rPr>
          <w:rFonts w:hint="eastAsia" w:ascii="宋体" w:hAnsi="宋体" w:cs="宋体"/>
          <w:bCs/>
          <w:sz w:val="21"/>
          <w:szCs w:val="21"/>
          <w:u w:val="single"/>
          <w:lang w:val="en-US" w:eastAsia="zh-CN"/>
        </w:rPr>
        <w:t>公开竞争性磋商</w:t>
      </w:r>
      <w:r>
        <w:rPr>
          <w:rFonts w:hint="eastAsia" w:ascii="宋体" w:hAnsi="宋体" w:eastAsia="宋体" w:cs="宋体"/>
          <w:bCs/>
          <w:sz w:val="21"/>
          <w:szCs w:val="21"/>
        </w:rPr>
        <w:t>对</w:t>
      </w:r>
      <w:r>
        <w:rPr>
          <w:rFonts w:hint="eastAsia" w:ascii="宋体" w:hAnsi="宋体" w:cs="宋体"/>
          <w:b/>
          <w:sz w:val="21"/>
          <w:szCs w:val="21"/>
          <w:u w:val="single"/>
          <w:lang w:val="en-US" w:eastAsia="zh-CN"/>
        </w:rPr>
        <w:t xml:space="preserve">        </w:t>
      </w:r>
      <w:r>
        <w:rPr>
          <w:rFonts w:hint="eastAsia" w:ascii="宋体" w:hAnsi="宋体" w:eastAsia="宋体" w:cs="宋体"/>
          <w:bCs/>
          <w:sz w:val="21"/>
          <w:szCs w:val="21"/>
        </w:rPr>
        <w:t>项目进行了采购。经</w:t>
      </w:r>
      <w:r>
        <w:rPr>
          <w:rFonts w:hint="eastAsia" w:ascii="宋体" w:hAnsi="宋体" w:cs="宋体"/>
          <w:bCs/>
          <w:sz w:val="21"/>
          <w:szCs w:val="21"/>
          <w:u w:val="single"/>
          <w:lang w:val="en-US" w:eastAsia="zh-CN"/>
        </w:rPr>
        <w:t>评审小组</w:t>
      </w:r>
      <w:r>
        <w:rPr>
          <w:rFonts w:hint="eastAsia" w:ascii="宋体" w:hAnsi="宋体" w:eastAsia="宋体" w:cs="宋体"/>
          <w:bCs/>
          <w:sz w:val="21"/>
          <w:szCs w:val="21"/>
        </w:rPr>
        <w:t>评定，</w:t>
      </w:r>
      <w:r>
        <w:rPr>
          <w:rFonts w:hint="eastAsia" w:ascii="宋体" w:hAnsi="宋体" w:eastAsia="宋体" w:cs="宋体"/>
          <w:bCs/>
          <w:sz w:val="21"/>
          <w:szCs w:val="21"/>
          <w:u w:val="single"/>
        </w:rPr>
        <w:t>（成交</w:t>
      </w:r>
      <w:r>
        <w:rPr>
          <w:rFonts w:hint="eastAsia" w:ascii="宋体" w:hAnsi="宋体" w:cs="宋体"/>
          <w:bCs/>
          <w:sz w:val="21"/>
          <w:szCs w:val="21"/>
          <w:u w:val="single"/>
          <w:lang w:val="en-US" w:eastAsia="zh-CN"/>
        </w:rPr>
        <w:t>供应商</w:t>
      </w:r>
      <w:r>
        <w:rPr>
          <w:rFonts w:hint="eastAsia" w:ascii="宋体" w:hAnsi="宋体" w:eastAsia="宋体" w:cs="宋体"/>
          <w:bCs/>
          <w:sz w:val="21"/>
          <w:szCs w:val="21"/>
          <w:u w:val="single"/>
        </w:rPr>
        <w:t xml:space="preserve">名称） </w:t>
      </w:r>
      <w:r>
        <w:rPr>
          <w:rFonts w:hint="eastAsia" w:ascii="宋体" w:hAnsi="宋体" w:eastAsia="宋体" w:cs="宋体"/>
          <w:bCs/>
          <w:sz w:val="21"/>
          <w:szCs w:val="21"/>
        </w:rPr>
        <w:t>为该项目成交</w:t>
      </w:r>
      <w:r>
        <w:rPr>
          <w:rFonts w:hint="eastAsia" w:ascii="宋体" w:hAnsi="宋体" w:cs="宋体"/>
          <w:bCs/>
          <w:sz w:val="21"/>
          <w:szCs w:val="21"/>
          <w:lang w:val="en-US" w:eastAsia="zh-CN"/>
        </w:rPr>
        <w:t>供应商</w:t>
      </w:r>
      <w:r>
        <w:rPr>
          <w:rFonts w:hint="eastAsia" w:ascii="宋体" w:hAnsi="宋体" w:eastAsia="宋体" w:cs="宋体"/>
          <w:bCs/>
          <w:sz w:val="21"/>
          <w:szCs w:val="21"/>
        </w:rPr>
        <w:t>。现于成交通知书发出之日起三十日内，按照采购文件确定的事项签订本合同。</w:t>
      </w:r>
    </w:p>
    <w:p w14:paraId="7F7F03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bookmarkStart w:id="7" w:name="_Hlk63008672"/>
      <w:bookmarkStart w:id="8" w:name="_Hlk63008690"/>
      <w:r>
        <w:rPr>
          <w:rFonts w:hint="eastAsia" w:ascii="宋体" w:hAnsi="宋体" w:eastAsia="宋体" w:cs="宋体"/>
          <w:sz w:val="21"/>
          <w:szCs w:val="21"/>
        </w:rPr>
        <w:t>根据</w:t>
      </w:r>
      <w:r>
        <w:rPr>
          <w:rFonts w:hint="eastAsia" w:ascii="宋体" w:hAnsi="宋体" w:eastAsia="宋体" w:cs="宋体"/>
          <w:bCs/>
          <w:sz w:val="21"/>
          <w:szCs w:val="21"/>
          <w:lang w:val="zh-CN"/>
        </w:rPr>
        <w:t>《</w:t>
      </w:r>
      <w:r>
        <w:rPr>
          <w:rFonts w:hint="eastAsia" w:ascii="宋体" w:hAnsi="宋体" w:eastAsia="宋体" w:cs="宋体"/>
          <w:sz w:val="21"/>
          <w:szCs w:val="21"/>
        </w:rPr>
        <w:t>中华人民共和国招标投标法</w:t>
      </w:r>
      <w:r>
        <w:rPr>
          <w:rFonts w:hint="eastAsia" w:ascii="宋体" w:hAnsi="宋体" w:eastAsia="宋体" w:cs="宋体"/>
          <w:bCs/>
          <w:sz w:val="21"/>
          <w:szCs w:val="21"/>
          <w:lang w:val="zh-CN"/>
        </w:rPr>
        <w:t>》</w:t>
      </w:r>
      <w:r>
        <w:rPr>
          <w:rFonts w:hint="eastAsia" w:ascii="宋体" w:hAnsi="宋体" w:eastAsia="宋体" w:cs="宋体"/>
          <w:sz w:val="21"/>
          <w:szCs w:val="21"/>
        </w:rPr>
        <w:t>及其实施条例、《中华人民共和国民法典》</w:t>
      </w:r>
      <w:bookmarkEnd w:id="7"/>
      <w:r>
        <w:rPr>
          <w:rFonts w:hint="eastAsia" w:ascii="宋体" w:hAnsi="宋体" w:eastAsia="宋体" w:cs="宋体"/>
          <w:sz w:val="21"/>
          <w:szCs w:val="21"/>
        </w:rPr>
        <w:t>等法律法规的规定</w:t>
      </w:r>
      <w:bookmarkEnd w:id="8"/>
      <w:r>
        <w:rPr>
          <w:rFonts w:hint="eastAsia" w:ascii="宋体" w:hAnsi="宋体" w:eastAsia="宋体" w:cs="宋体"/>
          <w:bCs/>
          <w:sz w:val="21"/>
          <w:szCs w:val="21"/>
          <w:lang w:val="zh-CN"/>
        </w:rPr>
        <w:t>，按照平等、自愿、公平和诚实信用的原则，经</w:t>
      </w:r>
      <w:r>
        <w:rPr>
          <w:rFonts w:hint="eastAsia" w:ascii="宋体" w:hAnsi="宋体" w:eastAsia="宋体" w:cs="宋体"/>
          <w:bCs/>
          <w:sz w:val="21"/>
          <w:szCs w:val="21"/>
          <w:u w:val="single"/>
        </w:rPr>
        <w:t>南通公安大病特困救助基金会</w:t>
      </w:r>
      <w:r>
        <w:rPr>
          <w:rFonts w:hint="eastAsia" w:ascii="宋体" w:hAnsi="宋体" w:eastAsia="宋体" w:cs="宋体"/>
          <w:bCs/>
          <w:sz w:val="21"/>
          <w:szCs w:val="21"/>
          <w:lang w:val="zh-CN"/>
        </w:rPr>
        <w:t>（以下简称：甲方）和</w:t>
      </w:r>
      <w:r>
        <w:rPr>
          <w:rFonts w:hint="eastAsia" w:ascii="宋体" w:hAnsi="宋体" w:eastAsia="宋体" w:cs="宋体"/>
          <w:bCs/>
          <w:sz w:val="21"/>
          <w:szCs w:val="21"/>
          <w:u w:val="single"/>
        </w:rPr>
        <w:t xml:space="preserve">   （成交</w:t>
      </w:r>
      <w:r>
        <w:rPr>
          <w:rFonts w:hint="eastAsia" w:ascii="宋体" w:hAnsi="宋体" w:cs="宋体"/>
          <w:bCs/>
          <w:sz w:val="21"/>
          <w:szCs w:val="21"/>
          <w:u w:val="single"/>
          <w:lang w:val="en-US" w:eastAsia="zh-CN"/>
        </w:rPr>
        <w:t>供应商</w:t>
      </w:r>
      <w:r>
        <w:rPr>
          <w:rFonts w:hint="eastAsia" w:ascii="宋体" w:hAnsi="宋体" w:eastAsia="宋体" w:cs="宋体"/>
          <w:bCs/>
          <w:sz w:val="21"/>
          <w:szCs w:val="21"/>
          <w:u w:val="single"/>
        </w:rPr>
        <w:t xml:space="preserve">名称）   </w:t>
      </w:r>
      <w:r>
        <w:rPr>
          <w:rFonts w:hint="eastAsia" w:ascii="宋体" w:hAnsi="宋体" w:eastAsia="宋体" w:cs="宋体"/>
          <w:bCs/>
          <w:sz w:val="21"/>
          <w:szCs w:val="21"/>
          <w:lang w:val="zh-CN"/>
        </w:rPr>
        <w:t>（以下简称：乙方）协商一致，约定以下合同</w:t>
      </w:r>
      <w:r>
        <w:rPr>
          <w:rFonts w:hint="eastAsia" w:ascii="宋体" w:hAnsi="宋体" w:eastAsia="宋体" w:cs="宋体"/>
          <w:bCs/>
          <w:sz w:val="21"/>
          <w:szCs w:val="21"/>
        </w:rPr>
        <w:t>条款，以兹共同遵守、全面履行。</w:t>
      </w:r>
    </w:p>
    <w:p w14:paraId="571BE47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Cs/>
          <w:sz w:val="21"/>
          <w:szCs w:val="21"/>
        </w:rPr>
      </w:pPr>
      <w:bookmarkStart w:id="9" w:name="_Toc20421"/>
      <w:bookmarkStart w:id="10" w:name="_Toc28855"/>
      <w:bookmarkStart w:id="11" w:name="_Toc22967"/>
      <w:bookmarkStart w:id="12" w:name="_Toc19273"/>
      <w:bookmarkStart w:id="13" w:name="_Toc15367"/>
      <w:r>
        <w:rPr>
          <w:rFonts w:hint="eastAsia" w:ascii="宋体" w:hAnsi="宋体" w:eastAsia="宋体" w:cs="宋体"/>
          <w:b/>
          <w:bCs/>
          <w:sz w:val="21"/>
          <w:szCs w:val="21"/>
        </w:rPr>
        <w:t>1.1 合同组成部分</w:t>
      </w:r>
      <w:bookmarkEnd w:id="9"/>
      <w:bookmarkEnd w:id="10"/>
      <w:bookmarkEnd w:id="11"/>
      <w:bookmarkEnd w:id="12"/>
      <w:bookmarkEnd w:id="13"/>
    </w:p>
    <w:p w14:paraId="67A8D5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63F25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1.1.1本合同及其补充合同、变更协议。</w:t>
      </w:r>
    </w:p>
    <w:p w14:paraId="2BF8A3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1.1.2成交通知书。</w:t>
      </w:r>
    </w:p>
    <w:p w14:paraId="47EA63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1.1.3采购文件（含澄清或者说明文件）。</w:t>
      </w:r>
    </w:p>
    <w:p w14:paraId="5FD3A3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1.1.4响应文件（含澄清或者修改文件）。</w:t>
      </w:r>
    </w:p>
    <w:p w14:paraId="179B8B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1.1.5其他相关采购文件。</w:t>
      </w:r>
    </w:p>
    <w:p w14:paraId="35455EB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bookmarkStart w:id="14" w:name="_Toc6773"/>
      <w:bookmarkStart w:id="15" w:name="_Toc6311"/>
      <w:bookmarkStart w:id="16" w:name="_Toc2918"/>
      <w:bookmarkStart w:id="17" w:name="_Toc22185"/>
      <w:bookmarkStart w:id="18" w:name="_Toc18585"/>
      <w:r>
        <w:rPr>
          <w:rFonts w:hint="eastAsia" w:ascii="宋体" w:hAnsi="宋体" w:eastAsia="宋体" w:cs="宋体"/>
          <w:b/>
          <w:bCs/>
          <w:sz w:val="21"/>
          <w:szCs w:val="21"/>
        </w:rPr>
        <w:t>1.2 标的</w:t>
      </w:r>
      <w:bookmarkEnd w:id="14"/>
      <w:bookmarkEnd w:id="15"/>
      <w:bookmarkEnd w:id="16"/>
      <w:bookmarkEnd w:id="17"/>
      <w:bookmarkEnd w:id="18"/>
    </w:p>
    <w:p w14:paraId="7F94CA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u w:val="single"/>
          <w:lang w:eastAsia="zh-CN"/>
        </w:rPr>
      </w:pPr>
      <w:r>
        <w:rPr>
          <w:rFonts w:hint="eastAsia" w:ascii="宋体" w:hAnsi="宋体" w:eastAsia="宋体" w:cs="宋体"/>
          <w:bCs/>
          <w:sz w:val="21"/>
          <w:szCs w:val="21"/>
        </w:rPr>
        <w:t>1.2.1标的名称：</w:t>
      </w:r>
      <w:r>
        <w:rPr>
          <w:rFonts w:hint="eastAsia" w:ascii="宋体" w:hAnsi="宋体" w:cs="宋体"/>
          <w:b/>
          <w:bCs/>
          <w:sz w:val="21"/>
          <w:szCs w:val="21"/>
          <w:u w:val="single"/>
          <w:lang w:val="en-US" w:eastAsia="zh-CN"/>
        </w:rPr>
        <w:t xml:space="preserve"> </w:t>
      </w:r>
    </w:p>
    <w:p w14:paraId="3A4493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u w:val="single"/>
        </w:rPr>
      </w:pPr>
      <w:r>
        <w:rPr>
          <w:rFonts w:hint="eastAsia" w:ascii="宋体" w:hAnsi="宋体" w:eastAsia="宋体" w:cs="宋体"/>
          <w:bCs/>
          <w:sz w:val="21"/>
          <w:szCs w:val="21"/>
        </w:rPr>
        <w:t>1.2.2标的数量：</w:t>
      </w:r>
      <w:r>
        <w:rPr>
          <w:rFonts w:hint="eastAsia" w:ascii="宋体" w:hAnsi="宋体" w:eastAsia="宋体" w:cs="宋体"/>
          <w:bCs/>
          <w:sz w:val="21"/>
          <w:szCs w:val="21"/>
          <w:u w:val="single"/>
        </w:rPr>
        <w:t>1项。</w:t>
      </w:r>
    </w:p>
    <w:p w14:paraId="2DF450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u w:val="single"/>
        </w:rPr>
      </w:pPr>
      <w:r>
        <w:rPr>
          <w:rFonts w:hint="eastAsia" w:ascii="宋体" w:hAnsi="宋体" w:eastAsia="宋体" w:cs="宋体"/>
          <w:bCs/>
          <w:sz w:val="21"/>
          <w:szCs w:val="21"/>
        </w:rPr>
        <w:t>1.2.3标的内容：</w:t>
      </w:r>
    </w:p>
    <w:p w14:paraId="66AF54A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bookmarkStart w:id="19" w:name="_Toc13918"/>
      <w:bookmarkStart w:id="20" w:name="_Toc21124"/>
      <w:bookmarkStart w:id="21" w:name="_Toc1386"/>
      <w:bookmarkStart w:id="22" w:name="_Toc5635"/>
      <w:bookmarkStart w:id="23" w:name="_Toc4929"/>
      <w:r>
        <w:rPr>
          <w:rFonts w:hint="eastAsia" w:ascii="宋体" w:hAnsi="宋体" w:eastAsia="宋体" w:cs="宋体"/>
          <w:b/>
          <w:bCs/>
          <w:sz w:val="21"/>
          <w:szCs w:val="21"/>
        </w:rPr>
        <w:t>1.3 价款</w:t>
      </w:r>
      <w:bookmarkEnd w:id="19"/>
      <w:bookmarkEnd w:id="20"/>
      <w:bookmarkEnd w:id="21"/>
      <w:bookmarkEnd w:id="22"/>
      <w:bookmarkEnd w:id="23"/>
    </w:p>
    <w:p w14:paraId="7233E8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本合同</w:t>
      </w:r>
      <w:r>
        <w:rPr>
          <w:rFonts w:hint="eastAsia" w:ascii="宋体" w:hAnsi="宋体" w:cs="宋体"/>
          <w:bCs/>
          <w:sz w:val="21"/>
          <w:szCs w:val="21"/>
          <w:lang w:val="en-US" w:eastAsia="zh-CN"/>
        </w:rPr>
        <w:t>价款</w:t>
      </w:r>
      <w:r>
        <w:rPr>
          <w:rFonts w:hint="eastAsia" w:ascii="宋体" w:hAnsi="宋体" w:eastAsia="宋体" w:cs="宋体"/>
          <w:bCs/>
          <w:sz w:val="21"/>
          <w:szCs w:val="21"/>
        </w:rPr>
        <w:t>为：￥</w:t>
      </w:r>
      <w:r>
        <w:rPr>
          <w:rFonts w:hint="eastAsia" w:ascii="宋体" w:hAnsi="宋体" w:cs="宋体"/>
          <w:bCs/>
          <w:sz w:val="21"/>
          <w:szCs w:val="21"/>
          <w:lang w:val="en-US" w:eastAsia="zh-CN"/>
        </w:rPr>
        <w:t xml:space="preserve"> </w:t>
      </w:r>
      <w:r>
        <w:rPr>
          <w:rFonts w:hint="eastAsia" w:ascii="宋体" w:hAnsi="宋体" w:eastAsia="宋体" w:cs="宋体"/>
          <w:bCs/>
          <w:sz w:val="21"/>
          <w:szCs w:val="21"/>
        </w:rPr>
        <w:t>元</w:t>
      </w:r>
      <w:r>
        <w:rPr>
          <w:rFonts w:hint="eastAsia" w:ascii="宋体" w:hAnsi="宋体" w:cs="宋体"/>
          <w:bCs/>
          <w:sz w:val="21"/>
          <w:szCs w:val="21"/>
          <w:lang w:val="en-US" w:eastAsia="zh-CN"/>
        </w:rPr>
        <w:t>/人</w:t>
      </w:r>
      <w:r>
        <w:rPr>
          <w:rFonts w:hint="eastAsia" w:ascii="宋体" w:hAnsi="宋体" w:eastAsia="宋体" w:cs="宋体"/>
          <w:bCs/>
          <w:sz w:val="21"/>
          <w:szCs w:val="21"/>
        </w:rPr>
        <w:t>（大写：人民币元</w:t>
      </w:r>
      <w:r>
        <w:rPr>
          <w:rFonts w:hint="eastAsia" w:ascii="宋体" w:hAnsi="宋体" w:cs="宋体"/>
          <w:bCs/>
          <w:sz w:val="21"/>
          <w:szCs w:val="21"/>
          <w:lang w:val="en-US" w:eastAsia="zh-CN"/>
        </w:rPr>
        <w:t>/人</w:t>
      </w:r>
      <w:r>
        <w:rPr>
          <w:rFonts w:hint="eastAsia" w:ascii="宋体" w:hAnsi="宋体" w:eastAsia="宋体" w:cs="宋体"/>
          <w:bCs/>
          <w:sz w:val="21"/>
          <w:szCs w:val="21"/>
        </w:rPr>
        <w:t>）。</w:t>
      </w:r>
    </w:p>
    <w:p w14:paraId="78C08B9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bookmarkStart w:id="24" w:name="_Toc3654"/>
      <w:bookmarkStart w:id="25" w:name="_Toc26916"/>
      <w:bookmarkStart w:id="26" w:name="_Toc14993"/>
      <w:bookmarkStart w:id="27" w:name="_Toc30506"/>
      <w:bookmarkStart w:id="28" w:name="_Toc30158"/>
      <w:r>
        <w:rPr>
          <w:rFonts w:hint="eastAsia" w:ascii="宋体" w:hAnsi="宋体" w:eastAsia="宋体" w:cs="宋体"/>
          <w:b/>
          <w:bCs/>
          <w:sz w:val="21"/>
          <w:szCs w:val="21"/>
        </w:rPr>
        <w:t>1.4付款方式和发票开具方式</w:t>
      </w:r>
      <w:bookmarkEnd w:id="24"/>
      <w:bookmarkEnd w:id="25"/>
      <w:bookmarkEnd w:id="26"/>
      <w:bookmarkEnd w:id="27"/>
      <w:bookmarkEnd w:id="28"/>
    </w:p>
    <w:p w14:paraId="66E7CA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1.4.1本合同项下所有款项均以人民币支付。</w:t>
      </w:r>
    </w:p>
    <w:p w14:paraId="4528B6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bCs/>
          <w:sz w:val="21"/>
          <w:szCs w:val="21"/>
        </w:rPr>
        <w:t>1.4.2付款方式：项目完成且通过验收后的十个工作日内，甲方向乙方一次性付清全部合同款项。</w:t>
      </w:r>
    </w:p>
    <w:p w14:paraId="1AA0459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Cs/>
          <w:sz w:val="21"/>
          <w:szCs w:val="21"/>
        </w:rPr>
      </w:pPr>
      <w:r>
        <w:rPr>
          <w:rFonts w:hint="eastAsia" w:ascii="宋体" w:hAnsi="宋体" w:eastAsia="宋体" w:cs="宋体"/>
          <w:b/>
          <w:sz w:val="21"/>
          <w:szCs w:val="21"/>
        </w:rPr>
        <w:t>注：付款前，乙方应提供符合甲方要求的同等金额的合法有效发票。否则，甲方有权顺延付款时间，且不承担任何违约或赔偿责任。</w:t>
      </w:r>
    </w:p>
    <w:p w14:paraId="299795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1.4.3发票开具方式：。</w:t>
      </w:r>
    </w:p>
    <w:p w14:paraId="0D4E67C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bookmarkStart w:id="29" w:name="_Toc8772"/>
      <w:bookmarkStart w:id="30" w:name="_Toc4760"/>
      <w:bookmarkStart w:id="31" w:name="_Toc11108"/>
      <w:bookmarkStart w:id="32" w:name="_Toc31421"/>
      <w:bookmarkStart w:id="33" w:name="_Toc3625"/>
      <w:r>
        <w:rPr>
          <w:rFonts w:hint="eastAsia" w:ascii="宋体" w:hAnsi="宋体" w:eastAsia="宋体" w:cs="宋体"/>
          <w:b/>
          <w:bCs/>
          <w:sz w:val="21"/>
          <w:szCs w:val="21"/>
        </w:rPr>
        <w:t>1.5 完成期限和地点</w:t>
      </w:r>
      <w:bookmarkEnd w:id="29"/>
      <w:bookmarkEnd w:id="30"/>
      <w:bookmarkEnd w:id="31"/>
      <w:bookmarkEnd w:id="32"/>
      <w:bookmarkEnd w:id="33"/>
    </w:p>
    <w:p w14:paraId="42F72C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1.5.1服务期限：</w:t>
      </w:r>
      <w:r>
        <w:rPr>
          <w:rFonts w:hint="eastAsia" w:ascii="宋体" w:hAnsi="宋体" w:eastAsia="宋体" w:cs="宋体"/>
          <w:bCs/>
          <w:sz w:val="21"/>
          <w:szCs w:val="21"/>
          <w:u w:val="single"/>
        </w:rPr>
        <w:t>。</w:t>
      </w:r>
    </w:p>
    <w:p w14:paraId="18A959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u w:val="single"/>
        </w:rPr>
      </w:pPr>
      <w:r>
        <w:rPr>
          <w:rFonts w:hint="eastAsia" w:ascii="宋体" w:hAnsi="宋体" w:eastAsia="宋体" w:cs="宋体"/>
          <w:bCs/>
          <w:sz w:val="21"/>
          <w:szCs w:val="21"/>
        </w:rPr>
        <w:t>1.5.2服务地点：</w:t>
      </w:r>
      <w:r>
        <w:rPr>
          <w:rFonts w:hint="eastAsia" w:ascii="宋体" w:hAnsi="宋体" w:eastAsia="宋体" w:cs="宋体"/>
          <w:bCs/>
          <w:sz w:val="21"/>
          <w:szCs w:val="21"/>
          <w:u w:val="single"/>
        </w:rPr>
        <w:t>甲方指定的地点。</w:t>
      </w:r>
    </w:p>
    <w:p w14:paraId="551B19B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1.6 双方权利义务</w:t>
      </w:r>
    </w:p>
    <w:p w14:paraId="2ED1A87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sz w:val="21"/>
          <w:szCs w:val="21"/>
        </w:rPr>
      </w:pPr>
      <w:bookmarkStart w:id="34" w:name="_Toc8586"/>
      <w:bookmarkStart w:id="35" w:name="_Toc3079"/>
      <w:bookmarkStart w:id="36" w:name="_Toc2375"/>
      <w:bookmarkStart w:id="37" w:name="_Toc5698"/>
      <w:bookmarkStart w:id="38" w:name="_Toc24662"/>
      <w:r>
        <w:rPr>
          <w:rFonts w:hint="eastAsia" w:ascii="宋体" w:hAnsi="宋体" w:eastAsia="宋体" w:cs="宋体"/>
          <w:b/>
          <w:sz w:val="21"/>
          <w:szCs w:val="21"/>
        </w:rPr>
        <w:t>1.6.1甲方权利义务</w:t>
      </w:r>
    </w:p>
    <w:p w14:paraId="57B70A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（1）甲方可指派代表作为项目负责人，与乙方进行及时的联络并监督、协调服务的执行情况。</w:t>
      </w:r>
    </w:p>
    <w:p w14:paraId="1BFE35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（2）经验收合格后按时支付费用。</w:t>
      </w:r>
    </w:p>
    <w:p w14:paraId="782BD7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（3）法规、政策规定由甲方承担的其他责任。</w:t>
      </w:r>
    </w:p>
    <w:p w14:paraId="1B7D71D3">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1.6.2乙方权利义务</w:t>
      </w:r>
    </w:p>
    <w:p w14:paraId="071A32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（1）乙方应及时履行合同一般性义务和文件中规定的具体义务。乙方所提供服务的质量应与报价文件规定及报价响应文件承诺的内容相一致。</w:t>
      </w:r>
    </w:p>
    <w:p w14:paraId="4F05B1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（2）在本合同期内或合同终止后，未经得甲方同意，不得泄露与本项目有关的保密资料。</w:t>
      </w:r>
    </w:p>
    <w:p w14:paraId="2951BA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（3）乙方应独立承担服务中由于乙方原因造成的各类责任。</w:t>
      </w:r>
    </w:p>
    <w:p w14:paraId="42BE921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sz w:val="21"/>
          <w:szCs w:val="21"/>
        </w:rPr>
      </w:pPr>
      <w:r>
        <w:rPr>
          <w:rFonts w:hint="eastAsia" w:ascii="宋体" w:hAnsi="宋体" w:eastAsia="宋体" w:cs="宋体"/>
          <w:sz w:val="21"/>
          <w:szCs w:val="21"/>
        </w:rPr>
        <w:t>（4）法规、政策规定由乙方承担的其他责任。</w:t>
      </w:r>
    </w:p>
    <w:p w14:paraId="0F214D6D">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Cs/>
          <w:sz w:val="21"/>
          <w:szCs w:val="21"/>
          <w:u w:val="single"/>
        </w:rPr>
      </w:pPr>
      <w:r>
        <w:rPr>
          <w:rFonts w:hint="eastAsia" w:ascii="宋体" w:hAnsi="宋体" w:eastAsia="宋体" w:cs="宋体"/>
          <w:b/>
          <w:bCs/>
          <w:sz w:val="21"/>
          <w:szCs w:val="21"/>
        </w:rPr>
        <w:t>1.7 违约责任</w:t>
      </w:r>
      <w:bookmarkEnd w:id="34"/>
      <w:bookmarkEnd w:id="35"/>
      <w:bookmarkEnd w:id="36"/>
      <w:bookmarkEnd w:id="37"/>
      <w:bookmarkEnd w:id="38"/>
    </w:p>
    <w:p w14:paraId="359BB2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1.7.1除不可抗力外，如果乙方没有按照本合同约定的期限、地点和方式履行，那么甲方可要求乙方支付违约金，违约金按每迟延履行一日的应提供而未提供服务价格的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bCs/>
          <w:sz w:val="21"/>
          <w:szCs w:val="21"/>
          <w:u w:val="single"/>
        </w:rPr>
        <w:t>0.5</w:t>
      </w:r>
      <w:r>
        <w:rPr>
          <w:rFonts w:hint="eastAsia" w:ascii="宋体" w:hAnsi="宋体" w:eastAsia="宋体" w:cs="宋体"/>
          <w:bCs/>
          <w:sz w:val="21"/>
          <w:szCs w:val="21"/>
        </w:rPr>
        <w:t>%计算，最高限额为本合同总价的</w:t>
      </w:r>
      <w:r>
        <w:rPr>
          <w:rFonts w:hint="eastAsia" w:ascii="宋体" w:hAnsi="宋体" w:eastAsia="宋体" w:cs="宋体"/>
          <w:bCs/>
          <w:sz w:val="21"/>
          <w:szCs w:val="21"/>
          <w:u w:val="single"/>
        </w:rPr>
        <w:t>5</w:t>
      </w:r>
      <w:r>
        <w:rPr>
          <w:rFonts w:hint="eastAsia" w:ascii="宋体" w:hAnsi="宋体" w:eastAsia="宋体" w:cs="宋体"/>
          <w:bCs/>
          <w:sz w:val="21"/>
          <w:szCs w:val="21"/>
        </w:rPr>
        <w:t>%；迟延履行的违约金计算数额达到前述最高限额之日起，甲方有权在要求乙方支付违约金的同时，书面通知乙方解除本合同。</w:t>
      </w:r>
    </w:p>
    <w:p w14:paraId="1367FC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1.7.2除不可抗力外，如果甲方没有按照本合同约定的付款方式付款，那么乙方可要求甲方支付违约金，违约金按每迟延付款一日的应付而未付款的</w:t>
      </w:r>
      <w:r>
        <w:rPr>
          <w:rFonts w:hint="eastAsia" w:ascii="宋体" w:hAnsi="宋体" w:eastAsia="宋体" w:cs="宋体"/>
          <w:bCs/>
          <w:sz w:val="21"/>
          <w:szCs w:val="21"/>
          <w:u w:val="single"/>
        </w:rPr>
        <w:t>0.5</w:t>
      </w:r>
      <w:r>
        <w:rPr>
          <w:rFonts w:hint="eastAsia" w:ascii="宋体" w:hAnsi="宋体" w:eastAsia="宋体" w:cs="宋体"/>
          <w:bCs/>
          <w:sz w:val="21"/>
          <w:szCs w:val="21"/>
        </w:rPr>
        <w:t>%计算，最高限额为本合同总价的</w:t>
      </w:r>
      <w:r>
        <w:rPr>
          <w:rFonts w:hint="eastAsia" w:ascii="宋体" w:hAnsi="宋体" w:eastAsia="宋体" w:cs="宋体"/>
          <w:bCs/>
          <w:sz w:val="21"/>
          <w:szCs w:val="21"/>
          <w:u w:val="single"/>
        </w:rPr>
        <w:t>5</w:t>
      </w:r>
      <w:r>
        <w:rPr>
          <w:rFonts w:hint="eastAsia" w:ascii="宋体" w:hAnsi="宋体" w:eastAsia="宋体" w:cs="宋体"/>
          <w:bCs/>
          <w:sz w:val="21"/>
          <w:szCs w:val="21"/>
        </w:rPr>
        <w:t>%；迟延付款的违约金计算数额达到前述最高限额之日起，乙方有权在要求甲方支付违约金的同时，书面通知甲方解除本合同。</w:t>
      </w:r>
    </w:p>
    <w:p w14:paraId="5BBE5A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1.7.3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1AFCA4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1.7.4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A5CA2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1.7.5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6E433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1.7.6如果出现政府采购监督管理部门在处理投诉事项期间，书面通知甲方暂停采购活动的情形，或者询问或质疑事项可能影响成交结果的，导致甲方中止履行合同的情形，均不视为甲方违约。</w:t>
      </w:r>
    </w:p>
    <w:p w14:paraId="7E45E96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bookmarkStart w:id="39" w:name="_Toc30329"/>
      <w:bookmarkStart w:id="40" w:name="_Toc9497"/>
      <w:bookmarkStart w:id="41" w:name="_Toc18683"/>
      <w:bookmarkStart w:id="42" w:name="_Toc32454"/>
      <w:bookmarkStart w:id="43" w:name="_Toc26807"/>
      <w:r>
        <w:rPr>
          <w:rFonts w:hint="eastAsia" w:ascii="宋体" w:hAnsi="宋体" w:eastAsia="宋体" w:cs="宋体"/>
          <w:b/>
          <w:bCs/>
          <w:sz w:val="21"/>
          <w:szCs w:val="21"/>
        </w:rPr>
        <w:t>1.8 合同争议的解决</w:t>
      </w:r>
      <w:bookmarkEnd w:id="39"/>
      <w:bookmarkEnd w:id="40"/>
      <w:bookmarkEnd w:id="41"/>
      <w:bookmarkEnd w:id="42"/>
      <w:bookmarkEnd w:id="43"/>
    </w:p>
    <w:p w14:paraId="5EEB62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本合同履行过程中发生的任何争议，双方当事人均可通过和解或者调解解决；不愿和解、调解或者和解、调解不成的，可以选择下列第</w:t>
      </w:r>
      <w:r>
        <w:rPr>
          <w:rFonts w:hint="eastAsia" w:ascii="宋体" w:hAnsi="宋体" w:eastAsia="宋体" w:cs="宋体"/>
          <w:bCs/>
          <w:sz w:val="21"/>
          <w:szCs w:val="21"/>
          <w:u w:val="single"/>
        </w:rPr>
        <w:t>1.8.2</w:t>
      </w:r>
      <w:r>
        <w:rPr>
          <w:rFonts w:hint="eastAsia" w:ascii="宋体" w:hAnsi="宋体" w:eastAsia="宋体" w:cs="宋体"/>
          <w:bCs/>
          <w:sz w:val="21"/>
          <w:szCs w:val="21"/>
        </w:rPr>
        <w:t>种方式解决：</w:t>
      </w:r>
    </w:p>
    <w:p w14:paraId="239242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1.8.1将争议提交仲裁委员会依申请仲裁时其现行有效的仲裁规则裁决。</w:t>
      </w:r>
    </w:p>
    <w:p w14:paraId="6B0F7B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1.8.2向</w:t>
      </w:r>
      <w:r>
        <w:rPr>
          <w:rFonts w:hint="eastAsia" w:ascii="宋体" w:hAnsi="宋体" w:eastAsia="宋体" w:cs="宋体"/>
          <w:bCs/>
          <w:sz w:val="21"/>
          <w:szCs w:val="21"/>
          <w:u w:val="single"/>
        </w:rPr>
        <w:t>（被告住所地、合同履行地、合同签订地、原告住所地、标的物所在地等与争议有实际联系的地点中选出的人民法院名称）</w:t>
      </w:r>
      <w:r>
        <w:rPr>
          <w:rFonts w:hint="eastAsia" w:ascii="宋体" w:hAnsi="宋体" w:eastAsia="宋体" w:cs="宋体"/>
          <w:bCs/>
          <w:sz w:val="21"/>
          <w:szCs w:val="21"/>
        </w:rPr>
        <w:t>人民法院起诉。</w:t>
      </w:r>
    </w:p>
    <w:p w14:paraId="46CF5ED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bookmarkStart w:id="44" w:name="_Toc16417"/>
      <w:bookmarkStart w:id="45" w:name="_Toc23784"/>
      <w:bookmarkStart w:id="46" w:name="_Toc15827"/>
      <w:bookmarkStart w:id="47" w:name="_Toc26227"/>
      <w:bookmarkStart w:id="48" w:name="_Toc12273"/>
      <w:r>
        <w:rPr>
          <w:rFonts w:hint="eastAsia" w:ascii="宋体" w:hAnsi="宋体" w:eastAsia="宋体" w:cs="宋体"/>
          <w:b/>
          <w:bCs/>
          <w:sz w:val="21"/>
          <w:szCs w:val="21"/>
        </w:rPr>
        <w:t>1.9合同生效</w:t>
      </w:r>
      <w:bookmarkEnd w:id="44"/>
      <w:bookmarkEnd w:id="45"/>
      <w:bookmarkEnd w:id="46"/>
      <w:bookmarkEnd w:id="47"/>
      <w:bookmarkEnd w:id="48"/>
      <w:r>
        <w:rPr>
          <w:rFonts w:hint="eastAsia" w:ascii="宋体" w:hAnsi="宋体" w:eastAsia="宋体" w:cs="宋体"/>
          <w:b/>
          <w:bCs/>
          <w:sz w:val="21"/>
          <w:szCs w:val="21"/>
        </w:rPr>
        <w:t>及其他</w:t>
      </w:r>
    </w:p>
    <w:p w14:paraId="4F35BE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1.9.1合同应在甲乙双方代表签字后生效。</w:t>
      </w:r>
    </w:p>
    <w:p w14:paraId="0A70E4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1.9.2本合同一式二份，以简体中文书写，甲方、乙方各执一份。</w:t>
      </w:r>
    </w:p>
    <w:p w14:paraId="3AB136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1.9.3本合同应按照中华人民共和国的现行法律进行解释。</w:t>
      </w:r>
      <w:bookmarkStart w:id="49" w:name="_Toc331685783"/>
    </w:p>
    <w:p w14:paraId="79FFB7BD">
      <w:pPr>
        <w:spacing w:line="360" w:lineRule="auto"/>
        <w:ind w:firstLine="200"/>
        <w:jc w:val="center"/>
        <w:rPr>
          <w:rFonts w:hint="eastAsia" w:ascii="宋体" w:hAnsi="宋体" w:eastAsia="宋体" w:cs="宋体"/>
          <w:b/>
          <w:sz w:val="21"/>
          <w:szCs w:val="21"/>
        </w:rPr>
      </w:pPr>
      <w:r>
        <w:rPr>
          <w:rFonts w:hint="eastAsia" w:ascii="宋体" w:hAnsi="宋体" w:eastAsia="宋体" w:cs="宋体"/>
          <w:b/>
          <w:sz w:val="21"/>
          <w:szCs w:val="21"/>
        </w:rPr>
        <w:t>第二部分 合同一般条款</w:t>
      </w:r>
      <w:bookmarkEnd w:id="49"/>
    </w:p>
    <w:p w14:paraId="7B0A06D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bookmarkStart w:id="50" w:name="_Toc14021"/>
      <w:bookmarkStart w:id="51" w:name="_Toc5228"/>
      <w:bookmarkStart w:id="52" w:name="_Ref467378463"/>
      <w:bookmarkStart w:id="53" w:name="_Ref467379205"/>
      <w:bookmarkStart w:id="54" w:name="_Toc279701240"/>
      <w:bookmarkStart w:id="55" w:name="_Ref467378499"/>
      <w:bookmarkStart w:id="56" w:name="_Ref467379225"/>
      <w:bookmarkStart w:id="57" w:name="_Toc19680"/>
      <w:bookmarkStart w:id="58" w:name="_Ref467379101"/>
      <w:bookmarkStart w:id="59" w:name="_Ref467379195"/>
      <w:bookmarkStart w:id="60" w:name="_Ref467378404"/>
      <w:bookmarkStart w:id="61" w:name="_Ref467379109"/>
      <w:bookmarkStart w:id="62" w:name="_Toc259093669"/>
      <w:bookmarkStart w:id="63" w:name="_Ref467379094"/>
      <w:bookmarkStart w:id="64" w:name="_Toc31297"/>
      <w:bookmarkStart w:id="65" w:name="_Toc25079"/>
      <w:bookmarkStart w:id="66" w:name="_Ref467379214"/>
      <w:bookmarkStart w:id="67" w:name="_Toc487900349"/>
      <w:r>
        <w:rPr>
          <w:rFonts w:hint="eastAsia" w:ascii="宋体" w:hAnsi="宋体" w:eastAsia="宋体" w:cs="宋体"/>
          <w:b/>
          <w:bCs/>
          <w:sz w:val="21"/>
          <w:szCs w:val="21"/>
        </w:rPr>
        <w:t>2.1定义</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3FDA82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本合同中的下列词语应按以下内容进行解释：</w:t>
      </w:r>
    </w:p>
    <w:p w14:paraId="058166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2.1.1“合同”系指采购人和成交投标人签订的载明双方当事人所达成的协议，并包括所有的附件、附录和构成合同的其他文件。</w:t>
      </w:r>
    </w:p>
    <w:p w14:paraId="5EE3A3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2.1.2“合同价”系指根据合同约定，成交投标人在完全履行合同义务后，采购人应支付给成交投标人的价格。</w:t>
      </w:r>
    </w:p>
    <w:p w14:paraId="72AA67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2.1.3“服务”系指成交投标人根据合同约定应向采购人履行的除货物和工程以外的其他政府采购对象，包括采购人自身需要的服务和向社会公众提供的公共服务。</w:t>
      </w:r>
    </w:p>
    <w:p w14:paraId="4125A8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bookmarkStart w:id="68" w:name="_Ref467378840"/>
      <w:r>
        <w:rPr>
          <w:rFonts w:hint="eastAsia" w:ascii="宋体" w:hAnsi="宋体" w:eastAsia="宋体" w:cs="宋体"/>
          <w:bCs/>
          <w:sz w:val="21"/>
          <w:szCs w:val="21"/>
        </w:rPr>
        <w:t>2.1.4“甲方”系指与成交投标人签署合同的采购人</w:t>
      </w:r>
      <w:bookmarkEnd w:id="68"/>
      <w:r>
        <w:rPr>
          <w:rFonts w:hint="eastAsia" w:ascii="宋体" w:hAnsi="宋体" w:eastAsia="宋体" w:cs="宋体"/>
          <w:bCs/>
          <w:sz w:val="21"/>
          <w:szCs w:val="21"/>
        </w:rPr>
        <w:t>；采购人委托采购人代表其与乙方签订合同的，采购人的授权委托书作为合同附件。</w:t>
      </w:r>
    </w:p>
    <w:p w14:paraId="12C364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bookmarkStart w:id="69" w:name="_Ref467379400"/>
      <w:r>
        <w:rPr>
          <w:rFonts w:hint="eastAsia" w:ascii="宋体" w:hAnsi="宋体" w:eastAsia="宋体" w:cs="宋体"/>
          <w:bCs/>
          <w:sz w:val="21"/>
          <w:szCs w:val="21"/>
        </w:rPr>
        <w:t>2.1.5“乙方”系指根据合同约定提供服务的成交</w:t>
      </w:r>
      <w:bookmarkEnd w:id="69"/>
      <w:r>
        <w:rPr>
          <w:rFonts w:hint="eastAsia" w:ascii="宋体" w:hAnsi="宋体" w:eastAsia="宋体" w:cs="宋体"/>
          <w:bCs/>
          <w:sz w:val="21"/>
          <w:szCs w:val="21"/>
        </w:rPr>
        <w:t>投标人。</w:t>
      </w:r>
      <w:bookmarkStart w:id="70" w:name="_Ref467379436"/>
    </w:p>
    <w:p w14:paraId="244333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2.1.6“现场”系指合同约定提供服务的地点。</w:t>
      </w:r>
      <w:bookmarkEnd w:id="70"/>
    </w:p>
    <w:p w14:paraId="25843D1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bookmarkStart w:id="71" w:name="_Toc31402"/>
      <w:bookmarkStart w:id="72" w:name="_Toc487900350"/>
      <w:bookmarkStart w:id="73" w:name="_Toc3769"/>
      <w:bookmarkStart w:id="74" w:name="_Toc259093670"/>
      <w:bookmarkStart w:id="75" w:name="_Toc279701241"/>
      <w:bookmarkStart w:id="76" w:name="_Toc23289"/>
      <w:bookmarkStart w:id="77" w:name="_Toc19539"/>
      <w:bookmarkStart w:id="78" w:name="_Toc16752"/>
      <w:r>
        <w:rPr>
          <w:rFonts w:hint="eastAsia" w:ascii="宋体" w:hAnsi="宋体" w:eastAsia="宋体" w:cs="宋体"/>
          <w:b/>
          <w:bCs/>
          <w:sz w:val="21"/>
          <w:szCs w:val="21"/>
        </w:rPr>
        <w:t>2.2技术规范</w:t>
      </w:r>
      <w:bookmarkEnd w:id="71"/>
      <w:bookmarkEnd w:id="72"/>
      <w:bookmarkEnd w:id="73"/>
      <w:bookmarkEnd w:id="74"/>
      <w:bookmarkEnd w:id="75"/>
      <w:bookmarkEnd w:id="76"/>
      <w:bookmarkEnd w:id="77"/>
      <w:bookmarkEnd w:id="78"/>
    </w:p>
    <w:p w14:paraId="6CE714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4A0572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bookmarkStart w:id="79" w:name="_Toc4133"/>
      <w:bookmarkStart w:id="80" w:name="_Toc27945"/>
      <w:bookmarkStart w:id="81" w:name="_Toc259093671"/>
      <w:bookmarkStart w:id="82" w:name="_Toc9161"/>
      <w:bookmarkStart w:id="83" w:name="_Toc12412"/>
      <w:bookmarkStart w:id="84" w:name="_Toc487900351"/>
      <w:bookmarkStart w:id="85" w:name="_Toc279701242"/>
      <w:bookmarkStart w:id="86" w:name="_Toc13673"/>
      <w:r>
        <w:rPr>
          <w:rFonts w:hint="eastAsia" w:ascii="宋体" w:hAnsi="宋体" w:eastAsia="宋体" w:cs="宋体"/>
          <w:b/>
          <w:bCs/>
          <w:sz w:val="21"/>
          <w:szCs w:val="21"/>
        </w:rPr>
        <w:t>2.3知识产权</w:t>
      </w:r>
      <w:bookmarkEnd w:id="79"/>
      <w:bookmarkEnd w:id="80"/>
      <w:bookmarkEnd w:id="81"/>
      <w:bookmarkEnd w:id="82"/>
      <w:bookmarkEnd w:id="83"/>
      <w:bookmarkEnd w:id="84"/>
      <w:bookmarkEnd w:id="85"/>
      <w:bookmarkEnd w:id="86"/>
    </w:p>
    <w:p w14:paraId="61FC64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06495F0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2.4 履约检查和问题反馈</w:t>
      </w:r>
    </w:p>
    <w:p w14:paraId="1398A0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bookmarkStart w:id="87" w:name="_Toc186431854"/>
      <w:bookmarkStart w:id="88" w:name="_Toc487900357"/>
      <w:bookmarkStart w:id="89" w:name="_Toc279701247"/>
      <w:bookmarkStart w:id="90" w:name="_Ref467379793"/>
      <w:bookmarkStart w:id="91" w:name="_Ref467379807"/>
      <w:bookmarkStart w:id="92" w:name="_Toc259093676"/>
      <w:r>
        <w:rPr>
          <w:rFonts w:hint="eastAsia" w:ascii="宋体" w:hAnsi="宋体" w:eastAsia="宋体" w:cs="宋体"/>
          <w:bCs/>
          <w:sz w:val="21"/>
          <w:szCs w:val="21"/>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171B5A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2.4.2合同履行期间，甲方有权将履行过程中出现的问题反馈给乙方，双方当事人应以书面形式约定需要完善和改进的内容</w:t>
      </w:r>
      <w:bookmarkEnd w:id="87"/>
      <w:bookmarkStart w:id="93" w:name="_Toc186431855"/>
      <w:r>
        <w:rPr>
          <w:rFonts w:hint="eastAsia" w:ascii="宋体" w:hAnsi="宋体" w:eastAsia="宋体" w:cs="宋体"/>
          <w:bCs/>
          <w:sz w:val="21"/>
          <w:szCs w:val="21"/>
        </w:rPr>
        <w:t>。</w:t>
      </w:r>
    </w:p>
    <w:bookmarkEnd w:id="88"/>
    <w:bookmarkEnd w:id="89"/>
    <w:bookmarkEnd w:id="90"/>
    <w:bookmarkEnd w:id="91"/>
    <w:bookmarkEnd w:id="92"/>
    <w:bookmarkEnd w:id="93"/>
    <w:p w14:paraId="1C02611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bookmarkStart w:id="94" w:name="_Toc259093677"/>
      <w:bookmarkStart w:id="95" w:name="_Ref467379923"/>
      <w:bookmarkStart w:id="96" w:name="_Toc487900358"/>
      <w:bookmarkStart w:id="97" w:name="_Ref467379852"/>
      <w:bookmarkStart w:id="98" w:name="_Ref467379863"/>
      <w:bookmarkStart w:id="99" w:name="_Toc279701248"/>
      <w:bookmarkStart w:id="100" w:name="_Toc18990"/>
      <w:bookmarkStart w:id="101" w:name="_Toc13154"/>
      <w:bookmarkStart w:id="102" w:name="_Toc13467"/>
      <w:bookmarkStart w:id="103" w:name="_Toc16163"/>
      <w:bookmarkStart w:id="104" w:name="_Toc30507"/>
      <w:r>
        <w:rPr>
          <w:rFonts w:hint="eastAsia" w:ascii="宋体" w:hAnsi="宋体" w:eastAsia="宋体" w:cs="宋体"/>
          <w:b/>
          <w:bCs/>
          <w:sz w:val="21"/>
          <w:szCs w:val="21"/>
        </w:rPr>
        <w:t>2.5技术资料</w:t>
      </w:r>
      <w:bookmarkEnd w:id="94"/>
      <w:bookmarkEnd w:id="95"/>
      <w:bookmarkEnd w:id="96"/>
      <w:bookmarkEnd w:id="97"/>
      <w:bookmarkEnd w:id="98"/>
      <w:bookmarkEnd w:id="99"/>
      <w:r>
        <w:rPr>
          <w:rFonts w:hint="eastAsia" w:ascii="宋体" w:hAnsi="宋体" w:eastAsia="宋体" w:cs="宋体"/>
          <w:b/>
          <w:bCs/>
          <w:sz w:val="21"/>
          <w:szCs w:val="21"/>
        </w:rPr>
        <w:t>和保密义务</w:t>
      </w:r>
      <w:bookmarkEnd w:id="100"/>
      <w:bookmarkEnd w:id="101"/>
      <w:bookmarkEnd w:id="102"/>
      <w:bookmarkEnd w:id="103"/>
      <w:bookmarkEnd w:id="104"/>
    </w:p>
    <w:p w14:paraId="7461C1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2.5.1乙方有权依据合同约定和项目需要，向甲方了解有关情况，调阅有关资料等，甲方应予积极配合。</w:t>
      </w:r>
    </w:p>
    <w:p w14:paraId="33882F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2.5.2乙方有义务妥善保管和保护由甲方提供的前款信息和资料等。</w:t>
      </w:r>
    </w:p>
    <w:p w14:paraId="1F8BDD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2.5.3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6C9A81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bookmarkStart w:id="105" w:name="_Toc19069"/>
      <w:bookmarkStart w:id="106" w:name="_Toc487900362"/>
      <w:bookmarkStart w:id="107" w:name="_Toc279701252"/>
      <w:bookmarkStart w:id="108" w:name="_Toc259093681"/>
      <w:r>
        <w:rPr>
          <w:rFonts w:hint="eastAsia" w:ascii="宋体" w:hAnsi="宋体" w:eastAsia="宋体" w:cs="宋体"/>
          <w:b/>
          <w:bCs/>
          <w:sz w:val="21"/>
          <w:szCs w:val="21"/>
        </w:rPr>
        <w:t>2.6 质量保证</w:t>
      </w:r>
      <w:bookmarkEnd w:id="105"/>
    </w:p>
    <w:p w14:paraId="1F57BC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2.6.1乙方应建立和完善履行合同的内部质量保证体系，并提供相关内部规章制度给甲方，以便甲方进行监督检查；</w:t>
      </w:r>
    </w:p>
    <w:p w14:paraId="32025D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2.6.2乙方应保证履行合同的人员数量和素质、软件和硬件设备的配置、场地、环境和设施等满足全面履行合同的要求，并应接受甲方的监督检查。</w:t>
      </w:r>
    </w:p>
    <w:p w14:paraId="017DD0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bCs/>
          <w:sz w:val="21"/>
          <w:szCs w:val="21"/>
        </w:rPr>
        <w:t>2.6.3其他</w:t>
      </w:r>
      <w:r>
        <w:rPr>
          <w:rFonts w:hint="eastAsia" w:ascii="宋体" w:hAnsi="宋体" w:eastAsia="宋体" w:cs="宋体"/>
          <w:sz w:val="21"/>
          <w:szCs w:val="21"/>
        </w:rPr>
        <w:t>各项服务承诺指标及所采取的措施符合“采购文件”要求及响应承诺。</w:t>
      </w:r>
    </w:p>
    <w:p w14:paraId="599B18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sz w:val="21"/>
          <w:szCs w:val="21"/>
        </w:rPr>
        <w:t>2.6.4其他物业管理服务质量要求按江苏省有关标准执行。</w:t>
      </w:r>
    </w:p>
    <w:p w14:paraId="755E8D5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bookmarkStart w:id="109" w:name="_Toc22267"/>
      <w:r>
        <w:rPr>
          <w:rFonts w:hint="eastAsia" w:ascii="宋体" w:hAnsi="宋体" w:eastAsia="宋体" w:cs="宋体"/>
          <w:b/>
          <w:bCs/>
          <w:sz w:val="21"/>
          <w:szCs w:val="21"/>
        </w:rPr>
        <w:t>2.7 延迟</w:t>
      </w:r>
      <w:bookmarkEnd w:id="106"/>
      <w:bookmarkEnd w:id="107"/>
      <w:bookmarkEnd w:id="108"/>
      <w:r>
        <w:rPr>
          <w:rFonts w:hint="eastAsia" w:ascii="宋体" w:hAnsi="宋体" w:eastAsia="宋体" w:cs="宋体"/>
          <w:b/>
          <w:bCs/>
          <w:sz w:val="21"/>
          <w:szCs w:val="21"/>
        </w:rPr>
        <w:t>履行</w:t>
      </w:r>
      <w:bookmarkEnd w:id="109"/>
    </w:p>
    <w:p w14:paraId="7E3707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4D10403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bookmarkStart w:id="110" w:name="_Toc10611"/>
      <w:bookmarkStart w:id="111" w:name="_Ref467378121"/>
      <w:bookmarkStart w:id="112" w:name="_Toc487900364"/>
      <w:bookmarkStart w:id="113" w:name="_Toc279701254"/>
      <w:bookmarkStart w:id="114" w:name="_Toc259093683"/>
      <w:r>
        <w:rPr>
          <w:rFonts w:hint="eastAsia" w:ascii="宋体" w:hAnsi="宋体" w:eastAsia="宋体" w:cs="宋体"/>
          <w:b/>
          <w:bCs/>
          <w:sz w:val="21"/>
          <w:szCs w:val="21"/>
        </w:rPr>
        <w:t>2.8 合同变更</w:t>
      </w:r>
      <w:bookmarkEnd w:id="110"/>
    </w:p>
    <w:p w14:paraId="0F1C5E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2.8.1双方当事人协商一致，可以签订书面补充合同的形式变更合同，但不得违背采购文件确定的事项，且如果系追加与合同标的相同的服务的，那么所有补充合同的采购金额不得超过原合同价的10%。</w:t>
      </w:r>
    </w:p>
    <w:p w14:paraId="112E47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2.8.2合同继续履行将损害国家利益和社会公共利益的，双方当事人应当以书面形式变更合同。有过错的一方应当承担赔偿责任，双方当事人都有过错的，各自承担相应的责任。</w:t>
      </w:r>
      <w:bookmarkStart w:id="115" w:name="_Toc259093688"/>
      <w:bookmarkStart w:id="116" w:name="_Toc279701259"/>
      <w:bookmarkStart w:id="117" w:name="_Toc487900369"/>
    </w:p>
    <w:p w14:paraId="12A9848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bookmarkStart w:id="118" w:name="_Toc23368"/>
      <w:bookmarkStart w:id="119" w:name="_Toc26689"/>
      <w:bookmarkStart w:id="120" w:name="_Toc42"/>
      <w:bookmarkStart w:id="121" w:name="_Toc21830"/>
      <w:bookmarkStart w:id="122" w:name="_Toc10663"/>
      <w:r>
        <w:rPr>
          <w:rFonts w:hint="eastAsia" w:ascii="宋体" w:hAnsi="宋体" w:eastAsia="宋体" w:cs="宋体"/>
          <w:b/>
          <w:bCs/>
          <w:sz w:val="21"/>
          <w:szCs w:val="21"/>
        </w:rPr>
        <w:t>2.9合同转让</w:t>
      </w:r>
      <w:bookmarkEnd w:id="115"/>
      <w:bookmarkEnd w:id="116"/>
      <w:bookmarkEnd w:id="117"/>
      <w:r>
        <w:rPr>
          <w:rFonts w:hint="eastAsia" w:ascii="宋体" w:hAnsi="宋体" w:eastAsia="宋体" w:cs="宋体"/>
          <w:b/>
          <w:bCs/>
          <w:sz w:val="21"/>
          <w:szCs w:val="21"/>
        </w:rPr>
        <w:t>和分包</w:t>
      </w:r>
      <w:bookmarkEnd w:id="118"/>
      <w:bookmarkEnd w:id="119"/>
      <w:bookmarkEnd w:id="120"/>
      <w:bookmarkEnd w:id="121"/>
      <w:bookmarkEnd w:id="122"/>
    </w:p>
    <w:p w14:paraId="1E9DA4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投标人就分包项目向甲方承担连带责任。</w:t>
      </w:r>
    </w:p>
    <w:p w14:paraId="0EA026D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bookmarkStart w:id="123" w:name="_Toc32494"/>
      <w:bookmarkStart w:id="124" w:name="_Toc25571"/>
      <w:bookmarkStart w:id="125" w:name="_Toc26633"/>
      <w:bookmarkStart w:id="126" w:name="_Toc4720"/>
      <w:bookmarkStart w:id="127" w:name="_Toc14371"/>
      <w:r>
        <w:rPr>
          <w:rFonts w:hint="eastAsia" w:ascii="宋体" w:hAnsi="宋体" w:eastAsia="宋体" w:cs="宋体"/>
          <w:b/>
          <w:bCs/>
          <w:sz w:val="21"/>
          <w:szCs w:val="21"/>
        </w:rPr>
        <w:t>2.10 不可抗力</w:t>
      </w:r>
      <w:bookmarkEnd w:id="123"/>
      <w:bookmarkEnd w:id="124"/>
      <w:bookmarkEnd w:id="125"/>
      <w:bookmarkEnd w:id="126"/>
      <w:bookmarkEnd w:id="127"/>
    </w:p>
    <w:p w14:paraId="26FB66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2.10.1如果任何一方遭遇法律规定的不可抗力，致使合同履行受阻时，履行合同的期限应予延长，延长的期限应相当于不可抗力所影响的时间。</w:t>
      </w:r>
    </w:p>
    <w:p w14:paraId="04F711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2.10.2因不可抗力致使不能实现合同目的的，当事人可以解除合同。</w:t>
      </w:r>
    </w:p>
    <w:p w14:paraId="144CF9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i w:val="0"/>
          <w:iCs w:val="0"/>
          <w:sz w:val="21"/>
          <w:szCs w:val="21"/>
        </w:rPr>
      </w:pPr>
      <w:r>
        <w:rPr>
          <w:rFonts w:hint="eastAsia" w:ascii="宋体" w:hAnsi="宋体" w:eastAsia="宋体" w:cs="宋体"/>
          <w:bCs/>
          <w:sz w:val="21"/>
          <w:szCs w:val="21"/>
        </w:rPr>
        <w:t>2.10.3因不可抗力致使合同有变更必要的，双方当事人应</w:t>
      </w:r>
      <w:r>
        <w:rPr>
          <w:rFonts w:hint="eastAsia" w:ascii="宋体" w:hAnsi="宋体" w:eastAsia="宋体" w:cs="宋体"/>
          <w:bCs/>
          <w:i w:val="0"/>
          <w:iCs w:val="0"/>
          <w:sz w:val="21"/>
          <w:szCs w:val="21"/>
        </w:rPr>
        <w:t>在</w:t>
      </w:r>
      <w:r>
        <w:rPr>
          <w:rFonts w:hint="eastAsia" w:ascii="宋体" w:hAnsi="宋体" w:eastAsia="宋体" w:cs="宋体"/>
          <w:b/>
          <w:bCs/>
          <w:i w:val="0"/>
          <w:iCs w:val="0"/>
          <w:sz w:val="21"/>
          <w:szCs w:val="21"/>
          <w:u w:val="single"/>
        </w:rPr>
        <w:t>7个工作日内</w:t>
      </w:r>
      <w:r>
        <w:rPr>
          <w:rFonts w:hint="eastAsia" w:ascii="宋体" w:hAnsi="宋体" w:eastAsia="宋体" w:cs="宋体"/>
          <w:bCs/>
          <w:i w:val="0"/>
          <w:iCs w:val="0"/>
          <w:sz w:val="21"/>
          <w:szCs w:val="21"/>
        </w:rPr>
        <w:t>以书面形式变更合同。</w:t>
      </w:r>
    </w:p>
    <w:p w14:paraId="06FBD0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i w:val="0"/>
          <w:iCs w:val="0"/>
          <w:sz w:val="21"/>
          <w:szCs w:val="21"/>
        </w:rPr>
      </w:pPr>
      <w:r>
        <w:rPr>
          <w:rFonts w:hint="eastAsia" w:ascii="宋体" w:hAnsi="宋体" w:eastAsia="宋体" w:cs="宋体"/>
          <w:bCs/>
          <w:i w:val="0"/>
          <w:iCs w:val="0"/>
          <w:sz w:val="21"/>
          <w:szCs w:val="21"/>
        </w:rPr>
        <w:t>2.10.4受不可抗力影响的一方在不可抗力发生后，应在</w:t>
      </w:r>
      <w:r>
        <w:rPr>
          <w:rFonts w:hint="eastAsia" w:ascii="宋体" w:hAnsi="宋体" w:eastAsia="宋体" w:cs="宋体"/>
          <w:b/>
          <w:bCs/>
          <w:i w:val="0"/>
          <w:iCs w:val="0"/>
          <w:sz w:val="21"/>
          <w:szCs w:val="21"/>
          <w:u w:val="single"/>
        </w:rPr>
        <w:t>7个工作日</w:t>
      </w:r>
      <w:r>
        <w:rPr>
          <w:rFonts w:hint="eastAsia" w:ascii="宋体" w:hAnsi="宋体" w:eastAsia="宋体" w:cs="宋体"/>
          <w:bCs/>
          <w:i w:val="0"/>
          <w:iCs w:val="0"/>
          <w:sz w:val="21"/>
          <w:szCs w:val="21"/>
        </w:rPr>
        <w:t>内以书面形式通知对方当事人，并在</w:t>
      </w:r>
      <w:r>
        <w:rPr>
          <w:rFonts w:hint="eastAsia" w:ascii="宋体" w:hAnsi="宋体" w:eastAsia="宋体" w:cs="宋体"/>
          <w:b/>
          <w:bCs/>
          <w:i w:val="0"/>
          <w:iCs w:val="0"/>
          <w:sz w:val="21"/>
          <w:szCs w:val="21"/>
          <w:u w:val="single"/>
        </w:rPr>
        <w:t>7个工作日</w:t>
      </w:r>
      <w:r>
        <w:rPr>
          <w:rFonts w:hint="eastAsia" w:ascii="宋体" w:hAnsi="宋体" w:eastAsia="宋体" w:cs="宋体"/>
          <w:bCs/>
          <w:i w:val="0"/>
          <w:iCs w:val="0"/>
          <w:sz w:val="21"/>
          <w:szCs w:val="21"/>
        </w:rPr>
        <w:t>内，将有关部门出具的证明文件送达对方当事人。</w:t>
      </w:r>
    </w:p>
    <w:p w14:paraId="2EA3977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bookmarkStart w:id="128" w:name="_Toc259093684"/>
      <w:bookmarkStart w:id="129" w:name="_Toc23854"/>
      <w:bookmarkStart w:id="130" w:name="_Toc487900365"/>
      <w:bookmarkStart w:id="131" w:name="_Toc24465"/>
      <w:bookmarkStart w:id="132" w:name="_Toc3638"/>
      <w:bookmarkStart w:id="133" w:name="_Toc25783"/>
      <w:bookmarkStart w:id="134" w:name="_Toc14115"/>
      <w:bookmarkStart w:id="135" w:name="_Toc279701255"/>
      <w:r>
        <w:rPr>
          <w:rFonts w:hint="eastAsia" w:ascii="宋体" w:hAnsi="宋体" w:eastAsia="宋体" w:cs="宋体"/>
          <w:b/>
          <w:bCs/>
          <w:sz w:val="21"/>
          <w:szCs w:val="21"/>
        </w:rPr>
        <w:t>2.11税费</w:t>
      </w:r>
      <w:bookmarkEnd w:id="128"/>
      <w:bookmarkEnd w:id="129"/>
      <w:bookmarkEnd w:id="130"/>
      <w:bookmarkEnd w:id="131"/>
      <w:bookmarkEnd w:id="132"/>
      <w:bookmarkEnd w:id="133"/>
      <w:bookmarkEnd w:id="134"/>
      <w:bookmarkEnd w:id="135"/>
    </w:p>
    <w:p w14:paraId="232E52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与合同有关的一切税费，均按照中华人民共和国法律的相关规定缴纳。</w:t>
      </w:r>
    </w:p>
    <w:p w14:paraId="54675F0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bookmarkStart w:id="136" w:name="_Toc14814"/>
      <w:bookmarkStart w:id="137" w:name="_Toc7315"/>
      <w:bookmarkStart w:id="138" w:name="_Toc279701258"/>
      <w:bookmarkStart w:id="139" w:name="_Toc487900368"/>
      <w:bookmarkStart w:id="140" w:name="_Toc25525"/>
      <w:bookmarkStart w:id="141" w:name="_Toc259093687"/>
      <w:bookmarkStart w:id="142" w:name="_Toc30105"/>
      <w:bookmarkStart w:id="143" w:name="_Toc26883"/>
      <w:r>
        <w:rPr>
          <w:rFonts w:hint="eastAsia" w:ascii="宋体" w:hAnsi="宋体" w:eastAsia="宋体" w:cs="宋体"/>
          <w:b/>
          <w:bCs/>
          <w:sz w:val="21"/>
          <w:szCs w:val="21"/>
        </w:rPr>
        <w:t>2.12乙方破产</w:t>
      </w:r>
      <w:bookmarkEnd w:id="136"/>
      <w:bookmarkEnd w:id="137"/>
      <w:bookmarkEnd w:id="138"/>
      <w:bookmarkEnd w:id="139"/>
      <w:bookmarkEnd w:id="140"/>
      <w:bookmarkEnd w:id="141"/>
      <w:bookmarkEnd w:id="142"/>
      <w:bookmarkEnd w:id="143"/>
    </w:p>
    <w:p w14:paraId="79D29B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53AA44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bookmarkStart w:id="144" w:name="_Toc1123"/>
      <w:bookmarkStart w:id="145" w:name="_Toc2016"/>
      <w:bookmarkStart w:id="146" w:name="_Toc23323"/>
      <w:r>
        <w:rPr>
          <w:rFonts w:hint="eastAsia" w:ascii="宋体" w:hAnsi="宋体" w:eastAsia="宋体" w:cs="宋体"/>
          <w:b/>
          <w:bCs/>
          <w:sz w:val="21"/>
          <w:szCs w:val="21"/>
        </w:rPr>
        <w:t>2.13合同中止、终止</w:t>
      </w:r>
      <w:bookmarkEnd w:id="144"/>
      <w:bookmarkEnd w:id="145"/>
      <w:bookmarkEnd w:id="146"/>
    </w:p>
    <w:p w14:paraId="5193BA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2.13.1双方当事人不得擅自中止或者终止合同。</w:t>
      </w:r>
    </w:p>
    <w:p w14:paraId="4EAE12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2.13.2合同继续履行将损害国家利益和社会公共利益的，双方当事人应当中止或者终止合同。有过错的一方应当承担赔偿责任，双方当事人都有过错的，各自承担相应的责任。</w:t>
      </w:r>
    </w:p>
    <w:bookmarkEnd w:id="111"/>
    <w:bookmarkEnd w:id="112"/>
    <w:bookmarkEnd w:id="113"/>
    <w:bookmarkEnd w:id="114"/>
    <w:p w14:paraId="7DF7BDD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bookmarkStart w:id="147" w:name="_Toc279701261"/>
      <w:bookmarkStart w:id="148" w:name="_Toc487900371"/>
      <w:bookmarkStart w:id="149" w:name="_Toc259093690"/>
      <w:bookmarkStart w:id="150" w:name="_Toc12666"/>
      <w:bookmarkStart w:id="151" w:name="_Toc25198"/>
      <w:bookmarkStart w:id="152" w:name="_Toc2308"/>
      <w:bookmarkStart w:id="153" w:name="_Toc9808"/>
      <w:bookmarkStart w:id="154" w:name="_Toc31892"/>
      <w:r>
        <w:rPr>
          <w:rFonts w:hint="eastAsia" w:ascii="宋体" w:hAnsi="宋体" w:eastAsia="宋体" w:cs="宋体"/>
          <w:b/>
          <w:bCs/>
          <w:sz w:val="21"/>
          <w:szCs w:val="21"/>
        </w:rPr>
        <w:t>2.14通知</w:t>
      </w:r>
      <w:bookmarkEnd w:id="147"/>
      <w:bookmarkEnd w:id="148"/>
      <w:bookmarkEnd w:id="149"/>
      <w:r>
        <w:rPr>
          <w:rFonts w:hint="eastAsia" w:ascii="宋体" w:hAnsi="宋体" w:eastAsia="宋体" w:cs="宋体"/>
          <w:b/>
          <w:bCs/>
          <w:sz w:val="21"/>
          <w:szCs w:val="21"/>
        </w:rPr>
        <w:t>和送达</w:t>
      </w:r>
      <w:bookmarkEnd w:id="150"/>
      <w:bookmarkEnd w:id="151"/>
      <w:bookmarkEnd w:id="152"/>
      <w:bookmarkEnd w:id="153"/>
      <w:bookmarkEnd w:id="154"/>
    </w:p>
    <w:p w14:paraId="4B55A0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bookmarkStart w:id="155" w:name="_Toc7073"/>
      <w:bookmarkStart w:id="156" w:name="_Toc29220"/>
      <w:bookmarkStart w:id="157" w:name="_Toc279701262"/>
      <w:bookmarkStart w:id="158" w:name="_Toc487900372"/>
      <w:bookmarkStart w:id="159" w:name="_Toc259093691"/>
      <w:r>
        <w:rPr>
          <w:rFonts w:hint="eastAsia" w:ascii="宋体" w:hAnsi="宋体" w:eastAsia="宋体" w:cs="宋体"/>
          <w:bCs/>
          <w:sz w:val="21"/>
          <w:szCs w:val="21"/>
        </w:rPr>
        <w:t>2.14.1任何一方因履行合同而以合同第一部分尾部所列明的</w:t>
      </w:r>
      <w:r>
        <w:rPr>
          <w:rFonts w:hint="eastAsia" w:ascii="宋体" w:hAnsi="宋体" w:eastAsia="宋体" w:cs="宋体"/>
          <w:b/>
          <w:bCs/>
          <w:i/>
          <w:sz w:val="21"/>
          <w:szCs w:val="21"/>
          <w:u w:val="single"/>
        </w:rPr>
        <w:t>内容</w:t>
      </w:r>
      <w:r>
        <w:rPr>
          <w:rFonts w:hint="eastAsia" w:ascii="宋体" w:hAnsi="宋体" w:eastAsia="宋体" w:cs="宋体"/>
          <w:bCs/>
          <w:sz w:val="21"/>
          <w:szCs w:val="21"/>
        </w:rPr>
        <w:t>发出的所有通知、文件、材料，均视为已向对方当事人送达；任何一方变更上述送达方式或者地址的，应于</w:t>
      </w:r>
      <w:r>
        <w:rPr>
          <w:rFonts w:hint="eastAsia" w:ascii="宋体" w:hAnsi="宋体" w:eastAsia="宋体" w:cs="宋体"/>
          <w:b/>
          <w:bCs/>
          <w:i/>
          <w:sz w:val="21"/>
          <w:szCs w:val="21"/>
          <w:u w:val="single"/>
        </w:rPr>
        <w:t>5个工作日</w:t>
      </w:r>
      <w:r>
        <w:rPr>
          <w:rFonts w:hint="eastAsia" w:ascii="宋体" w:hAnsi="宋体" w:eastAsia="宋体" w:cs="宋体"/>
          <w:bCs/>
          <w:sz w:val="21"/>
          <w:szCs w:val="21"/>
        </w:rPr>
        <w:t>内书面通知对方当事人，在对方当事人收到有关变更通知之前，变更前的约定送达方式或者地址仍视为有效。</w:t>
      </w:r>
      <w:bookmarkEnd w:id="155"/>
      <w:bookmarkEnd w:id="156"/>
    </w:p>
    <w:p w14:paraId="09A61E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bookmarkStart w:id="160" w:name="_Toc27674"/>
      <w:bookmarkStart w:id="161" w:name="_Toc18401"/>
      <w:r>
        <w:rPr>
          <w:rFonts w:hint="eastAsia" w:ascii="宋体" w:hAnsi="宋体" w:eastAsia="宋体" w:cs="宋体"/>
          <w:bCs/>
          <w:sz w:val="21"/>
          <w:szCs w:val="21"/>
        </w:rPr>
        <w:t>2.14.2以当面交付方式送达的，交付之时视为送达；以电子邮件方式送达的，发出电子邮件之时视为送达；以传真方式送达的，发出传真之时视为送达；以邮寄方式送达的，邮件挂号寄出或者交邮之日之次日视为送达。</w:t>
      </w:r>
      <w:bookmarkEnd w:id="160"/>
      <w:bookmarkEnd w:id="161"/>
    </w:p>
    <w:bookmarkEnd w:id="157"/>
    <w:bookmarkEnd w:id="158"/>
    <w:bookmarkEnd w:id="159"/>
    <w:p w14:paraId="2644D4C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bookmarkStart w:id="162" w:name="_Toc279701263"/>
      <w:bookmarkStart w:id="163" w:name="_Toc5063"/>
      <w:bookmarkStart w:id="164" w:name="_Toc27644"/>
      <w:bookmarkStart w:id="165" w:name="_Toc259093692"/>
      <w:bookmarkStart w:id="166" w:name="_Toc487900373"/>
      <w:bookmarkStart w:id="167" w:name="_Toc28906"/>
      <w:bookmarkStart w:id="168" w:name="_Toc20808"/>
      <w:bookmarkStart w:id="169" w:name="_Toc12254"/>
      <w:r>
        <w:rPr>
          <w:rFonts w:hint="eastAsia" w:ascii="宋体" w:hAnsi="宋体" w:eastAsia="宋体" w:cs="宋体"/>
          <w:b/>
          <w:bCs/>
          <w:sz w:val="21"/>
          <w:szCs w:val="21"/>
        </w:rPr>
        <w:t>2.15 合同使用的文字和适用的法律</w:t>
      </w:r>
      <w:bookmarkEnd w:id="162"/>
      <w:bookmarkEnd w:id="163"/>
      <w:bookmarkEnd w:id="164"/>
      <w:bookmarkEnd w:id="165"/>
      <w:bookmarkEnd w:id="166"/>
      <w:bookmarkEnd w:id="167"/>
      <w:bookmarkEnd w:id="168"/>
      <w:bookmarkEnd w:id="169"/>
    </w:p>
    <w:p w14:paraId="6C16E1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2.15.1合同使用汉语书就、变更和解释。</w:t>
      </w:r>
    </w:p>
    <w:p w14:paraId="4A1D6E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2.15.2合同适用中华人民共和国法律。</w:t>
      </w:r>
    </w:p>
    <w:p w14:paraId="2B734117">
      <w:pPr>
        <w:widowControl/>
        <w:spacing w:line="360" w:lineRule="auto"/>
        <w:jc w:val="center"/>
        <w:rPr>
          <w:rFonts w:hint="eastAsia" w:ascii="宋体" w:hAnsi="宋体" w:eastAsia="宋体" w:cs="宋体"/>
          <w:b/>
          <w:sz w:val="21"/>
          <w:szCs w:val="21"/>
        </w:rPr>
      </w:pPr>
      <w:bookmarkStart w:id="170" w:name="_Toc331685784"/>
    </w:p>
    <w:p w14:paraId="0020AD17">
      <w:pPr>
        <w:widowControl/>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第三部分  合同专用条款</w:t>
      </w:r>
      <w:bookmarkEnd w:id="170"/>
    </w:p>
    <w:p w14:paraId="5E55BE60">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本部分是对前两部分的补充和修改，如果前两部分和本部分的约定不一致，应以本部分的约定为准。本部分的条款号应与前两部分的条款号保持对应；与前两部分无对应关系的内容可另行编写条款号。</w:t>
      </w:r>
    </w:p>
    <w:tbl>
      <w:tblPr>
        <w:tblStyle w:val="56"/>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7622"/>
      </w:tblGrid>
      <w:tr w14:paraId="289D6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ign w:val="center"/>
          </w:tcPr>
          <w:p w14:paraId="2C7C24C5">
            <w:pPr>
              <w:widowControl/>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条款号</w:t>
            </w:r>
          </w:p>
        </w:tc>
        <w:tc>
          <w:tcPr>
            <w:tcW w:w="7622" w:type="dxa"/>
            <w:noWrap/>
            <w:vAlign w:val="center"/>
          </w:tcPr>
          <w:p w14:paraId="4869C3CE">
            <w:pPr>
              <w:widowControl/>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约定内容</w:t>
            </w:r>
          </w:p>
        </w:tc>
      </w:tr>
      <w:tr w14:paraId="28F4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2" w:hRule="atLeast"/>
          <w:jc w:val="center"/>
        </w:trPr>
        <w:tc>
          <w:tcPr>
            <w:tcW w:w="1162" w:type="dxa"/>
            <w:noWrap/>
            <w:vAlign w:val="center"/>
          </w:tcPr>
          <w:p w14:paraId="02A990B7">
            <w:pPr>
              <w:widowControl/>
              <w:spacing w:line="360" w:lineRule="auto"/>
              <w:jc w:val="center"/>
              <w:rPr>
                <w:rFonts w:hint="eastAsia" w:ascii="宋体" w:hAnsi="宋体" w:eastAsia="宋体" w:cs="宋体"/>
                <w:bCs/>
                <w:sz w:val="21"/>
                <w:szCs w:val="21"/>
              </w:rPr>
            </w:pPr>
          </w:p>
        </w:tc>
        <w:tc>
          <w:tcPr>
            <w:tcW w:w="7622" w:type="dxa"/>
            <w:noWrap/>
            <w:vAlign w:val="center"/>
          </w:tcPr>
          <w:p w14:paraId="6D3344EF">
            <w:pPr>
              <w:widowControl/>
              <w:spacing w:line="360" w:lineRule="auto"/>
              <w:rPr>
                <w:rFonts w:hint="eastAsia" w:ascii="宋体" w:hAnsi="宋体" w:eastAsia="宋体" w:cs="宋体"/>
                <w:sz w:val="21"/>
                <w:szCs w:val="21"/>
              </w:rPr>
            </w:pPr>
          </w:p>
        </w:tc>
      </w:tr>
      <w:tr w14:paraId="3B778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2" w:hRule="atLeast"/>
          <w:jc w:val="center"/>
        </w:trPr>
        <w:tc>
          <w:tcPr>
            <w:tcW w:w="1162" w:type="dxa"/>
            <w:noWrap/>
            <w:vAlign w:val="center"/>
          </w:tcPr>
          <w:p w14:paraId="37D19D65">
            <w:pPr>
              <w:widowControl/>
              <w:spacing w:line="360" w:lineRule="auto"/>
              <w:jc w:val="center"/>
              <w:rPr>
                <w:rFonts w:hint="eastAsia" w:ascii="宋体" w:hAnsi="宋体" w:eastAsia="宋体" w:cs="宋体"/>
                <w:bCs/>
                <w:sz w:val="21"/>
                <w:szCs w:val="21"/>
              </w:rPr>
            </w:pPr>
          </w:p>
        </w:tc>
        <w:tc>
          <w:tcPr>
            <w:tcW w:w="7622" w:type="dxa"/>
            <w:noWrap/>
            <w:vAlign w:val="center"/>
          </w:tcPr>
          <w:p w14:paraId="3AA380AD">
            <w:pPr>
              <w:widowControl/>
              <w:spacing w:line="360" w:lineRule="auto"/>
              <w:rPr>
                <w:rFonts w:hint="eastAsia" w:ascii="宋体" w:hAnsi="宋体" w:eastAsia="宋体" w:cs="宋体"/>
                <w:sz w:val="21"/>
                <w:szCs w:val="21"/>
              </w:rPr>
            </w:pPr>
          </w:p>
        </w:tc>
      </w:tr>
      <w:tr w14:paraId="049A2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2" w:hRule="atLeast"/>
          <w:jc w:val="center"/>
        </w:trPr>
        <w:tc>
          <w:tcPr>
            <w:tcW w:w="1162" w:type="dxa"/>
            <w:noWrap/>
            <w:vAlign w:val="center"/>
          </w:tcPr>
          <w:p w14:paraId="4D3190E6">
            <w:pPr>
              <w:widowControl/>
              <w:spacing w:line="360" w:lineRule="auto"/>
              <w:jc w:val="center"/>
              <w:rPr>
                <w:rFonts w:hint="eastAsia" w:ascii="宋体" w:hAnsi="宋体" w:eastAsia="宋体" w:cs="宋体"/>
                <w:bCs/>
                <w:sz w:val="21"/>
                <w:szCs w:val="21"/>
              </w:rPr>
            </w:pPr>
          </w:p>
        </w:tc>
        <w:tc>
          <w:tcPr>
            <w:tcW w:w="7622" w:type="dxa"/>
            <w:noWrap/>
            <w:vAlign w:val="center"/>
          </w:tcPr>
          <w:p w14:paraId="2A1ACDE3">
            <w:pPr>
              <w:widowControl/>
              <w:spacing w:line="360" w:lineRule="auto"/>
              <w:rPr>
                <w:rFonts w:hint="eastAsia" w:ascii="宋体" w:hAnsi="宋体" w:eastAsia="宋体" w:cs="宋体"/>
                <w:sz w:val="21"/>
                <w:szCs w:val="21"/>
              </w:rPr>
            </w:pPr>
          </w:p>
        </w:tc>
      </w:tr>
      <w:tr w14:paraId="29364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2" w:hRule="atLeast"/>
          <w:jc w:val="center"/>
        </w:trPr>
        <w:tc>
          <w:tcPr>
            <w:tcW w:w="1162" w:type="dxa"/>
            <w:noWrap/>
            <w:vAlign w:val="center"/>
          </w:tcPr>
          <w:p w14:paraId="37A84360">
            <w:pPr>
              <w:widowControl/>
              <w:spacing w:line="360" w:lineRule="auto"/>
              <w:jc w:val="center"/>
              <w:rPr>
                <w:rFonts w:hint="eastAsia" w:ascii="宋体" w:hAnsi="宋体" w:eastAsia="宋体" w:cs="宋体"/>
                <w:bCs/>
                <w:sz w:val="21"/>
                <w:szCs w:val="21"/>
              </w:rPr>
            </w:pPr>
          </w:p>
        </w:tc>
        <w:tc>
          <w:tcPr>
            <w:tcW w:w="7622" w:type="dxa"/>
            <w:noWrap/>
            <w:vAlign w:val="center"/>
          </w:tcPr>
          <w:p w14:paraId="58B394F0">
            <w:pPr>
              <w:widowControl/>
              <w:spacing w:line="360" w:lineRule="auto"/>
              <w:rPr>
                <w:rFonts w:hint="eastAsia" w:ascii="宋体" w:hAnsi="宋体" w:eastAsia="宋体" w:cs="宋体"/>
                <w:sz w:val="21"/>
                <w:szCs w:val="21"/>
              </w:rPr>
            </w:pPr>
          </w:p>
        </w:tc>
      </w:tr>
      <w:tr w14:paraId="282B2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2" w:hRule="atLeast"/>
          <w:jc w:val="center"/>
        </w:trPr>
        <w:tc>
          <w:tcPr>
            <w:tcW w:w="1162" w:type="dxa"/>
            <w:noWrap/>
            <w:vAlign w:val="center"/>
          </w:tcPr>
          <w:p w14:paraId="3E2E279E">
            <w:pPr>
              <w:widowControl/>
              <w:spacing w:line="360" w:lineRule="auto"/>
              <w:jc w:val="center"/>
              <w:rPr>
                <w:rFonts w:hint="eastAsia" w:ascii="宋体" w:hAnsi="宋体" w:eastAsia="宋体" w:cs="宋体"/>
                <w:bCs/>
                <w:sz w:val="21"/>
                <w:szCs w:val="21"/>
              </w:rPr>
            </w:pPr>
          </w:p>
        </w:tc>
        <w:tc>
          <w:tcPr>
            <w:tcW w:w="7622" w:type="dxa"/>
            <w:noWrap/>
            <w:vAlign w:val="center"/>
          </w:tcPr>
          <w:p w14:paraId="0C834A51">
            <w:pPr>
              <w:widowControl/>
              <w:spacing w:line="360" w:lineRule="auto"/>
              <w:rPr>
                <w:rFonts w:hint="eastAsia" w:ascii="宋体" w:hAnsi="宋体" w:eastAsia="宋体" w:cs="宋体"/>
                <w:sz w:val="21"/>
                <w:szCs w:val="21"/>
              </w:rPr>
            </w:pPr>
          </w:p>
        </w:tc>
      </w:tr>
    </w:tbl>
    <w:p w14:paraId="10F15166">
      <w:pPr>
        <w:widowControl/>
        <w:spacing w:line="360" w:lineRule="auto"/>
        <w:jc w:val="left"/>
        <w:rPr>
          <w:rFonts w:hint="eastAsia" w:ascii="宋体" w:hAnsi="宋体" w:eastAsia="宋体" w:cs="宋体"/>
          <w:bCs/>
          <w:sz w:val="21"/>
          <w:szCs w:val="21"/>
          <w:lang w:val="zh-CN"/>
        </w:rPr>
      </w:pPr>
      <w:r>
        <w:rPr>
          <w:rFonts w:hint="eastAsia" w:ascii="宋体" w:hAnsi="宋体" w:eastAsia="宋体" w:cs="宋体"/>
          <w:bCs/>
          <w:sz w:val="21"/>
          <w:szCs w:val="21"/>
          <w:lang w:val="zh-CN"/>
        </w:rPr>
        <w:t>甲方</w:t>
      </w:r>
      <w:r>
        <w:rPr>
          <w:rFonts w:hint="eastAsia" w:ascii="宋体" w:hAnsi="宋体" w:eastAsia="宋体" w:cs="宋体"/>
          <w:sz w:val="21"/>
          <w:szCs w:val="21"/>
        </w:rPr>
        <w:t>（盖章）</w:t>
      </w:r>
      <w:r>
        <w:rPr>
          <w:rFonts w:hint="eastAsia" w:ascii="宋体" w:hAnsi="宋体" w:eastAsia="宋体" w:cs="宋体"/>
          <w:bCs/>
          <w:sz w:val="21"/>
          <w:szCs w:val="21"/>
          <w:lang w:val="zh-CN"/>
        </w:rPr>
        <w:t>：                           乙方</w:t>
      </w:r>
      <w:r>
        <w:rPr>
          <w:rFonts w:hint="eastAsia" w:ascii="宋体" w:hAnsi="宋体" w:eastAsia="宋体" w:cs="宋体"/>
          <w:sz w:val="21"/>
          <w:szCs w:val="21"/>
        </w:rPr>
        <w:t>（盖章）</w:t>
      </w:r>
      <w:r>
        <w:rPr>
          <w:rFonts w:hint="eastAsia" w:ascii="宋体" w:hAnsi="宋体" w:eastAsia="宋体" w:cs="宋体"/>
          <w:bCs/>
          <w:sz w:val="21"/>
          <w:szCs w:val="21"/>
          <w:lang w:val="zh-CN"/>
        </w:rPr>
        <w:t>：</w:t>
      </w:r>
    </w:p>
    <w:p w14:paraId="73F9366D">
      <w:pPr>
        <w:widowControl/>
        <w:spacing w:line="360" w:lineRule="auto"/>
        <w:jc w:val="left"/>
        <w:rPr>
          <w:rFonts w:hint="eastAsia" w:ascii="宋体" w:hAnsi="宋体" w:eastAsia="宋体" w:cs="宋体"/>
          <w:bCs/>
          <w:sz w:val="21"/>
          <w:szCs w:val="21"/>
          <w:lang w:val="zh-CN"/>
        </w:rPr>
      </w:pPr>
      <w:r>
        <w:rPr>
          <w:rFonts w:hint="eastAsia" w:ascii="宋体" w:hAnsi="宋体" w:eastAsia="宋体" w:cs="宋体"/>
          <w:bCs/>
          <w:sz w:val="21"/>
          <w:szCs w:val="21"/>
          <w:lang w:val="zh-CN"/>
        </w:rPr>
        <w:t>统一社会信用代码：                       统一社会信用代码：</w:t>
      </w:r>
    </w:p>
    <w:p w14:paraId="371EB96F">
      <w:pPr>
        <w:widowControl/>
        <w:spacing w:line="360" w:lineRule="auto"/>
        <w:jc w:val="left"/>
        <w:rPr>
          <w:rFonts w:hint="eastAsia" w:ascii="宋体" w:hAnsi="宋体" w:eastAsia="宋体" w:cs="宋体"/>
          <w:bCs/>
          <w:sz w:val="21"/>
          <w:szCs w:val="21"/>
          <w:lang w:val="zh-CN"/>
        </w:rPr>
      </w:pPr>
      <w:r>
        <w:rPr>
          <w:rFonts w:hint="eastAsia" w:ascii="宋体" w:hAnsi="宋体" w:eastAsia="宋体" w:cs="宋体"/>
          <w:bCs/>
          <w:sz w:val="21"/>
          <w:szCs w:val="21"/>
          <w:lang w:val="zh-CN"/>
        </w:rPr>
        <w:t>授权代表（签字）：                       授权代表（签字）：</w:t>
      </w:r>
    </w:p>
    <w:p w14:paraId="717B0960">
      <w:pPr>
        <w:widowControl/>
        <w:spacing w:line="360" w:lineRule="auto"/>
        <w:jc w:val="left"/>
        <w:rPr>
          <w:rFonts w:hint="eastAsia" w:ascii="宋体" w:hAnsi="宋体" w:eastAsia="宋体" w:cs="宋体"/>
          <w:bCs/>
          <w:sz w:val="21"/>
          <w:szCs w:val="21"/>
          <w:lang w:val="zh-CN"/>
        </w:rPr>
      </w:pPr>
      <w:r>
        <w:rPr>
          <w:rFonts w:hint="eastAsia" w:ascii="宋体" w:hAnsi="宋体" w:eastAsia="宋体" w:cs="宋体"/>
          <w:bCs/>
          <w:sz w:val="21"/>
          <w:szCs w:val="21"/>
          <w:lang w:val="zh-CN"/>
        </w:rPr>
        <w:t>联系人/电话：                            联系人/电话：</w:t>
      </w:r>
    </w:p>
    <w:p w14:paraId="68E676CB">
      <w:pPr>
        <w:widowControl/>
        <w:spacing w:line="360" w:lineRule="auto"/>
        <w:jc w:val="left"/>
        <w:rPr>
          <w:rFonts w:hint="eastAsia" w:ascii="宋体" w:hAnsi="宋体" w:eastAsia="宋体" w:cs="宋体"/>
          <w:sz w:val="21"/>
          <w:szCs w:val="21"/>
        </w:rPr>
      </w:pPr>
      <w:r>
        <w:rPr>
          <w:rFonts w:hint="eastAsia" w:ascii="宋体" w:hAnsi="宋体" w:eastAsia="宋体" w:cs="宋体"/>
          <w:bCs/>
          <w:sz w:val="21"/>
          <w:szCs w:val="21"/>
        </w:rPr>
        <w:t>签订日期：                               签订日期：</w:t>
      </w:r>
    </w:p>
    <w:p w14:paraId="011E5FDF">
      <w:pPr>
        <w:snapToGrid w:val="0"/>
        <w:spacing w:line="360" w:lineRule="auto"/>
        <w:ind w:firstLine="573"/>
        <w:rPr>
          <w:rFonts w:ascii="宋体" w:hAnsi="宋体" w:cs="宋体"/>
          <w:bCs/>
          <w:kern w:val="44"/>
          <w:sz w:val="24"/>
          <w:szCs w:val="24"/>
        </w:rPr>
      </w:pPr>
      <w:r>
        <w:rPr>
          <w:rFonts w:ascii="宋体" w:hAnsi="宋体" w:cs="宋体"/>
          <w:bCs/>
          <w:kern w:val="44"/>
          <w:sz w:val="24"/>
          <w:szCs w:val="24"/>
        </w:rPr>
        <w:br w:type="page"/>
      </w:r>
    </w:p>
    <w:p w14:paraId="60565811">
      <w:pPr>
        <w:pStyle w:val="237"/>
        <w:numPr>
          <w:ilvl w:val="0"/>
          <w:numId w:val="0"/>
        </w:numPr>
        <w:tabs>
          <w:tab w:val="left" w:pos="1050"/>
          <w:tab w:val="right" w:leader="dot" w:pos="9402"/>
        </w:tabs>
        <w:spacing w:line="360" w:lineRule="auto"/>
        <w:ind w:left="0" w:leftChars="0"/>
        <w:jc w:val="center"/>
        <w:rPr>
          <w:rFonts w:ascii="Times New Roman" w:hAnsi="Times New Roman" w:cs="宋体"/>
          <w:b/>
          <w:sz w:val="44"/>
          <w:szCs w:val="44"/>
        </w:rPr>
      </w:pPr>
      <w:r>
        <w:rPr>
          <w:rFonts w:hint="eastAsia" w:ascii="Times New Roman" w:hAnsi="Times New Roman" w:eastAsia="宋体" w:cs="宋体"/>
          <w:b/>
          <w:sz w:val="44"/>
          <w:szCs w:val="44"/>
          <w:lang w:val="en-US" w:eastAsia="en-US" w:bidi="ar-SA"/>
        </w:rPr>
        <w:t>第六章</w:t>
      </w:r>
      <w:r>
        <w:rPr>
          <w:rFonts w:hint="eastAsia" w:ascii="Times New Roman" w:hAnsi="Times New Roman" w:cs="宋体"/>
          <w:b/>
          <w:sz w:val="44"/>
          <w:szCs w:val="44"/>
          <w:lang w:val="en-US" w:eastAsia="zh-CN" w:bidi="ar-SA"/>
        </w:rPr>
        <w:t xml:space="preserve">  </w:t>
      </w:r>
      <w:r>
        <w:rPr>
          <w:rFonts w:hint="eastAsia" w:ascii="Times New Roman" w:hAnsi="Times New Roman" w:cs="宋体"/>
          <w:b/>
          <w:sz w:val="44"/>
          <w:szCs w:val="44"/>
        </w:rPr>
        <w:t>合同授予</w:t>
      </w:r>
    </w:p>
    <w:p w14:paraId="5E075D36">
      <w:pPr>
        <w:spacing w:line="480" w:lineRule="exact"/>
        <w:ind w:firstLine="485"/>
        <w:rPr>
          <w:rFonts w:ascii="Times New Roman" w:hAnsi="Times New Roman" w:cs="宋体"/>
          <w:sz w:val="28"/>
          <w:szCs w:val="28"/>
        </w:rPr>
      </w:pPr>
      <w:r>
        <w:rPr>
          <w:rFonts w:hint="eastAsia" w:ascii="Times New Roman" w:hAnsi="Times New Roman" w:cs="宋体"/>
          <w:sz w:val="24"/>
        </w:rPr>
        <w:t>一、成交供应商在《成交通知书》发出之日起30日内须按照磋商文件确定的事项和采购单位签订政府采购合同。合同一式陆份，采购</w:t>
      </w:r>
      <w:r>
        <w:rPr>
          <w:rFonts w:hint="eastAsia" w:ascii="Times New Roman" w:hAnsi="Times New Roman" w:cs="宋体"/>
          <w:sz w:val="24"/>
          <w:szCs w:val="24"/>
        </w:rPr>
        <w:t>单位</w:t>
      </w:r>
      <w:r>
        <w:rPr>
          <w:rFonts w:hint="eastAsia" w:ascii="Times New Roman" w:hAnsi="Times New Roman" w:cs="宋体"/>
          <w:sz w:val="24"/>
        </w:rPr>
        <w:t>叁份、供应商叁份。所签合同不得对磋商文件作实质性修改。采购单位不得向成交供应商提出不合理的要求作为签订合同的条件，不得与成交供应商私下订立背离磋商文件实质性内容的协议。</w:t>
      </w:r>
    </w:p>
    <w:p w14:paraId="52291224">
      <w:pPr>
        <w:spacing w:line="480" w:lineRule="exact"/>
        <w:ind w:firstLine="485"/>
        <w:rPr>
          <w:rFonts w:ascii="Times New Roman" w:hAnsi="Times New Roman" w:cs="宋体"/>
          <w:sz w:val="24"/>
        </w:rPr>
      </w:pPr>
      <w:r>
        <w:rPr>
          <w:rFonts w:hint="eastAsia" w:ascii="Times New Roman" w:hAnsi="Times New Roman" w:cs="宋体"/>
          <w:sz w:val="24"/>
        </w:rPr>
        <w:t>二、采购单位按合同约定积极配合成交供应商履约，成交供应商履约到位后，请以书面形式向采购单位提出验收申请。</w:t>
      </w:r>
    </w:p>
    <w:p w14:paraId="25489118">
      <w:pPr>
        <w:spacing w:line="480" w:lineRule="exact"/>
        <w:ind w:firstLine="485"/>
        <w:rPr>
          <w:rFonts w:ascii="Times New Roman" w:hAnsi="Times New Roman" w:cs="宋体"/>
          <w:sz w:val="24"/>
        </w:rPr>
      </w:pPr>
      <w:r>
        <w:rPr>
          <w:rFonts w:hint="eastAsia" w:ascii="Times New Roman" w:hAnsi="Times New Roman" w:cs="宋体"/>
          <w:sz w:val="24"/>
        </w:rPr>
        <w:t>三、采购单位故意推迟</w:t>
      </w:r>
      <w:r>
        <w:rPr>
          <w:rFonts w:hint="eastAsia" w:ascii="Times New Roman" w:hAnsi="Times New Roman" w:cs="宋体"/>
          <w:sz w:val="24"/>
          <w:szCs w:val="24"/>
        </w:rPr>
        <w:t>项目</w:t>
      </w:r>
      <w:r>
        <w:rPr>
          <w:rFonts w:hint="eastAsia" w:ascii="Times New Roman" w:hAnsi="Times New Roman" w:cs="宋体"/>
          <w:sz w:val="24"/>
        </w:rPr>
        <w:t>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14:paraId="684A0C5C">
      <w:pPr>
        <w:spacing w:line="480" w:lineRule="exact"/>
        <w:ind w:firstLine="485"/>
        <w:rPr>
          <w:rFonts w:ascii="Times New Roman" w:hAnsi="Times New Roman" w:cs="宋体"/>
          <w:sz w:val="24"/>
        </w:rPr>
      </w:pPr>
      <w:r>
        <w:rPr>
          <w:rFonts w:hint="eastAsia" w:ascii="Times New Roman" w:hAnsi="Times New Roman" w:cs="宋体"/>
          <w:sz w:val="24"/>
        </w:rPr>
        <w:t>四、成交供应商出现违约情形，应当及时纠正或补偿；造成损失的，按合同约定追究违约责任；发现有假冒、伪劣、走私产品、商业贿赂等违法情形的，应由采购单位移交工商、质监、公安等行政执法部门依法查处。</w:t>
      </w:r>
    </w:p>
    <w:p w14:paraId="1741669F">
      <w:pPr>
        <w:spacing w:line="480" w:lineRule="exact"/>
        <w:ind w:firstLine="485"/>
        <w:rPr>
          <w:rFonts w:ascii="Times New Roman" w:hAnsi="Times New Roman" w:cs="宋体"/>
          <w:sz w:val="24"/>
        </w:rPr>
      </w:pPr>
      <w:r>
        <w:rPr>
          <w:rFonts w:hint="eastAsia" w:ascii="Times New Roman" w:hAnsi="Times New Roman" w:cs="宋体"/>
          <w:sz w:val="24"/>
        </w:rPr>
        <w:t>五、不响应付款方式的，视同响应文件无效，按无效响应文件处理。</w:t>
      </w:r>
    </w:p>
    <w:p w14:paraId="4BD34B96">
      <w:pPr>
        <w:spacing w:line="480" w:lineRule="exact"/>
        <w:ind w:firstLine="485"/>
        <w:rPr>
          <w:rFonts w:ascii="Times New Roman" w:hAnsi="Times New Roman" w:cs="宋体"/>
          <w:sz w:val="24"/>
        </w:rPr>
      </w:pPr>
      <w:r>
        <w:rPr>
          <w:rFonts w:hint="eastAsia" w:ascii="Times New Roman" w:hAnsi="Times New Roman" w:cs="宋体"/>
          <w:sz w:val="24"/>
        </w:rPr>
        <w:t>六、付款方式详见磋商文件第五章。</w:t>
      </w:r>
    </w:p>
    <w:p w14:paraId="1F2C85A2">
      <w:pPr>
        <w:spacing w:line="480" w:lineRule="exact"/>
        <w:ind w:firstLine="485"/>
        <w:rPr>
          <w:rFonts w:ascii="Times New Roman" w:hAnsi="Times New Roman" w:cs="宋体"/>
          <w:b/>
          <w:iCs/>
          <w:sz w:val="44"/>
          <w:szCs w:val="44"/>
        </w:rPr>
      </w:pPr>
      <w:r>
        <w:rPr>
          <w:rFonts w:hint="eastAsia" w:ascii="Times New Roman" w:hAnsi="Times New Roman" w:cs="宋体"/>
          <w:sz w:val="24"/>
        </w:rPr>
        <w:t>七、以上项目款的支付不计息。</w:t>
      </w:r>
    </w:p>
    <w:p w14:paraId="4E4FC2E4">
      <w:pPr>
        <w:rPr>
          <w:rFonts w:ascii="Times New Roman" w:hAnsi="Times New Roman" w:cs="宋体"/>
          <w:b/>
          <w:iCs/>
          <w:sz w:val="44"/>
          <w:szCs w:val="44"/>
        </w:rPr>
      </w:pPr>
    </w:p>
    <w:p w14:paraId="38BEA276">
      <w:pPr>
        <w:pStyle w:val="237"/>
        <w:tabs>
          <w:tab w:val="left" w:pos="1050"/>
          <w:tab w:val="right" w:leader="dot" w:pos="9402"/>
        </w:tabs>
        <w:spacing w:line="360" w:lineRule="auto"/>
        <w:ind w:left="0"/>
        <w:jc w:val="center"/>
        <w:rPr>
          <w:rFonts w:ascii="Times New Roman" w:hAnsi="Times New Roman"/>
          <w:sz w:val="28"/>
          <w:szCs w:val="28"/>
          <w:lang w:eastAsia="zh-CN"/>
        </w:rPr>
      </w:pPr>
      <w:r>
        <w:rPr>
          <w:rFonts w:ascii="Times New Roman" w:hAnsi="Times New Roman" w:cs="宋体"/>
          <w:b/>
          <w:iCs/>
          <w:sz w:val="44"/>
          <w:szCs w:val="44"/>
          <w:lang w:eastAsia="zh-CN"/>
        </w:rPr>
        <w:br w:type="page" w:clear="all"/>
      </w:r>
      <w:r>
        <w:rPr>
          <w:rFonts w:hint="eastAsia" w:ascii="Times New Roman" w:hAnsi="Times New Roman" w:cs="宋体"/>
          <w:b/>
          <w:iCs/>
          <w:sz w:val="44"/>
          <w:szCs w:val="44"/>
          <w:lang w:eastAsia="zh-CN"/>
        </w:rPr>
        <w:t>第七章 质疑提出和处理</w:t>
      </w:r>
    </w:p>
    <w:p w14:paraId="097000F0">
      <w:pPr>
        <w:spacing w:line="360" w:lineRule="auto"/>
        <w:ind w:firstLine="487"/>
        <w:rPr>
          <w:rFonts w:ascii="Times New Roman" w:hAnsi="Times New Roman"/>
          <w:b/>
          <w:sz w:val="24"/>
          <w:szCs w:val="24"/>
        </w:rPr>
      </w:pPr>
      <w:r>
        <w:rPr>
          <w:rFonts w:ascii="Times New Roman" w:hAnsi="Times New Roman"/>
          <w:b/>
          <w:sz w:val="24"/>
          <w:szCs w:val="24"/>
        </w:rPr>
        <w:t>一、质疑的提出</w:t>
      </w:r>
    </w:p>
    <w:p w14:paraId="532BF794">
      <w:pPr>
        <w:spacing w:line="360" w:lineRule="auto"/>
        <w:ind w:firstLine="485"/>
        <w:rPr>
          <w:rFonts w:ascii="Times New Roman" w:hAnsi="Times New Roman"/>
          <w:sz w:val="24"/>
          <w:szCs w:val="24"/>
        </w:rPr>
      </w:pPr>
      <w:r>
        <w:rPr>
          <w:rFonts w:hint="eastAsia" w:ascii="Times New Roman" w:hAnsi="Times New Roman"/>
          <w:sz w:val="24"/>
          <w:szCs w:val="24"/>
        </w:rPr>
        <w:t>1、提出质疑的供应商应当是参与所质疑项目采购活动的供应商。潜在供应商依法获取其可质疑的采购文件的，可以对采购文件提出质疑。</w:t>
      </w:r>
    </w:p>
    <w:p w14:paraId="7A10A9D6">
      <w:pPr>
        <w:spacing w:line="360" w:lineRule="auto"/>
        <w:ind w:firstLine="485"/>
        <w:rPr>
          <w:rFonts w:ascii="Times New Roman" w:hAnsi="Times New Roman"/>
          <w:sz w:val="24"/>
          <w:szCs w:val="24"/>
        </w:rPr>
      </w:pPr>
      <w:r>
        <w:rPr>
          <w:rFonts w:hint="eastAsia" w:ascii="Times New Roman" w:hAnsi="Times New Roman"/>
          <w:sz w:val="24"/>
          <w:szCs w:val="24"/>
        </w:rPr>
        <w:t>2、供应商认为采购文件、采购过程和采购结果使自己的权益受到损害的，可以在知道或应知其权益受到损害之日起七个工作日内，以书面形式向采购人提出质疑。上述应知其权益受到损害之日，是指：</w:t>
      </w:r>
    </w:p>
    <w:p w14:paraId="46CEDC51">
      <w:pPr>
        <w:spacing w:line="360" w:lineRule="auto"/>
        <w:ind w:firstLine="485"/>
        <w:rPr>
          <w:rFonts w:ascii="Times New Roman" w:hAnsi="Times New Roman"/>
          <w:sz w:val="24"/>
          <w:szCs w:val="24"/>
        </w:rPr>
      </w:pPr>
      <w:r>
        <w:rPr>
          <w:rFonts w:hint="eastAsia" w:ascii="Times New Roman" w:hAnsi="Times New Roman"/>
          <w:sz w:val="24"/>
          <w:szCs w:val="24"/>
        </w:rPr>
        <w:t>2.1对可以质疑的采购文件提出质疑的，为收到采购文件之日或者采购文件公告期限届满之日；</w:t>
      </w:r>
    </w:p>
    <w:p w14:paraId="5D83ACDC">
      <w:pPr>
        <w:spacing w:line="360" w:lineRule="auto"/>
        <w:ind w:firstLine="485"/>
        <w:rPr>
          <w:rFonts w:ascii="Times New Roman" w:hAnsi="Times New Roman"/>
          <w:sz w:val="24"/>
          <w:szCs w:val="24"/>
        </w:rPr>
      </w:pPr>
      <w:r>
        <w:rPr>
          <w:rFonts w:hint="eastAsia" w:ascii="Times New Roman" w:hAnsi="Times New Roman"/>
          <w:sz w:val="24"/>
          <w:szCs w:val="24"/>
        </w:rPr>
        <w:t>2.2对采购过程提出质疑的，为各采购程序环节结束之日；</w:t>
      </w:r>
    </w:p>
    <w:p w14:paraId="68B791D2">
      <w:pPr>
        <w:spacing w:line="360" w:lineRule="auto"/>
        <w:ind w:firstLine="485"/>
        <w:rPr>
          <w:rFonts w:ascii="Times New Roman" w:hAnsi="Times New Roman"/>
          <w:sz w:val="24"/>
          <w:szCs w:val="24"/>
        </w:rPr>
      </w:pPr>
      <w:r>
        <w:rPr>
          <w:rFonts w:hint="eastAsia" w:ascii="Times New Roman" w:hAnsi="Times New Roman"/>
          <w:sz w:val="24"/>
          <w:szCs w:val="24"/>
        </w:rPr>
        <w:t>2.3对成交结果提出质疑的，为成交结果公告期限届满之日。</w:t>
      </w:r>
    </w:p>
    <w:p w14:paraId="06B7BF2E">
      <w:pPr>
        <w:spacing w:line="360" w:lineRule="auto"/>
        <w:ind w:firstLine="485"/>
        <w:rPr>
          <w:rFonts w:ascii="Times New Roman" w:hAnsi="Times New Roman"/>
          <w:sz w:val="24"/>
          <w:szCs w:val="24"/>
        </w:rPr>
      </w:pPr>
      <w:r>
        <w:rPr>
          <w:rFonts w:hint="eastAsia" w:ascii="Times New Roman" w:hAnsi="Times New Roman"/>
          <w:sz w:val="24"/>
          <w:szCs w:val="24"/>
        </w:rPr>
        <w:t>供应商应当在法定质疑期内一次性提出针对同一采购程序环节的质疑。</w:t>
      </w:r>
    </w:p>
    <w:p w14:paraId="3DF7AC06">
      <w:pPr>
        <w:spacing w:line="360" w:lineRule="auto"/>
        <w:ind w:firstLine="485"/>
        <w:rPr>
          <w:rFonts w:ascii="Times New Roman" w:hAnsi="Times New Roman"/>
          <w:sz w:val="24"/>
          <w:szCs w:val="24"/>
        </w:rPr>
      </w:pPr>
      <w:r>
        <w:rPr>
          <w:rFonts w:hint="eastAsia" w:ascii="Times New Roman" w:hAnsi="Times New Roman"/>
          <w:sz w:val="24"/>
          <w:szCs w:val="24"/>
        </w:rPr>
        <w:t>3、质疑函必须按照本</w:t>
      </w:r>
      <w:r>
        <w:rPr>
          <w:rFonts w:hint="eastAsia" w:ascii="Times New Roman" w:hAnsi="Times New Roman" w:cs="黑体"/>
          <w:bCs/>
          <w:sz w:val="24"/>
          <w:szCs w:val="24"/>
          <w:shd w:val="clear" w:color="auto" w:fill="FFFFFF"/>
        </w:rPr>
        <w:t>采购</w:t>
      </w:r>
      <w:r>
        <w:rPr>
          <w:rFonts w:hint="eastAsia" w:ascii="Times New Roman" w:hAnsi="Times New Roman"/>
          <w:sz w:val="24"/>
          <w:szCs w:val="24"/>
        </w:rPr>
        <w:t>文件中《质疑函范本》要求的格式和内容进行填写。供应商如组成联合体参加采购活动，则《质疑函范本》中要求签字、盖章、加盖公章之处，联合体各方均须按要求签字、盖章、加盖公章。</w:t>
      </w:r>
    </w:p>
    <w:p w14:paraId="79023EEA">
      <w:pPr>
        <w:spacing w:line="360" w:lineRule="auto"/>
        <w:ind w:firstLine="485"/>
        <w:rPr>
          <w:rFonts w:ascii="Times New Roman" w:hAnsi="Times New Roman"/>
          <w:sz w:val="24"/>
          <w:szCs w:val="24"/>
        </w:rPr>
      </w:pPr>
      <w:r>
        <w:rPr>
          <w:rFonts w:hint="eastAsia" w:ascii="Times New Roman" w:hAnsi="Times New Roman"/>
          <w:sz w:val="24"/>
          <w:szCs w:val="24"/>
        </w:rPr>
        <w:t>4、对采购方式、</w:t>
      </w:r>
      <w:r>
        <w:rPr>
          <w:rFonts w:hint="eastAsia" w:ascii="Times New Roman" w:hAnsi="Times New Roman" w:cs="黑体"/>
          <w:bCs/>
          <w:sz w:val="24"/>
          <w:szCs w:val="24"/>
          <w:shd w:val="clear" w:color="auto" w:fill="FFFFFF"/>
        </w:rPr>
        <w:t>采购</w:t>
      </w:r>
      <w:r>
        <w:rPr>
          <w:rFonts w:hint="eastAsia" w:ascii="Times New Roman" w:hAnsi="Times New Roman"/>
          <w:sz w:val="24"/>
          <w:szCs w:val="24"/>
        </w:rPr>
        <w:t>文件中项目需求、供应商资格条件、评审方法和评审标准、资格审查结果等应当由采购人答复的质疑，请向采购人提出，由采购人负责答复。</w:t>
      </w:r>
    </w:p>
    <w:p w14:paraId="1D1BB9AB">
      <w:pPr>
        <w:spacing w:line="360" w:lineRule="auto"/>
        <w:ind w:firstLine="485"/>
        <w:rPr>
          <w:rFonts w:ascii="Times New Roman" w:hAnsi="Times New Roman"/>
          <w:sz w:val="24"/>
          <w:szCs w:val="24"/>
        </w:rPr>
      </w:pPr>
      <w:r>
        <w:rPr>
          <w:rFonts w:hint="eastAsia" w:ascii="Times New Roman" w:hAnsi="Times New Roman"/>
          <w:sz w:val="24"/>
          <w:szCs w:val="24"/>
        </w:rPr>
        <w:t>采购人质疑接收人及联系方式，见</w:t>
      </w:r>
      <w:r>
        <w:rPr>
          <w:rFonts w:hint="eastAsia" w:ascii="Times New Roman" w:hAnsi="Times New Roman" w:cs="黑体"/>
          <w:bCs/>
          <w:sz w:val="24"/>
          <w:szCs w:val="24"/>
          <w:shd w:val="clear" w:color="auto" w:fill="FFFFFF"/>
        </w:rPr>
        <w:t>采购</w:t>
      </w:r>
      <w:r>
        <w:rPr>
          <w:rFonts w:hint="eastAsia" w:ascii="Times New Roman" w:hAnsi="Times New Roman"/>
          <w:sz w:val="24"/>
          <w:szCs w:val="24"/>
        </w:rPr>
        <w:t>文件第一章。</w:t>
      </w:r>
    </w:p>
    <w:p w14:paraId="6552C57C">
      <w:pPr>
        <w:spacing w:line="360" w:lineRule="auto"/>
        <w:ind w:firstLine="485"/>
        <w:rPr>
          <w:rFonts w:ascii="Times New Roman" w:hAnsi="Times New Roman"/>
          <w:sz w:val="24"/>
          <w:szCs w:val="24"/>
        </w:rPr>
      </w:pPr>
      <w:r>
        <w:rPr>
          <w:rFonts w:hint="eastAsia" w:ascii="Times New Roman" w:hAnsi="Times New Roman"/>
          <w:sz w:val="24"/>
          <w:szCs w:val="24"/>
        </w:rPr>
        <w:t>5、以下情形的质疑不予受理</w:t>
      </w:r>
    </w:p>
    <w:p w14:paraId="053D0E2A">
      <w:pPr>
        <w:spacing w:line="360" w:lineRule="auto"/>
        <w:ind w:firstLine="485"/>
        <w:rPr>
          <w:rFonts w:ascii="Times New Roman" w:hAnsi="Times New Roman"/>
          <w:sz w:val="24"/>
          <w:szCs w:val="24"/>
        </w:rPr>
      </w:pPr>
      <w:r>
        <w:rPr>
          <w:rFonts w:hint="eastAsia" w:ascii="Times New Roman" w:hAnsi="Times New Roman"/>
          <w:sz w:val="24"/>
          <w:szCs w:val="24"/>
        </w:rPr>
        <w:t>5.1 内容不符合《政府采购质疑和投诉办法》财政部第94号令第十二条规定的质疑。</w:t>
      </w:r>
    </w:p>
    <w:p w14:paraId="23B29BBA">
      <w:pPr>
        <w:spacing w:line="360" w:lineRule="auto"/>
        <w:ind w:firstLine="485"/>
        <w:rPr>
          <w:rFonts w:ascii="Times New Roman" w:hAnsi="Times New Roman"/>
          <w:sz w:val="24"/>
          <w:szCs w:val="24"/>
        </w:rPr>
      </w:pPr>
      <w:r>
        <w:rPr>
          <w:rFonts w:hint="eastAsia" w:ascii="Times New Roman" w:hAnsi="Times New Roman"/>
          <w:sz w:val="24"/>
          <w:szCs w:val="24"/>
        </w:rPr>
        <w:t>5.2 超出政府采购法定期限的质疑。</w:t>
      </w:r>
    </w:p>
    <w:p w14:paraId="53B3860E">
      <w:pPr>
        <w:spacing w:line="360" w:lineRule="auto"/>
        <w:ind w:firstLine="485"/>
        <w:rPr>
          <w:rFonts w:ascii="Times New Roman" w:hAnsi="Times New Roman"/>
          <w:sz w:val="24"/>
          <w:szCs w:val="24"/>
        </w:rPr>
      </w:pPr>
      <w:r>
        <w:rPr>
          <w:rFonts w:hint="eastAsia" w:ascii="Times New Roman" w:hAnsi="Times New Roman"/>
          <w:sz w:val="24"/>
          <w:szCs w:val="24"/>
        </w:rPr>
        <w:t>5.3 未参加采购活动的供应商。</w:t>
      </w:r>
    </w:p>
    <w:p w14:paraId="1E1C183D">
      <w:pPr>
        <w:spacing w:line="360" w:lineRule="auto"/>
        <w:ind w:firstLine="485"/>
        <w:rPr>
          <w:rFonts w:ascii="Times New Roman" w:hAnsi="Times New Roman"/>
          <w:sz w:val="24"/>
          <w:szCs w:val="24"/>
        </w:rPr>
      </w:pPr>
      <w:r>
        <w:rPr>
          <w:rFonts w:hint="eastAsia" w:ascii="Times New Roman" w:hAnsi="Times New Roman"/>
          <w:sz w:val="24"/>
          <w:szCs w:val="24"/>
        </w:rPr>
        <w:t>5.4供应商组成联合体参加采购活动，联合体中任何一方或多方未按要求签字、盖章、加盖公章的质疑。</w:t>
      </w:r>
    </w:p>
    <w:p w14:paraId="09643D73">
      <w:pPr>
        <w:spacing w:line="360" w:lineRule="auto"/>
        <w:ind w:firstLine="485"/>
        <w:rPr>
          <w:rFonts w:ascii="Times New Roman" w:hAnsi="Times New Roman"/>
          <w:sz w:val="24"/>
          <w:szCs w:val="24"/>
        </w:rPr>
      </w:pPr>
      <w:r>
        <w:rPr>
          <w:rFonts w:hint="eastAsia" w:ascii="Times New Roman" w:hAnsi="Times New Roman"/>
          <w:sz w:val="24"/>
          <w:szCs w:val="24"/>
        </w:rPr>
        <w:t>6、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0B6E34C1">
      <w:pPr>
        <w:spacing w:after="120"/>
        <w:rPr>
          <w:rFonts w:ascii="Times New Roman" w:hAnsi="Times New Roman"/>
          <w:szCs w:val="21"/>
        </w:rPr>
      </w:pPr>
      <w:r>
        <w:rPr>
          <w:rFonts w:ascii="Times New Roman" w:hAnsi="Times New Roman"/>
        </w:rPr>
        <w:br w:type="page" w:clear="all"/>
      </w:r>
      <w:r>
        <w:rPr>
          <w:rFonts w:hint="eastAsia" w:ascii="Times New Roman" w:hAnsi="Times New Roman"/>
          <w:szCs w:val="21"/>
        </w:rPr>
        <w:t>附件：</w:t>
      </w:r>
    </w:p>
    <w:p w14:paraId="2B02EEAA">
      <w:pPr>
        <w:jc w:val="center"/>
        <w:rPr>
          <w:rFonts w:ascii="Times New Roman" w:hAnsi="Times New Roman" w:cs="仿宋"/>
          <w:bCs/>
          <w:sz w:val="24"/>
          <w:szCs w:val="24"/>
        </w:rPr>
      </w:pPr>
      <w:r>
        <w:rPr>
          <w:rFonts w:hint="eastAsia" w:ascii="Times New Roman" w:hAnsi="Times New Roman" w:cs="仿宋"/>
          <w:bCs/>
          <w:sz w:val="24"/>
          <w:szCs w:val="24"/>
        </w:rPr>
        <w:t>质疑函范本</w:t>
      </w:r>
    </w:p>
    <w:p w14:paraId="24DF64F5">
      <w:pPr>
        <w:spacing w:before="312" w:line="360" w:lineRule="auto"/>
        <w:rPr>
          <w:rFonts w:ascii="Times New Roman" w:hAnsi="Times New Roman" w:cs="仿宋"/>
          <w:bCs/>
          <w:sz w:val="24"/>
          <w:szCs w:val="24"/>
        </w:rPr>
      </w:pPr>
      <w:r>
        <w:rPr>
          <w:rFonts w:hint="eastAsia" w:ascii="Times New Roman" w:hAnsi="Times New Roman" w:cs="仿宋"/>
          <w:bCs/>
          <w:sz w:val="24"/>
          <w:szCs w:val="24"/>
        </w:rPr>
        <w:t>一、质疑供应商基本信息</w:t>
      </w:r>
    </w:p>
    <w:p w14:paraId="40AFCE1D">
      <w:pPr>
        <w:spacing w:line="360" w:lineRule="auto"/>
        <w:rPr>
          <w:rFonts w:ascii="Times New Roman" w:hAnsi="Times New Roman" w:cs="仿宋"/>
          <w:sz w:val="24"/>
          <w:szCs w:val="24"/>
          <w:u w:val="single"/>
        </w:rPr>
      </w:pPr>
      <w:r>
        <w:rPr>
          <w:rFonts w:hint="eastAsia" w:ascii="Times New Roman" w:hAnsi="Times New Roman" w:cs="仿宋"/>
          <w:sz w:val="24"/>
          <w:szCs w:val="24"/>
        </w:rPr>
        <w:t>质疑供应商：</w:t>
      </w:r>
    </w:p>
    <w:p w14:paraId="65C58E7E">
      <w:pPr>
        <w:spacing w:line="360" w:lineRule="auto"/>
        <w:rPr>
          <w:rFonts w:ascii="Times New Roman" w:hAnsi="Times New Roman" w:cs="仿宋"/>
          <w:sz w:val="24"/>
          <w:szCs w:val="24"/>
        </w:rPr>
      </w:pPr>
      <w:r>
        <w:rPr>
          <w:rFonts w:hint="eastAsia" w:ascii="Times New Roman" w:hAnsi="Times New Roman" w:cs="仿宋"/>
          <w:sz w:val="24"/>
          <w:szCs w:val="24"/>
        </w:rPr>
        <w:t>地址：邮编：</w:t>
      </w:r>
    </w:p>
    <w:p w14:paraId="564AE872">
      <w:pPr>
        <w:spacing w:line="360" w:lineRule="auto"/>
        <w:rPr>
          <w:rFonts w:ascii="Times New Roman" w:hAnsi="Times New Roman" w:cs="仿宋"/>
          <w:sz w:val="24"/>
          <w:szCs w:val="24"/>
        </w:rPr>
      </w:pPr>
      <w:r>
        <w:rPr>
          <w:rFonts w:hint="eastAsia" w:ascii="Times New Roman" w:hAnsi="Times New Roman" w:cs="仿宋"/>
          <w:sz w:val="24"/>
          <w:szCs w:val="24"/>
        </w:rPr>
        <w:t>联系人：联系电话：</w:t>
      </w:r>
    </w:p>
    <w:p w14:paraId="60B31C0E">
      <w:pPr>
        <w:spacing w:line="360" w:lineRule="auto"/>
        <w:rPr>
          <w:rFonts w:ascii="Times New Roman" w:hAnsi="Times New Roman" w:cs="仿宋"/>
          <w:sz w:val="24"/>
          <w:szCs w:val="24"/>
          <w:u w:val="single"/>
        </w:rPr>
      </w:pPr>
      <w:r>
        <w:rPr>
          <w:rFonts w:hint="eastAsia" w:ascii="Times New Roman" w:hAnsi="Times New Roman" w:cs="仿宋"/>
          <w:sz w:val="24"/>
          <w:szCs w:val="24"/>
        </w:rPr>
        <w:t>授权代表：</w:t>
      </w:r>
    </w:p>
    <w:p w14:paraId="5FE0F6E1">
      <w:pPr>
        <w:spacing w:line="360" w:lineRule="auto"/>
        <w:rPr>
          <w:rFonts w:ascii="Times New Roman" w:hAnsi="Times New Roman" w:cs="仿宋"/>
          <w:sz w:val="24"/>
          <w:szCs w:val="24"/>
        </w:rPr>
      </w:pPr>
      <w:r>
        <w:rPr>
          <w:rFonts w:hint="eastAsia" w:ascii="Times New Roman" w:hAnsi="Times New Roman" w:cs="仿宋"/>
          <w:sz w:val="24"/>
          <w:szCs w:val="24"/>
        </w:rPr>
        <w:t>联系电话：</w:t>
      </w:r>
    </w:p>
    <w:p w14:paraId="45526AF4">
      <w:pPr>
        <w:spacing w:line="360" w:lineRule="auto"/>
        <w:rPr>
          <w:rFonts w:ascii="Times New Roman" w:hAnsi="Times New Roman" w:cs="仿宋"/>
          <w:sz w:val="24"/>
          <w:szCs w:val="24"/>
        </w:rPr>
      </w:pPr>
      <w:r>
        <w:rPr>
          <w:rFonts w:hint="eastAsia" w:ascii="Times New Roman" w:hAnsi="Times New Roman" w:cs="仿宋"/>
          <w:sz w:val="24"/>
          <w:szCs w:val="24"/>
        </w:rPr>
        <w:t>地址：邮编：</w:t>
      </w:r>
    </w:p>
    <w:p w14:paraId="01770F6A">
      <w:pPr>
        <w:spacing w:line="360" w:lineRule="auto"/>
        <w:rPr>
          <w:rFonts w:ascii="Times New Roman" w:hAnsi="Times New Roman" w:cs="仿宋"/>
          <w:bCs/>
          <w:sz w:val="24"/>
          <w:szCs w:val="24"/>
        </w:rPr>
      </w:pPr>
      <w:r>
        <w:rPr>
          <w:rFonts w:hint="eastAsia" w:ascii="Times New Roman" w:hAnsi="Times New Roman" w:cs="仿宋"/>
          <w:bCs/>
          <w:sz w:val="24"/>
          <w:szCs w:val="24"/>
        </w:rPr>
        <w:t>二、质疑项目基本情况</w:t>
      </w:r>
    </w:p>
    <w:p w14:paraId="6CC768C9">
      <w:pPr>
        <w:spacing w:line="360" w:lineRule="auto"/>
        <w:rPr>
          <w:rFonts w:ascii="Times New Roman" w:hAnsi="Times New Roman" w:cs="仿宋"/>
          <w:sz w:val="24"/>
          <w:szCs w:val="24"/>
        </w:rPr>
      </w:pPr>
      <w:r>
        <w:rPr>
          <w:rFonts w:hint="eastAsia" w:ascii="Times New Roman" w:hAnsi="Times New Roman" w:cs="仿宋"/>
          <w:sz w:val="24"/>
          <w:szCs w:val="24"/>
        </w:rPr>
        <w:t>质疑项目的名称：</w:t>
      </w:r>
    </w:p>
    <w:p w14:paraId="79F6C629">
      <w:pPr>
        <w:spacing w:line="360" w:lineRule="auto"/>
        <w:rPr>
          <w:rFonts w:ascii="Times New Roman" w:hAnsi="Times New Roman" w:cs="仿宋"/>
          <w:sz w:val="24"/>
          <w:szCs w:val="24"/>
        </w:rPr>
      </w:pPr>
      <w:r>
        <w:rPr>
          <w:rFonts w:hint="eastAsia" w:ascii="Times New Roman" w:hAnsi="Times New Roman" w:cs="仿宋"/>
          <w:sz w:val="24"/>
          <w:szCs w:val="24"/>
        </w:rPr>
        <w:t>质疑项目的编号：包号：</w:t>
      </w:r>
    </w:p>
    <w:p w14:paraId="783802F8">
      <w:pPr>
        <w:spacing w:line="360" w:lineRule="auto"/>
        <w:rPr>
          <w:rFonts w:ascii="Times New Roman" w:hAnsi="Times New Roman" w:cs="仿宋"/>
          <w:sz w:val="24"/>
          <w:szCs w:val="24"/>
          <w:u w:val="single"/>
        </w:rPr>
      </w:pPr>
      <w:r>
        <w:rPr>
          <w:rFonts w:hint="eastAsia" w:ascii="Times New Roman" w:hAnsi="Times New Roman" w:cs="仿宋"/>
          <w:sz w:val="24"/>
          <w:szCs w:val="24"/>
        </w:rPr>
        <w:t>采购人名称：</w:t>
      </w:r>
    </w:p>
    <w:p w14:paraId="4599EFE4">
      <w:pPr>
        <w:spacing w:line="360" w:lineRule="auto"/>
        <w:rPr>
          <w:rFonts w:ascii="Times New Roman" w:hAnsi="Times New Roman" w:cs="仿宋"/>
          <w:sz w:val="24"/>
          <w:szCs w:val="24"/>
        </w:rPr>
      </w:pPr>
      <w:r>
        <w:rPr>
          <w:rFonts w:hint="eastAsia" w:ascii="Times New Roman" w:hAnsi="Times New Roman" w:cs="仿宋"/>
          <w:sz w:val="24"/>
          <w:szCs w:val="24"/>
        </w:rPr>
        <w:t>采购文件获取日期：</w:t>
      </w:r>
    </w:p>
    <w:p w14:paraId="22EAEFDB">
      <w:pPr>
        <w:spacing w:line="360" w:lineRule="auto"/>
        <w:rPr>
          <w:rFonts w:ascii="Times New Roman" w:hAnsi="Times New Roman" w:cs="仿宋"/>
          <w:bCs/>
          <w:sz w:val="24"/>
          <w:szCs w:val="24"/>
        </w:rPr>
      </w:pPr>
      <w:r>
        <w:rPr>
          <w:rFonts w:hint="eastAsia" w:ascii="Times New Roman" w:hAnsi="Times New Roman" w:cs="仿宋"/>
          <w:bCs/>
          <w:sz w:val="24"/>
          <w:szCs w:val="24"/>
        </w:rPr>
        <w:t>三、质疑事项具体内容</w:t>
      </w:r>
    </w:p>
    <w:p w14:paraId="2CDC5D13">
      <w:pPr>
        <w:spacing w:line="360" w:lineRule="auto"/>
        <w:rPr>
          <w:rFonts w:ascii="Times New Roman" w:hAnsi="Times New Roman" w:cs="仿宋"/>
          <w:sz w:val="24"/>
          <w:szCs w:val="24"/>
          <w:u w:val="single"/>
        </w:rPr>
      </w:pPr>
      <w:r>
        <w:rPr>
          <w:rFonts w:hint="eastAsia" w:ascii="Times New Roman" w:hAnsi="Times New Roman" w:cs="仿宋"/>
          <w:sz w:val="24"/>
          <w:szCs w:val="24"/>
        </w:rPr>
        <w:t>质疑事项1：</w:t>
      </w:r>
    </w:p>
    <w:p w14:paraId="6D62798E">
      <w:pPr>
        <w:spacing w:line="360" w:lineRule="auto"/>
        <w:rPr>
          <w:rFonts w:ascii="Times New Roman" w:hAnsi="Times New Roman" w:cs="仿宋"/>
          <w:sz w:val="24"/>
          <w:szCs w:val="24"/>
          <w:u w:val="single"/>
        </w:rPr>
      </w:pPr>
      <w:r>
        <w:rPr>
          <w:rFonts w:hint="eastAsia" w:ascii="Times New Roman" w:hAnsi="Times New Roman" w:cs="仿宋"/>
          <w:sz w:val="24"/>
          <w:szCs w:val="24"/>
        </w:rPr>
        <w:t>事实依据：</w:t>
      </w:r>
    </w:p>
    <w:p w14:paraId="299C2A01">
      <w:pPr>
        <w:spacing w:line="360" w:lineRule="auto"/>
        <w:rPr>
          <w:rFonts w:ascii="Times New Roman" w:hAnsi="Times New Roman" w:cs="仿宋"/>
          <w:sz w:val="24"/>
          <w:szCs w:val="24"/>
        </w:rPr>
      </w:pPr>
    </w:p>
    <w:p w14:paraId="72301A6B">
      <w:pPr>
        <w:spacing w:line="360" w:lineRule="auto"/>
        <w:rPr>
          <w:rFonts w:ascii="Times New Roman" w:hAnsi="Times New Roman" w:cs="仿宋"/>
          <w:sz w:val="24"/>
          <w:szCs w:val="24"/>
          <w:u w:val="single"/>
        </w:rPr>
      </w:pPr>
      <w:r>
        <w:rPr>
          <w:rFonts w:hint="eastAsia" w:ascii="Times New Roman" w:hAnsi="Times New Roman" w:cs="仿宋"/>
          <w:sz w:val="24"/>
          <w:szCs w:val="24"/>
        </w:rPr>
        <w:t>法律依据：</w:t>
      </w:r>
    </w:p>
    <w:p w14:paraId="05B06EFE">
      <w:pPr>
        <w:spacing w:line="360" w:lineRule="auto"/>
        <w:rPr>
          <w:rFonts w:ascii="Times New Roman" w:hAnsi="Times New Roman" w:cs="仿宋"/>
          <w:sz w:val="24"/>
          <w:szCs w:val="24"/>
          <w:u w:val="single"/>
        </w:rPr>
      </w:pPr>
    </w:p>
    <w:p w14:paraId="002F95D5">
      <w:pPr>
        <w:spacing w:line="360" w:lineRule="auto"/>
        <w:rPr>
          <w:rFonts w:ascii="Times New Roman" w:hAnsi="Times New Roman" w:cs="仿宋"/>
          <w:sz w:val="24"/>
          <w:szCs w:val="24"/>
          <w:u w:val="single"/>
        </w:rPr>
      </w:pPr>
      <w:r>
        <w:rPr>
          <w:rFonts w:hint="eastAsia" w:ascii="Times New Roman" w:hAnsi="Times New Roman" w:cs="仿宋"/>
          <w:sz w:val="24"/>
          <w:szCs w:val="24"/>
        </w:rPr>
        <w:t>质疑事项2</w:t>
      </w:r>
    </w:p>
    <w:p w14:paraId="6BB5ABBE">
      <w:pPr>
        <w:spacing w:line="360" w:lineRule="auto"/>
        <w:rPr>
          <w:rFonts w:ascii="Times New Roman" w:hAnsi="Times New Roman" w:cs="仿宋"/>
          <w:sz w:val="24"/>
          <w:szCs w:val="24"/>
        </w:rPr>
      </w:pPr>
      <w:r>
        <w:rPr>
          <w:rFonts w:hint="eastAsia" w:ascii="Times New Roman" w:hAnsi="Times New Roman" w:cs="仿宋"/>
          <w:sz w:val="24"/>
          <w:szCs w:val="24"/>
        </w:rPr>
        <w:t>……</w:t>
      </w:r>
    </w:p>
    <w:p w14:paraId="6371CC12">
      <w:pPr>
        <w:spacing w:line="360" w:lineRule="auto"/>
        <w:rPr>
          <w:rFonts w:ascii="Times New Roman" w:hAnsi="Times New Roman" w:cs="仿宋"/>
          <w:bCs/>
          <w:sz w:val="24"/>
          <w:szCs w:val="24"/>
        </w:rPr>
      </w:pPr>
      <w:r>
        <w:rPr>
          <w:rFonts w:hint="eastAsia" w:ascii="Times New Roman" w:hAnsi="Times New Roman" w:cs="仿宋"/>
          <w:bCs/>
          <w:sz w:val="24"/>
          <w:szCs w:val="24"/>
        </w:rPr>
        <w:t>四、与质疑事项相关的质疑请求</w:t>
      </w:r>
    </w:p>
    <w:p w14:paraId="6D1B58C4">
      <w:pPr>
        <w:spacing w:line="360" w:lineRule="auto"/>
        <w:rPr>
          <w:rFonts w:ascii="Times New Roman" w:hAnsi="Times New Roman" w:cs="仿宋"/>
          <w:sz w:val="24"/>
          <w:szCs w:val="24"/>
          <w:u w:val="single"/>
        </w:rPr>
      </w:pPr>
      <w:r>
        <w:rPr>
          <w:rFonts w:hint="eastAsia" w:ascii="Times New Roman" w:hAnsi="Times New Roman" w:cs="仿宋"/>
          <w:sz w:val="24"/>
          <w:szCs w:val="24"/>
        </w:rPr>
        <w:t>请求：</w:t>
      </w:r>
    </w:p>
    <w:p w14:paraId="493F9CA8">
      <w:pPr>
        <w:rPr>
          <w:rFonts w:ascii="Times New Roman" w:hAnsi="Times New Roman"/>
          <w:sz w:val="24"/>
          <w:szCs w:val="24"/>
        </w:rPr>
      </w:pPr>
      <w:r>
        <w:rPr>
          <w:rFonts w:hint="eastAsia" w:ascii="Times New Roman" w:hAnsi="Times New Roman"/>
          <w:sz w:val="24"/>
          <w:szCs w:val="24"/>
        </w:rPr>
        <w:t>签字(签章)：公章：</w:t>
      </w:r>
    </w:p>
    <w:p w14:paraId="7BFAFF8A">
      <w:pPr>
        <w:rPr>
          <w:rFonts w:ascii="Times New Roman" w:hAnsi="Times New Roman"/>
          <w:sz w:val="24"/>
          <w:szCs w:val="24"/>
        </w:rPr>
      </w:pPr>
      <w:r>
        <w:rPr>
          <w:rFonts w:hint="eastAsia" w:ascii="Times New Roman" w:hAnsi="Times New Roman"/>
          <w:sz w:val="24"/>
          <w:szCs w:val="24"/>
        </w:rPr>
        <w:t>日期：</w:t>
      </w:r>
    </w:p>
    <w:p w14:paraId="125C0B80">
      <w:pPr>
        <w:spacing w:line="360" w:lineRule="auto"/>
        <w:rPr>
          <w:rFonts w:ascii="Times New Roman" w:hAnsi="Times New Roman" w:cs="仿宋"/>
          <w:sz w:val="24"/>
          <w:szCs w:val="24"/>
        </w:rPr>
      </w:pPr>
    </w:p>
    <w:p w14:paraId="7BEF0C55">
      <w:pPr>
        <w:rPr>
          <w:rFonts w:ascii="Times New Roman" w:hAnsi="Times New Roman"/>
          <w:b/>
          <w:sz w:val="24"/>
          <w:szCs w:val="24"/>
        </w:rPr>
      </w:pPr>
    </w:p>
    <w:p w14:paraId="5909581C">
      <w:pPr>
        <w:widowControl/>
        <w:jc w:val="left"/>
        <w:rPr>
          <w:rFonts w:ascii="Times New Roman" w:hAnsi="Times New Roman"/>
          <w:b/>
          <w:sz w:val="24"/>
          <w:szCs w:val="24"/>
        </w:rPr>
      </w:pPr>
      <w:r>
        <w:rPr>
          <w:rFonts w:ascii="Times New Roman" w:hAnsi="Times New Roman"/>
          <w:b/>
          <w:sz w:val="24"/>
          <w:szCs w:val="24"/>
        </w:rPr>
        <w:br w:type="page" w:clear="all"/>
      </w:r>
    </w:p>
    <w:p w14:paraId="668B26CF">
      <w:pPr>
        <w:widowControl/>
        <w:spacing w:line="360" w:lineRule="auto"/>
        <w:jc w:val="left"/>
        <w:rPr>
          <w:rFonts w:ascii="Times New Roman" w:hAnsi="Times New Roman"/>
          <w:b/>
          <w:sz w:val="24"/>
          <w:szCs w:val="24"/>
        </w:rPr>
      </w:pPr>
      <w:r>
        <w:rPr>
          <w:rFonts w:hint="eastAsia" w:ascii="Times New Roman" w:hAnsi="Times New Roman"/>
          <w:b/>
          <w:sz w:val="24"/>
          <w:szCs w:val="24"/>
        </w:rPr>
        <w:t>质疑函制作说明：</w:t>
      </w:r>
    </w:p>
    <w:p w14:paraId="03771BF7">
      <w:pPr>
        <w:widowControl/>
        <w:spacing w:line="360" w:lineRule="auto"/>
        <w:ind w:firstLine="480"/>
        <w:jc w:val="left"/>
        <w:rPr>
          <w:rFonts w:ascii="Times New Roman" w:hAnsi="Times New Roman"/>
          <w:sz w:val="24"/>
          <w:szCs w:val="24"/>
        </w:rPr>
      </w:pPr>
      <w:r>
        <w:rPr>
          <w:rFonts w:hint="eastAsia" w:ascii="Times New Roman" w:hAnsi="Times New Roman"/>
          <w:sz w:val="24"/>
          <w:szCs w:val="24"/>
        </w:rPr>
        <w:t>1、供应商提出质疑时，应提交质疑函和必要的证明材料。</w:t>
      </w:r>
    </w:p>
    <w:p w14:paraId="2392A0CB">
      <w:pPr>
        <w:widowControl/>
        <w:spacing w:line="360" w:lineRule="auto"/>
        <w:ind w:firstLine="480"/>
        <w:jc w:val="left"/>
        <w:rPr>
          <w:rFonts w:ascii="Times New Roman" w:hAnsi="Times New Roman"/>
          <w:sz w:val="24"/>
          <w:szCs w:val="24"/>
        </w:rPr>
      </w:pPr>
      <w:r>
        <w:rPr>
          <w:rFonts w:hint="eastAsia" w:ascii="Times New Roman" w:hAnsi="Times New Roman"/>
          <w:sz w:val="24"/>
          <w:szCs w:val="24"/>
        </w:rPr>
        <w:t>2、质疑供应商若委托代理人进行质疑的，质疑函应按要求列明“授权代表”的有关内容，并在附件中提交由质疑</w:t>
      </w:r>
      <w:r>
        <w:rPr>
          <w:rFonts w:hint="eastAsia" w:ascii="Times New Roman" w:hAnsi="Times New Roman" w:cs="宋体"/>
          <w:sz w:val="24"/>
          <w:szCs w:val="24"/>
        </w:rPr>
        <w:t>供应商签署的授权委托书。授权委托书应载明代理人的姓名或者名称、代理事项、具体权限、期限和相关事项。</w:t>
      </w:r>
    </w:p>
    <w:p w14:paraId="49D3D722">
      <w:pPr>
        <w:widowControl/>
        <w:spacing w:line="360" w:lineRule="auto"/>
        <w:ind w:firstLine="480"/>
        <w:jc w:val="left"/>
        <w:rPr>
          <w:rFonts w:ascii="Times New Roman" w:hAnsi="Times New Roman"/>
          <w:sz w:val="24"/>
          <w:szCs w:val="24"/>
        </w:rPr>
      </w:pPr>
      <w:r>
        <w:rPr>
          <w:rFonts w:hint="eastAsia" w:ascii="Times New Roman" w:hAnsi="Times New Roman"/>
          <w:sz w:val="24"/>
          <w:szCs w:val="24"/>
        </w:rPr>
        <w:t>3、质疑供应商若对项目的某一分包进行质疑，质疑函中应列明具体分包号。</w:t>
      </w:r>
    </w:p>
    <w:p w14:paraId="3A4E3433">
      <w:pPr>
        <w:widowControl/>
        <w:spacing w:line="360" w:lineRule="auto"/>
        <w:ind w:firstLine="480"/>
        <w:jc w:val="left"/>
        <w:rPr>
          <w:rFonts w:ascii="Times New Roman" w:hAnsi="Times New Roman"/>
          <w:sz w:val="24"/>
          <w:szCs w:val="24"/>
        </w:rPr>
      </w:pPr>
      <w:r>
        <w:rPr>
          <w:rFonts w:hint="eastAsia" w:ascii="Times New Roman" w:hAnsi="Times New Roman"/>
          <w:sz w:val="24"/>
          <w:szCs w:val="24"/>
        </w:rPr>
        <w:t>4、质疑函的质疑事项应具体、明确，并有必要的事实依据和法律依据。</w:t>
      </w:r>
    </w:p>
    <w:p w14:paraId="513F737C">
      <w:pPr>
        <w:widowControl/>
        <w:spacing w:line="360" w:lineRule="auto"/>
        <w:ind w:firstLine="480"/>
        <w:jc w:val="left"/>
        <w:rPr>
          <w:rFonts w:ascii="Times New Roman" w:hAnsi="Times New Roman"/>
          <w:sz w:val="24"/>
          <w:szCs w:val="24"/>
        </w:rPr>
      </w:pPr>
      <w:r>
        <w:rPr>
          <w:rFonts w:hint="eastAsia" w:ascii="Times New Roman" w:hAnsi="Times New Roman"/>
          <w:sz w:val="24"/>
          <w:szCs w:val="24"/>
        </w:rPr>
        <w:t>5、质疑函的质疑请求应与质疑事项相关。</w:t>
      </w:r>
    </w:p>
    <w:p w14:paraId="3EFAD8BA">
      <w:pPr>
        <w:widowControl/>
        <w:spacing w:line="360" w:lineRule="auto"/>
        <w:ind w:firstLine="480"/>
        <w:jc w:val="left"/>
        <w:rPr>
          <w:rFonts w:ascii="Times New Roman" w:hAnsi="Times New Roman"/>
          <w:sz w:val="24"/>
          <w:szCs w:val="24"/>
        </w:rPr>
      </w:pPr>
      <w:r>
        <w:rPr>
          <w:rFonts w:hint="eastAsia" w:ascii="Times New Roman" w:hAnsi="Times New Roman"/>
          <w:sz w:val="24"/>
          <w:szCs w:val="24"/>
        </w:rPr>
        <w:t>6、质疑供应商为自然人的，质疑函应由本人签字；质疑供应商为法人或者其他组织的，质疑函应由法定代表人、主要负责人，或者其授权代表签字或者盖章，并加盖公章</w:t>
      </w:r>
      <w:r>
        <w:rPr>
          <w:rFonts w:hint="eastAsia" w:ascii="Times New Roman" w:hAnsi="Times New Roman" w:cs="宋体"/>
          <w:sz w:val="24"/>
          <w:szCs w:val="24"/>
        </w:rPr>
        <w:t>。</w:t>
      </w:r>
    </w:p>
    <w:p w14:paraId="66D14D7F">
      <w:pPr>
        <w:widowControl/>
        <w:spacing w:line="360" w:lineRule="auto"/>
        <w:jc w:val="left"/>
        <w:rPr>
          <w:rFonts w:ascii="Times New Roman" w:hAnsi="Times New Roman" w:cs="宋体"/>
          <w:sz w:val="24"/>
          <w:szCs w:val="24"/>
        </w:rPr>
      </w:pPr>
    </w:p>
    <w:p w14:paraId="671B8E19">
      <w:pPr>
        <w:spacing w:line="360" w:lineRule="auto"/>
        <w:jc w:val="center"/>
        <w:rPr>
          <w:rFonts w:ascii="Times New Roman" w:hAnsi="Times New Roman"/>
          <w:b/>
          <w:sz w:val="44"/>
        </w:rPr>
      </w:pPr>
      <w:r>
        <w:rPr>
          <w:rFonts w:ascii="Times New Roman" w:hAnsi="Times New Roman"/>
          <w:b/>
          <w:sz w:val="44"/>
          <w:szCs w:val="44"/>
        </w:rPr>
        <w:br w:type="page" w:clear="all"/>
      </w:r>
      <w:r>
        <w:rPr>
          <w:rFonts w:hint="eastAsia" w:ascii="Times New Roman" w:hAnsi="Times New Roman"/>
          <w:b/>
          <w:sz w:val="44"/>
          <w:szCs w:val="44"/>
        </w:rPr>
        <w:t>第八章 响应文件组成及格式</w:t>
      </w:r>
    </w:p>
    <w:p w14:paraId="2A41FE88">
      <w:pPr>
        <w:adjustRightInd w:val="0"/>
        <w:snapToGrid w:val="0"/>
        <w:spacing w:line="360" w:lineRule="auto"/>
        <w:ind w:firstLine="555"/>
        <w:jc w:val="left"/>
        <w:rPr>
          <w:rFonts w:ascii="宋体" w:hAnsi="宋体"/>
          <w:b/>
          <w:color w:val="auto"/>
          <w:kern w:val="2"/>
          <w:sz w:val="24"/>
          <w:szCs w:val="24"/>
          <w:highlight w:val="none"/>
        </w:rPr>
      </w:pPr>
      <w:r>
        <w:rPr>
          <w:rFonts w:ascii="宋体" w:hAnsi="宋体"/>
          <w:b/>
          <w:color w:val="auto"/>
          <w:kern w:val="2"/>
          <w:sz w:val="24"/>
          <w:szCs w:val="24"/>
          <w:highlight w:val="none"/>
        </w:rPr>
        <w:t>响应文件由资格审查</w:t>
      </w:r>
      <w:r>
        <w:rPr>
          <w:rFonts w:hint="eastAsia" w:ascii="宋体" w:hAnsi="宋体"/>
          <w:b/>
          <w:color w:val="auto"/>
          <w:kern w:val="2"/>
          <w:sz w:val="24"/>
          <w:szCs w:val="24"/>
          <w:highlight w:val="none"/>
        </w:rPr>
        <w:t>文件</w:t>
      </w:r>
      <w:r>
        <w:rPr>
          <w:rFonts w:ascii="宋体" w:hAnsi="宋体"/>
          <w:b/>
          <w:color w:val="auto"/>
          <w:kern w:val="2"/>
          <w:sz w:val="24"/>
          <w:szCs w:val="24"/>
          <w:highlight w:val="none"/>
        </w:rPr>
        <w:t>、商务技术</w:t>
      </w:r>
      <w:r>
        <w:rPr>
          <w:rFonts w:hint="eastAsia" w:ascii="宋体" w:hAnsi="宋体"/>
          <w:b/>
          <w:color w:val="auto"/>
          <w:kern w:val="2"/>
          <w:sz w:val="24"/>
          <w:szCs w:val="24"/>
          <w:highlight w:val="none"/>
        </w:rPr>
        <w:t>响应</w:t>
      </w:r>
      <w:r>
        <w:rPr>
          <w:rFonts w:ascii="宋体" w:hAnsi="宋体"/>
          <w:b/>
          <w:color w:val="auto"/>
          <w:kern w:val="2"/>
          <w:sz w:val="24"/>
          <w:szCs w:val="24"/>
          <w:highlight w:val="none"/>
        </w:rPr>
        <w:t>文件、</w:t>
      </w:r>
      <w:r>
        <w:rPr>
          <w:rFonts w:hint="eastAsia" w:ascii="宋体" w:hAnsi="宋体"/>
          <w:b/>
          <w:color w:val="auto"/>
          <w:kern w:val="2"/>
          <w:sz w:val="24"/>
          <w:szCs w:val="24"/>
          <w:highlight w:val="none"/>
        </w:rPr>
        <w:t>报价响应</w:t>
      </w:r>
      <w:r>
        <w:rPr>
          <w:rFonts w:ascii="宋体" w:hAnsi="宋体"/>
          <w:b/>
          <w:color w:val="auto"/>
          <w:kern w:val="2"/>
          <w:sz w:val="24"/>
          <w:szCs w:val="24"/>
          <w:highlight w:val="none"/>
        </w:rPr>
        <w:t>文件三部分组成。</w:t>
      </w:r>
      <w:r>
        <w:rPr>
          <w:rFonts w:ascii="宋体" w:hAnsi="宋体"/>
          <w:b/>
          <w:bCs/>
          <w:color w:val="auto"/>
          <w:sz w:val="24"/>
          <w:szCs w:val="24"/>
          <w:highlight w:val="none"/>
          <w:lang w:val="zh-CN"/>
        </w:rPr>
        <w:t>请供应商根据本磋商文件的要求分别</w:t>
      </w:r>
      <w:r>
        <w:rPr>
          <w:rFonts w:hint="eastAsia" w:ascii="宋体" w:hAnsi="宋体"/>
          <w:b/>
          <w:bCs/>
          <w:color w:val="auto"/>
          <w:sz w:val="24"/>
          <w:szCs w:val="24"/>
          <w:highlight w:val="none"/>
          <w:lang w:val="zh-CN"/>
        </w:rPr>
        <w:t>制作、密封</w:t>
      </w:r>
      <w:r>
        <w:rPr>
          <w:rFonts w:ascii="宋体" w:hAnsi="宋体"/>
          <w:b/>
          <w:bCs/>
          <w:color w:val="auto"/>
          <w:sz w:val="24"/>
          <w:szCs w:val="24"/>
          <w:highlight w:val="none"/>
          <w:lang w:val="zh-CN"/>
        </w:rPr>
        <w:t>响应的材料。</w:t>
      </w:r>
    </w:p>
    <w:p w14:paraId="5B78B3F6">
      <w:pPr>
        <w:adjustRightInd w:val="0"/>
        <w:snapToGrid w:val="0"/>
        <w:spacing w:line="360" w:lineRule="auto"/>
        <w:ind w:firstLine="482" w:firstLineChars="200"/>
        <w:rPr>
          <w:rFonts w:ascii="宋体" w:hAnsi="宋体"/>
          <w:b/>
          <w:bCs/>
          <w:color w:val="auto"/>
          <w:sz w:val="24"/>
          <w:szCs w:val="24"/>
          <w:highlight w:val="none"/>
          <w:lang w:val="zh-CN"/>
        </w:rPr>
      </w:pPr>
      <w:r>
        <w:rPr>
          <w:rFonts w:ascii="宋体" w:hAnsi="宋体"/>
          <w:b/>
          <w:bCs/>
          <w:color w:val="auto"/>
          <w:sz w:val="24"/>
          <w:szCs w:val="24"/>
          <w:highlight w:val="none"/>
          <w:lang w:val="zh-CN"/>
        </w:rPr>
        <w:t>一、资格审查</w:t>
      </w:r>
      <w:r>
        <w:rPr>
          <w:rFonts w:hint="eastAsia" w:ascii="宋体" w:hAnsi="宋体"/>
          <w:b/>
          <w:bCs/>
          <w:color w:val="auto"/>
          <w:sz w:val="24"/>
          <w:szCs w:val="24"/>
          <w:highlight w:val="none"/>
          <w:lang w:val="zh-CN"/>
        </w:rPr>
        <w:t>文件</w:t>
      </w:r>
      <w:r>
        <w:rPr>
          <w:rFonts w:ascii="宋体" w:hAnsi="宋体"/>
          <w:b/>
          <w:bCs/>
          <w:color w:val="auto"/>
          <w:sz w:val="24"/>
          <w:szCs w:val="24"/>
          <w:highlight w:val="none"/>
          <w:lang w:val="zh-CN"/>
        </w:rPr>
        <w:t>（</w:t>
      </w:r>
      <w:r>
        <w:rPr>
          <w:rFonts w:hint="eastAsia" w:ascii="宋体" w:hAnsi="宋体"/>
          <w:b/>
          <w:bCs/>
          <w:color w:val="auto"/>
          <w:sz w:val="24"/>
          <w:szCs w:val="24"/>
          <w:highlight w:val="none"/>
          <w:lang w:val="zh-CN"/>
        </w:rPr>
        <w:t>单独密封，</w:t>
      </w:r>
      <w:r>
        <w:rPr>
          <w:rFonts w:ascii="宋体" w:hAnsi="宋体"/>
          <w:b/>
          <w:bCs/>
          <w:color w:val="auto"/>
          <w:sz w:val="24"/>
          <w:szCs w:val="24"/>
          <w:highlight w:val="none"/>
          <w:lang w:val="zh-CN"/>
        </w:rPr>
        <w:t>不能出现</w:t>
      </w:r>
      <w:r>
        <w:rPr>
          <w:rFonts w:hint="eastAsia" w:ascii="宋体" w:hAnsi="宋体"/>
          <w:b/>
          <w:bCs/>
          <w:color w:val="auto"/>
          <w:sz w:val="24"/>
          <w:szCs w:val="24"/>
          <w:highlight w:val="none"/>
          <w:lang w:val="zh-CN"/>
        </w:rPr>
        <w:t>报价响应</w:t>
      </w:r>
      <w:r>
        <w:rPr>
          <w:rFonts w:ascii="宋体" w:hAnsi="宋体"/>
          <w:b/>
          <w:bCs/>
          <w:color w:val="auto"/>
          <w:sz w:val="24"/>
          <w:szCs w:val="24"/>
          <w:highlight w:val="none"/>
          <w:lang w:val="zh-CN"/>
        </w:rPr>
        <w:t>文件</w:t>
      </w:r>
      <w:r>
        <w:rPr>
          <w:rFonts w:hint="eastAsia" w:ascii="宋体" w:hAnsi="宋体"/>
          <w:b/>
          <w:bCs/>
          <w:color w:val="auto"/>
          <w:sz w:val="24"/>
          <w:szCs w:val="24"/>
          <w:highlight w:val="none"/>
          <w:lang w:val="zh-CN"/>
        </w:rPr>
        <w:t>的内容</w:t>
      </w:r>
      <w:r>
        <w:rPr>
          <w:rFonts w:ascii="宋体" w:hAnsi="宋体"/>
          <w:b/>
          <w:bCs/>
          <w:color w:val="auto"/>
          <w:sz w:val="24"/>
          <w:szCs w:val="24"/>
          <w:highlight w:val="none"/>
          <w:lang w:val="zh-CN"/>
        </w:rPr>
        <w:t>）</w:t>
      </w:r>
    </w:p>
    <w:p w14:paraId="373243AB">
      <w:pPr>
        <w:adjustRightInd w:val="0"/>
        <w:snapToGrid w:val="0"/>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lang w:val="zh-CN"/>
        </w:rPr>
        <w:t>1.</w:t>
      </w:r>
      <w:r>
        <w:rPr>
          <w:rFonts w:hint="eastAsia" w:ascii="宋体" w:hAnsi="宋体" w:eastAsia="宋体" w:cs="宋体"/>
          <w:bCs/>
          <w:color w:val="auto"/>
          <w:kern w:val="0"/>
          <w:sz w:val="24"/>
          <w:highlight w:val="none"/>
          <w:lang w:val="zh-CN"/>
        </w:rPr>
        <w:t>投标人符合《政府采购法》第二十二条规定条件的</w:t>
      </w:r>
      <w:r>
        <w:rPr>
          <w:rFonts w:hint="eastAsia" w:ascii="宋体" w:hAnsi="宋体" w:cs="宋体"/>
          <w:bCs/>
          <w:color w:val="auto"/>
          <w:kern w:val="0"/>
          <w:sz w:val="24"/>
          <w:highlight w:val="none"/>
          <w:lang w:val="en-US" w:eastAsia="zh-CN"/>
        </w:rPr>
        <w:t>声明</w:t>
      </w:r>
      <w:r>
        <w:rPr>
          <w:rFonts w:hint="eastAsia" w:ascii="宋体" w:hAnsi="宋体" w:eastAsia="宋体" w:cs="宋体"/>
          <w:bCs/>
          <w:color w:val="auto"/>
          <w:kern w:val="0"/>
          <w:sz w:val="24"/>
          <w:highlight w:val="none"/>
          <w:lang w:val="zh-CN"/>
        </w:rPr>
        <w:t>函</w:t>
      </w:r>
      <w:r>
        <w:rPr>
          <w:rFonts w:hint="eastAsia" w:ascii="宋体" w:hAnsi="宋体" w:cs="宋体"/>
          <w:bCs/>
          <w:color w:val="auto"/>
          <w:kern w:val="0"/>
          <w:sz w:val="24"/>
          <w:highlight w:val="none"/>
          <w:lang w:val="zh-CN"/>
        </w:rPr>
        <w:t>；</w:t>
      </w:r>
      <w:r>
        <w:rPr>
          <w:rFonts w:hint="eastAsia" w:ascii="宋体" w:hAnsi="宋体" w:eastAsia="宋体" w:cs="宋体"/>
          <w:bCs/>
          <w:color w:val="auto"/>
          <w:kern w:val="0"/>
          <w:sz w:val="24"/>
          <w:highlight w:val="none"/>
          <w:lang w:val="zh-CN"/>
        </w:rPr>
        <w:t>（格式见附件）</w:t>
      </w:r>
    </w:p>
    <w:p w14:paraId="76A5612F">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eastAsia="宋体" w:cs="宋体"/>
          <w:color w:val="auto"/>
          <w:kern w:val="2"/>
          <w:sz w:val="24"/>
          <w:szCs w:val="24"/>
          <w:highlight w:val="none"/>
          <w:lang w:val="en-US" w:eastAsia="zh-CN"/>
        </w:rPr>
        <w:t>供应商</w:t>
      </w:r>
      <w:r>
        <w:rPr>
          <w:rFonts w:hint="eastAsia" w:ascii="宋体" w:hAnsi="宋体" w:cs="宋体"/>
          <w:color w:val="auto"/>
          <w:kern w:val="2"/>
          <w:sz w:val="24"/>
          <w:szCs w:val="24"/>
          <w:highlight w:val="none"/>
        </w:rPr>
        <w:t>须</w:t>
      </w:r>
      <w:r>
        <w:rPr>
          <w:rFonts w:hint="eastAsia" w:ascii="宋体" w:hAnsi="宋体" w:eastAsia="宋体" w:cs="宋体"/>
          <w:color w:val="auto"/>
          <w:kern w:val="2"/>
          <w:sz w:val="24"/>
          <w:szCs w:val="24"/>
          <w:highlight w:val="none"/>
          <w:lang w:val="en-US" w:eastAsia="zh-CN"/>
        </w:rPr>
        <w:t>提供保险许可证和营业执照。</w:t>
      </w:r>
      <w:r>
        <w:rPr>
          <w:rFonts w:hint="eastAsia" w:ascii="宋体" w:hAnsi="宋体" w:eastAsia="宋体" w:cs="宋体"/>
          <w:color w:val="auto"/>
          <w:kern w:val="2"/>
          <w:sz w:val="24"/>
          <w:szCs w:val="24"/>
          <w:highlight w:val="none"/>
          <w:lang w:eastAsia="zh-CN"/>
        </w:rPr>
        <w:t>（</w:t>
      </w:r>
      <w:r>
        <w:rPr>
          <w:rFonts w:hint="eastAsia" w:ascii="宋体" w:hAnsi="宋体" w:eastAsia="宋体" w:cs="宋体"/>
          <w:b w:val="0"/>
          <w:bCs w:val="0"/>
          <w:color w:val="auto"/>
          <w:kern w:val="2"/>
          <w:sz w:val="24"/>
          <w:szCs w:val="24"/>
          <w:highlight w:val="none"/>
          <w:lang w:val="en-US" w:eastAsia="zh-CN" w:bidi="ar-SA"/>
        </w:rPr>
        <w:t>如是分支机构</w:t>
      </w:r>
      <w:r>
        <w:rPr>
          <w:rFonts w:hint="eastAsia" w:ascii="宋体" w:hAnsi="宋体" w:cs="宋体"/>
          <w:b w:val="0"/>
          <w:bCs w:val="0"/>
          <w:color w:val="auto"/>
          <w:kern w:val="2"/>
          <w:sz w:val="24"/>
          <w:szCs w:val="24"/>
          <w:highlight w:val="none"/>
          <w:lang w:val="en-US" w:eastAsia="zh-CN" w:bidi="ar-SA"/>
        </w:rPr>
        <w:t>响应</w:t>
      </w:r>
      <w:r>
        <w:rPr>
          <w:rFonts w:hint="eastAsia" w:ascii="宋体" w:hAnsi="宋体" w:eastAsia="宋体" w:cs="宋体"/>
          <w:b w:val="0"/>
          <w:bCs w:val="0"/>
          <w:color w:val="auto"/>
          <w:kern w:val="2"/>
          <w:sz w:val="24"/>
          <w:szCs w:val="24"/>
          <w:highlight w:val="none"/>
          <w:lang w:val="en-US" w:eastAsia="zh-CN" w:bidi="ar-SA"/>
        </w:rPr>
        <w:t>，需提供总公司的《营业执照》及分支机构的《营业执照》扫描件，同时提供总公司的</w:t>
      </w:r>
      <w:r>
        <w:rPr>
          <w:rFonts w:hint="eastAsia" w:ascii="宋体" w:hAnsi="宋体" w:cs="宋体"/>
          <w:b w:val="0"/>
          <w:bCs w:val="0"/>
          <w:color w:val="auto"/>
          <w:kern w:val="2"/>
          <w:sz w:val="24"/>
          <w:szCs w:val="24"/>
          <w:highlight w:val="none"/>
          <w:lang w:val="en-US" w:eastAsia="zh-CN" w:bidi="ar-SA"/>
        </w:rPr>
        <w:t>业务</w:t>
      </w:r>
      <w:r>
        <w:rPr>
          <w:rFonts w:hint="eastAsia" w:ascii="宋体" w:hAnsi="宋体" w:eastAsia="宋体" w:cs="宋体"/>
          <w:b w:val="0"/>
          <w:bCs w:val="0"/>
          <w:color w:val="auto"/>
          <w:kern w:val="2"/>
          <w:sz w:val="24"/>
          <w:szCs w:val="24"/>
          <w:highlight w:val="none"/>
          <w:lang w:val="en-US" w:eastAsia="zh-CN" w:bidi="ar-SA"/>
        </w:rPr>
        <w:t>授权书</w:t>
      </w:r>
      <w:r>
        <w:rPr>
          <w:rFonts w:hint="eastAsia" w:ascii="宋体" w:hAnsi="宋体" w:cs="宋体"/>
          <w:b w:val="0"/>
          <w:bCs w:val="0"/>
          <w:color w:val="auto"/>
          <w:kern w:val="2"/>
          <w:sz w:val="24"/>
          <w:szCs w:val="24"/>
          <w:highlight w:val="none"/>
          <w:lang w:val="en-US" w:eastAsia="zh-CN" w:bidi="ar-SA"/>
        </w:rPr>
        <w:t>及</w:t>
      </w:r>
      <w:r>
        <w:rPr>
          <w:rFonts w:hint="eastAsia" w:ascii="宋体" w:hAnsi="宋体" w:eastAsia="宋体" w:cs="宋体"/>
          <w:color w:val="auto"/>
          <w:kern w:val="2"/>
          <w:sz w:val="24"/>
          <w:szCs w:val="24"/>
          <w:highlight w:val="none"/>
          <w:lang w:val="en-US" w:eastAsia="zh-CN"/>
        </w:rPr>
        <w:t>保险许可证</w:t>
      </w:r>
      <w:r>
        <w:rPr>
          <w:rFonts w:hint="eastAsia" w:ascii="宋体" w:hAnsi="宋体" w:eastAsia="宋体" w:cs="宋体"/>
          <w:b w:val="0"/>
          <w:bCs w:val="0"/>
          <w:color w:val="auto"/>
          <w:kern w:val="2"/>
          <w:sz w:val="24"/>
          <w:szCs w:val="24"/>
          <w:highlight w:val="none"/>
          <w:lang w:val="en-US" w:eastAsia="zh-CN" w:bidi="ar-SA"/>
        </w:rPr>
        <w:t>。同一保险总公司仅能授权其一家分支机构参与本项目磋商。</w:t>
      </w:r>
      <w:r>
        <w:rPr>
          <w:rFonts w:hint="eastAsia" w:ascii="宋体" w:hAnsi="宋体" w:eastAsia="宋体" w:cs="宋体"/>
          <w:color w:val="auto"/>
          <w:kern w:val="2"/>
          <w:sz w:val="24"/>
          <w:szCs w:val="24"/>
          <w:highlight w:val="none"/>
          <w:lang w:eastAsia="zh-CN"/>
        </w:rPr>
        <w:t>）</w:t>
      </w:r>
    </w:p>
    <w:p w14:paraId="453B5D25">
      <w:pPr>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.法定代表人</w:t>
      </w:r>
      <w:r>
        <w:rPr>
          <w:rFonts w:hint="eastAsia" w:ascii="宋体" w:hAnsi="宋体"/>
          <w:color w:val="auto"/>
          <w:sz w:val="24"/>
          <w:szCs w:val="24"/>
          <w:highlight w:val="none"/>
          <w:lang w:val="en-US" w:eastAsia="zh-CN"/>
        </w:rPr>
        <w:t>或企业负责人</w:t>
      </w:r>
      <w:r>
        <w:rPr>
          <w:rFonts w:ascii="宋体" w:hAnsi="宋体"/>
          <w:color w:val="auto"/>
          <w:sz w:val="24"/>
          <w:szCs w:val="24"/>
          <w:highlight w:val="none"/>
        </w:rPr>
        <w:t>身份证明书（格式见附件）</w:t>
      </w:r>
      <w:r>
        <w:rPr>
          <w:rFonts w:hint="eastAsia" w:ascii="宋体" w:hAnsi="宋体"/>
          <w:color w:val="auto"/>
          <w:sz w:val="24"/>
          <w:szCs w:val="24"/>
          <w:highlight w:val="none"/>
        </w:rPr>
        <w:t>及</w:t>
      </w:r>
      <w:r>
        <w:rPr>
          <w:rFonts w:ascii="宋体" w:hAnsi="宋体"/>
          <w:color w:val="auto"/>
          <w:sz w:val="24"/>
          <w:szCs w:val="24"/>
          <w:highlight w:val="none"/>
        </w:rPr>
        <w:t>法定代表人</w:t>
      </w:r>
      <w:r>
        <w:rPr>
          <w:rFonts w:hint="eastAsia" w:ascii="宋体" w:hAnsi="宋体"/>
          <w:color w:val="auto"/>
          <w:sz w:val="24"/>
          <w:szCs w:val="24"/>
          <w:highlight w:val="none"/>
          <w:lang w:val="en-US" w:eastAsia="zh-CN"/>
        </w:rPr>
        <w:t>或企业负责人</w:t>
      </w:r>
      <w:r>
        <w:rPr>
          <w:rFonts w:ascii="宋体" w:hAnsi="宋体"/>
          <w:color w:val="auto"/>
          <w:sz w:val="24"/>
          <w:szCs w:val="24"/>
          <w:highlight w:val="none"/>
        </w:rPr>
        <w:t>授权委托书（</w:t>
      </w:r>
      <w:r>
        <w:rPr>
          <w:rFonts w:hint="eastAsia" w:ascii="宋体" w:hAnsi="宋体"/>
          <w:color w:val="auto"/>
          <w:sz w:val="24"/>
          <w:szCs w:val="24"/>
          <w:highlight w:val="none"/>
        </w:rPr>
        <w:t>如有授权，</w:t>
      </w:r>
      <w:r>
        <w:rPr>
          <w:rFonts w:ascii="宋体" w:hAnsi="宋体"/>
          <w:color w:val="auto"/>
          <w:sz w:val="24"/>
          <w:szCs w:val="24"/>
          <w:highlight w:val="none"/>
        </w:rPr>
        <w:t>格式见附件）；</w:t>
      </w:r>
    </w:p>
    <w:p w14:paraId="0EF63DD2">
      <w:pPr>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4.供应商须提供《</w:t>
      </w:r>
      <w:r>
        <w:rPr>
          <w:rFonts w:hint="eastAsia" w:ascii="宋体" w:hAnsi="宋体" w:eastAsia="宋体" w:cs="宋体"/>
          <w:bCs/>
          <w:color w:val="auto"/>
          <w:kern w:val="0"/>
          <w:sz w:val="24"/>
          <w:highlight w:val="none"/>
          <w:lang w:val="zh-CN"/>
        </w:rPr>
        <w:t>诚信承诺书</w:t>
      </w:r>
      <w:r>
        <w:rPr>
          <w:rFonts w:hint="eastAsia" w:ascii="宋体" w:hAnsi="宋体"/>
          <w:color w:val="auto"/>
          <w:sz w:val="24"/>
          <w:szCs w:val="24"/>
          <w:highlight w:val="none"/>
        </w:rPr>
        <w:t>》（格式</w:t>
      </w:r>
      <w:r>
        <w:rPr>
          <w:rFonts w:ascii="宋体" w:hAnsi="宋体"/>
          <w:color w:val="auto"/>
          <w:sz w:val="24"/>
          <w:szCs w:val="24"/>
          <w:highlight w:val="none"/>
        </w:rPr>
        <w:t>见附件</w:t>
      </w:r>
      <w:r>
        <w:rPr>
          <w:rFonts w:hint="eastAsia" w:ascii="宋体" w:hAnsi="宋体"/>
          <w:color w:val="auto"/>
          <w:sz w:val="24"/>
          <w:szCs w:val="24"/>
          <w:highlight w:val="none"/>
        </w:rPr>
        <w:t>）；</w:t>
      </w:r>
    </w:p>
    <w:p w14:paraId="19989C50">
      <w:pPr>
        <w:adjustRightInd w:val="0"/>
        <w:snapToGrid w:val="0"/>
        <w:spacing w:line="360" w:lineRule="auto"/>
        <w:ind w:firstLine="480" w:firstLineChars="200"/>
        <w:rPr>
          <w:rFonts w:ascii="宋体" w:hAnsi="宋体"/>
          <w:color w:val="auto"/>
          <w:kern w:val="2"/>
          <w:sz w:val="24"/>
          <w:szCs w:val="24"/>
          <w:highlight w:val="none"/>
        </w:rPr>
      </w:pPr>
      <w:r>
        <w:rPr>
          <w:rFonts w:hint="eastAsia" w:ascii="宋体" w:hAnsi="宋体"/>
          <w:color w:val="auto"/>
          <w:sz w:val="24"/>
          <w:szCs w:val="24"/>
          <w:highlight w:val="none"/>
        </w:rPr>
        <w:t>5.</w:t>
      </w:r>
      <w:r>
        <w:rPr>
          <w:rFonts w:hint="eastAsia" w:ascii="宋体" w:hAnsi="宋体"/>
          <w:color w:val="auto"/>
          <w:kern w:val="2"/>
          <w:sz w:val="24"/>
          <w:szCs w:val="24"/>
          <w:highlight w:val="none"/>
        </w:rPr>
        <w:t>其他需要提交的资格审查证明材料。</w:t>
      </w:r>
    </w:p>
    <w:p w14:paraId="572765ED">
      <w:pPr>
        <w:snapToGrid w:val="0"/>
        <w:spacing w:line="360" w:lineRule="auto"/>
        <w:ind w:firstLine="482" w:firstLineChars="200"/>
        <w:textAlignment w:val="baseline"/>
        <w:rPr>
          <w:rFonts w:ascii="宋体" w:hAnsi="宋体" w:cs="宋体"/>
          <w:kern w:val="2"/>
          <w:sz w:val="24"/>
          <w:szCs w:val="24"/>
        </w:rPr>
      </w:pPr>
      <w:r>
        <w:rPr>
          <w:rFonts w:hint="eastAsia" w:ascii="宋体" w:hAnsi="宋体" w:cs="宋体"/>
          <w:b/>
          <w:bCs/>
          <w:kern w:val="2"/>
          <w:sz w:val="24"/>
          <w:szCs w:val="24"/>
        </w:rPr>
        <w:t>注：以上材料均需加盖单位公章。</w:t>
      </w:r>
    </w:p>
    <w:p w14:paraId="15292F28">
      <w:pPr>
        <w:adjustRightInd w:val="0"/>
        <w:snapToGrid w:val="0"/>
        <w:spacing w:line="360" w:lineRule="auto"/>
        <w:ind w:firstLine="482" w:firstLineChars="200"/>
        <w:rPr>
          <w:rFonts w:ascii="宋体" w:hAnsi="宋体"/>
          <w:b/>
          <w:bCs/>
          <w:sz w:val="24"/>
          <w:szCs w:val="24"/>
          <w:lang w:val="zh-CN"/>
        </w:rPr>
      </w:pPr>
      <w:r>
        <w:rPr>
          <w:rFonts w:ascii="宋体" w:hAnsi="宋体"/>
          <w:b/>
          <w:bCs/>
          <w:sz w:val="24"/>
          <w:szCs w:val="24"/>
          <w:lang w:val="zh-CN"/>
        </w:rPr>
        <w:t>二、商务技术</w:t>
      </w:r>
      <w:r>
        <w:rPr>
          <w:rFonts w:hint="eastAsia" w:ascii="宋体" w:hAnsi="宋体"/>
          <w:b/>
          <w:bCs/>
          <w:sz w:val="24"/>
          <w:szCs w:val="24"/>
          <w:lang w:val="zh-CN"/>
        </w:rPr>
        <w:t>响应</w:t>
      </w:r>
      <w:r>
        <w:rPr>
          <w:rFonts w:ascii="宋体" w:hAnsi="宋体"/>
          <w:b/>
          <w:bCs/>
          <w:sz w:val="24"/>
          <w:szCs w:val="24"/>
          <w:lang w:val="zh-CN"/>
        </w:rPr>
        <w:t>文件（</w:t>
      </w:r>
      <w:r>
        <w:rPr>
          <w:rFonts w:hint="eastAsia" w:ascii="宋体" w:hAnsi="宋体"/>
          <w:b/>
          <w:bCs/>
          <w:sz w:val="24"/>
          <w:szCs w:val="24"/>
          <w:lang w:val="zh-CN"/>
        </w:rPr>
        <w:t>单独密封，</w:t>
      </w:r>
      <w:r>
        <w:rPr>
          <w:rFonts w:ascii="宋体" w:hAnsi="宋体"/>
          <w:b/>
          <w:bCs/>
          <w:sz w:val="24"/>
          <w:szCs w:val="24"/>
          <w:lang w:val="zh-CN"/>
        </w:rPr>
        <w:t>不能出现</w:t>
      </w:r>
      <w:r>
        <w:rPr>
          <w:rFonts w:hint="eastAsia" w:ascii="宋体" w:hAnsi="宋体"/>
          <w:b/>
          <w:bCs/>
          <w:sz w:val="24"/>
          <w:szCs w:val="24"/>
          <w:lang w:val="zh-CN"/>
        </w:rPr>
        <w:t>报价响应</w:t>
      </w:r>
      <w:r>
        <w:rPr>
          <w:rFonts w:ascii="宋体" w:hAnsi="宋体"/>
          <w:b/>
          <w:bCs/>
          <w:sz w:val="24"/>
          <w:szCs w:val="24"/>
          <w:lang w:val="zh-CN"/>
        </w:rPr>
        <w:t>文件</w:t>
      </w:r>
      <w:r>
        <w:rPr>
          <w:rFonts w:hint="eastAsia" w:ascii="宋体" w:hAnsi="宋体"/>
          <w:b/>
          <w:bCs/>
          <w:sz w:val="24"/>
          <w:szCs w:val="24"/>
          <w:lang w:val="zh-CN"/>
        </w:rPr>
        <w:t>的内容</w:t>
      </w:r>
      <w:r>
        <w:rPr>
          <w:rFonts w:ascii="宋体" w:hAnsi="宋体"/>
          <w:b/>
          <w:bCs/>
          <w:sz w:val="24"/>
          <w:szCs w:val="24"/>
          <w:lang w:val="zh-CN"/>
        </w:rPr>
        <w:t>）</w:t>
      </w:r>
    </w:p>
    <w:p w14:paraId="749AFA9B">
      <w:pPr>
        <w:adjustRightInd w:val="0"/>
        <w:snapToGrid w:val="0"/>
        <w:spacing w:line="360" w:lineRule="auto"/>
        <w:ind w:firstLine="480" w:firstLineChars="200"/>
        <w:rPr>
          <w:rFonts w:ascii="宋体" w:hAnsi="宋体"/>
          <w:bCs/>
          <w:sz w:val="24"/>
          <w:szCs w:val="24"/>
          <w:lang w:val="zh-CN"/>
        </w:rPr>
      </w:pPr>
      <w:r>
        <w:rPr>
          <w:rFonts w:ascii="宋体" w:hAnsi="宋体"/>
          <w:bCs/>
          <w:sz w:val="24"/>
          <w:szCs w:val="24"/>
          <w:lang w:val="zh-CN"/>
        </w:rPr>
        <w:t>1.商务部分正负偏离表（格式见附件）；</w:t>
      </w:r>
    </w:p>
    <w:p w14:paraId="42CEE962">
      <w:pPr>
        <w:adjustRightInd w:val="0"/>
        <w:snapToGrid w:val="0"/>
        <w:spacing w:line="360" w:lineRule="auto"/>
        <w:ind w:firstLine="480" w:firstLineChars="200"/>
        <w:rPr>
          <w:rFonts w:ascii="宋体" w:hAnsi="宋体"/>
          <w:bCs/>
          <w:sz w:val="24"/>
          <w:szCs w:val="24"/>
          <w:lang w:val="zh-CN"/>
        </w:rPr>
      </w:pPr>
      <w:r>
        <w:rPr>
          <w:rFonts w:hint="eastAsia" w:ascii="宋体" w:hAnsi="宋体"/>
          <w:bCs/>
          <w:sz w:val="24"/>
          <w:szCs w:val="24"/>
          <w:lang w:val="zh-CN"/>
        </w:rPr>
        <w:t>2</w:t>
      </w:r>
      <w:r>
        <w:rPr>
          <w:rFonts w:ascii="宋体" w:hAnsi="宋体"/>
          <w:bCs/>
          <w:sz w:val="24"/>
          <w:szCs w:val="24"/>
          <w:lang w:val="zh-CN"/>
        </w:rPr>
        <w:t>.技术部分正负偏离表（格式见附件）；</w:t>
      </w:r>
    </w:p>
    <w:p w14:paraId="1574B470">
      <w:pPr>
        <w:adjustRightInd w:val="0"/>
        <w:snapToGrid w:val="0"/>
        <w:spacing w:line="360" w:lineRule="auto"/>
        <w:ind w:firstLine="480" w:firstLineChars="200"/>
        <w:rPr>
          <w:rFonts w:ascii="宋体" w:hAnsi="宋体"/>
          <w:bCs/>
          <w:sz w:val="24"/>
          <w:szCs w:val="24"/>
          <w:lang w:val="zh-CN"/>
        </w:rPr>
      </w:pPr>
      <w:r>
        <w:rPr>
          <w:rFonts w:hint="eastAsia" w:ascii="宋体" w:hAnsi="宋体"/>
          <w:sz w:val="24"/>
          <w:szCs w:val="24"/>
        </w:rPr>
        <w:t>3</w:t>
      </w:r>
      <w:r>
        <w:rPr>
          <w:rFonts w:hint="eastAsia" w:ascii="宋体" w:hAnsi="宋体"/>
          <w:sz w:val="24"/>
          <w:szCs w:val="24"/>
          <w:lang w:val="zh-CN"/>
        </w:rPr>
        <w:t>.</w:t>
      </w:r>
      <w:r>
        <w:rPr>
          <w:rFonts w:ascii="宋体" w:hAnsi="宋体"/>
          <w:bCs/>
          <w:sz w:val="24"/>
          <w:szCs w:val="24"/>
          <w:lang w:val="zh-CN"/>
        </w:rPr>
        <w:t>商务技术评分标准中须提供的相关得分佐证材料；</w:t>
      </w:r>
    </w:p>
    <w:p w14:paraId="12B91667">
      <w:pPr>
        <w:adjustRightInd w:val="0"/>
        <w:snapToGrid w:val="0"/>
        <w:spacing w:line="360" w:lineRule="auto"/>
        <w:ind w:firstLine="480" w:firstLineChars="200"/>
        <w:rPr>
          <w:rFonts w:ascii="宋体" w:hAnsi="宋体"/>
          <w:bCs/>
          <w:sz w:val="24"/>
          <w:szCs w:val="24"/>
          <w:lang w:val="zh-CN"/>
        </w:rPr>
      </w:pPr>
      <w:r>
        <w:rPr>
          <w:rFonts w:hint="eastAsia" w:ascii="宋体" w:hAnsi="宋体"/>
          <w:bCs/>
          <w:sz w:val="24"/>
          <w:szCs w:val="24"/>
          <w:lang w:val="en-US" w:eastAsia="zh-CN"/>
        </w:rPr>
        <w:t>4</w:t>
      </w:r>
      <w:r>
        <w:rPr>
          <w:rFonts w:ascii="宋体" w:hAnsi="宋体"/>
          <w:bCs/>
          <w:sz w:val="24"/>
          <w:szCs w:val="24"/>
          <w:lang w:val="zh-CN"/>
        </w:rPr>
        <w:t>.供应商认为需要提交的其他商务技术材料。</w:t>
      </w:r>
    </w:p>
    <w:p w14:paraId="17A62456">
      <w:pPr>
        <w:adjustRightInd w:val="0"/>
        <w:snapToGrid w:val="0"/>
        <w:spacing w:line="360" w:lineRule="auto"/>
        <w:ind w:firstLine="482" w:firstLineChars="200"/>
        <w:rPr>
          <w:rFonts w:ascii="宋体" w:hAnsi="宋体"/>
          <w:b/>
          <w:bCs/>
          <w:sz w:val="24"/>
          <w:szCs w:val="24"/>
          <w:lang w:val="zh-CN"/>
        </w:rPr>
      </w:pPr>
      <w:r>
        <w:rPr>
          <w:rFonts w:ascii="宋体" w:hAnsi="宋体"/>
          <w:b/>
          <w:bCs/>
          <w:sz w:val="24"/>
          <w:szCs w:val="24"/>
          <w:lang w:val="zh-CN"/>
        </w:rPr>
        <w:t>三、</w:t>
      </w:r>
      <w:r>
        <w:rPr>
          <w:rFonts w:hint="eastAsia" w:ascii="宋体" w:hAnsi="宋体"/>
          <w:b/>
          <w:bCs/>
          <w:sz w:val="24"/>
          <w:szCs w:val="24"/>
          <w:lang w:val="zh-CN"/>
        </w:rPr>
        <w:t>报价响应</w:t>
      </w:r>
      <w:r>
        <w:rPr>
          <w:rFonts w:ascii="宋体" w:hAnsi="宋体"/>
          <w:b/>
          <w:bCs/>
          <w:sz w:val="24"/>
          <w:szCs w:val="24"/>
          <w:lang w:val="zh-CN"/>
        </w:rPr>
        <w:t>文件</w:t>
      </w:r>
    </w:p>
    <w:p w14:paraId="606DA91C">
      <w:pPr>
        <w:spacing w:line="360" w:lineRule="auto"/>
        <w:ind w:firstLine="480"/>
        <w:rPr>
          <w:rFonts w:hint="eastAsia" w:ascii="宋体" w:hAnsi="宋体"/>
          <w:sz w:val="24"/>
          <w:szCs w:val="24"/>
        </w:rPr>
      </w:pPr>
      <w:r>
        <w:rPr>
          <w:rFonts w:ascii="宋体" w:hAnsi="宋体"/>
          <w:sz w:val="24"/>
          <w:szCs w:val="24"/>
          <w:lang w:val="zh-CN"/>
        </w:rPr>
        <w:t>1.</w:t>
      </w:r>
      <w:r>
        <w:rPr>
          <w:rFonts w:ascii="宋体" w:hAnsi="宋体"/>
          <w:sz w:val="24"/>
          <w:szCs w:val="24"/>
        </w:rPr>
        <w:t>报价表</w:t>
      </w:r>
      <w:r>
        <w:rPr>
          <w:rFonts w:ascii="宋体" w:hAnsi="宋体"/>
          <w:sz w:val="24"/>
          <w:szCs w:val="24"/>
          <w:lang w:val="zh-CN"/>
        </w:rPr>
        <w:t>（格式见附件）</w:t>
      </w:r>
      <w:r>
        <w:rPr>
          <w:rFonts w:hint="eastAsia" w:ascii="宋体" w:hAnsi="宋体"/>
          <w:sz w:val="24"/>
          <w:szCs w:val="24"/>
        </w:rPr>
        <w:t>。</w:t>
      </w:r>
    </w:p>
    <w:p w14:paraId="3229144D">
      <w:pPr>
        <w:pStyle w:val="2"/>
        <w:rPr>
          <w:lang w:val="zh-CN"/>
        </w:rPr>
      </w:pPr>
    </w:p>
    <w:p w14:paraId="2866F84C">
      <w:pPr>
        <w:snapToGrid w:val="0"/>
        <w:spacing w:line="400" w:lineRule="exact"/>
        <w:contextualSpacing/>
        <w:rPr>
          <w:rFonts w:ascii="宋体" w:hAnsi="宋体"/>
          <w:sz w:val="32"/>
          <w:szCs w:val="32"/>
          <w:lang w:val="zh-CN"/>
        </w:rPr>
      </w:pPr>
      <w:r>
        <w:rPr>
          <w:rFonts w:ascii="宋体" w:hAnsi="宋体"/>
          <w:sz w:val="32"/>
          <w:szCs w:val="32"/>
          <w:lang w:val="zh-CN"/>
        </w:rPr>
        <w:br w:type="page"/>
      </w:r>
      <w:r>
        <w:rPr>
          <w:rFonts w:ascii="宋体" w:hAnsi="宋体"/>
          <w:sz w:val="32"/>
          <w:szCs w:val="32"/>
          <w:lang w:val="zh-CN"/>
        </w:rPr>
        <w:t>附件</w:t>
      </w:r>
    </w:p>
    <w:p w14:paraId="2D576EDF">
      <w:pPr>
        <w:adjustRightInd w:val="0"/>
        <w:snapToGrid w:val="0"/>
        <w:spacing w:line="420" w:lineRule="exact"/>
        <w:jc w:val="center"/>
        <w:outlineLvl w:val="1"/>
        <w:rPr>
          <w:rFonts w:ascii="Times New Roman" w:hAnsi="Times New Roman"/>
          <w:b/>
          <w:bCs/>
          <w:kern w:val="2"/>
          <w:sz w:val="28"/>
          <w:szCs w:val="28"/>
        </w:rPr>
      </w:pPr>
      <w:r>
        <w:rPr>
          <w:rFonts w:hint="eastAsia" w:ascii="Times New Roman" w:hAnsi="Times New Roman" w:cs="宋体"/>
          <w:b/>
          <w:bCs/>
          <w:kern w:val="2"/>
          <w:sz w:val="28"/>
          <w:szCs w:val="28"/>
        </w:rPr>
        <w:t>（封面）</w:t>
      </w:r>
    </w:p>
    <w:p w14:paraId="2B7CEC61">
      <w:pPr>
        <w:spacing w:beforeLines="100" w:line="360" w:lineRule="exact"/>
        <w:jc w:val="center"/>
        <w:rPr>
          <w:rFonts w:ascii="Times New Roman" w:hAnsi="Times New Roman"/>
          <w:w w:val="80"/>
          <w:kern w:val="44"/>
          <w:sz w:val="36"/>
          <w:szCs w:val="36"/>
        </w:rPr>
      </w:pPr>
    </w:p>
    <w:p w14:paraId="29B4DFEB">
      <w:pPr>
        <w:spacing w:beforeLines="100" w:line="360" w:lineRule="exact"/>
        <w:jc w:val="center"/>
        <w:rPr>
          <w:rFonts w:ascii="Times New Roman" w:hAnsi="Times New Roman"/>
          <w:w w:val="80"/>
          <w:kern w:val="44"/>
          <w:sz w:val="36"/>
          <w:szCs w:val="36"/>
        </w:rPr>
      </w:pPr>
    </w:p>
    <w:p w14:paraId="0A33EC70">
      <w:pPr>
        <w:spacing w:line="360" w:lineRule="auto"/>
        <w:jc w:val="center"/>
        <w:rPr>
          <w:rFonts w:ascii="Times New Roman" w:hAnsi="Times New Roman" w:cs="宋体"/>
          <w:b/>
          <w:bCs/>
          <w:kern w:val="2"/>
          <w:sz w:val="32"/>
          <w:szCs w:val="32"/>
        </w:rPr>
      </w:pPr>
      <w:r>
        <w:rPr>
          <w:rFonts w:hint="eastAsia" w:ascii="Times New Roman" w:hAnsi="Times New Roman" w:cs="宋体"/>
          <w:b/>
          <w:bCs/>
          <w:kern w:val="2"/>
          <w:sz w:val="32"/>
          <w:szCs w:val="32"/>
          <w:lang w:eastAsia="zh-CN"/>
        </w:rPr>
        <w:t>南通公安大病特困救助基金会2025民警家庭医疗保险项目（二次）</w:t>
      </w:r>
    </w:p>
    <w:p w14:paraId="4043D3DF">
      <w:pPr>
        <w:spacing w:line="360" w:lineRule="auto"/>
        <w:jc w:val="center"/>
        <w:rPr>
          <w:rFonts w:ascii="Times New Roman" w:hAnsi="Times New Roman" w:cs="宋体"/>
          <w:b/>
          <w:bCs/>
          <w:kern w:val="2"/>
          <w:sz w:val="32"/>
          <w:szCs w:val="32"/>
        </w:rPr>
      </w:pPr>
    </w:p>
    <w:p w14:paraId="2FDC7563">
      <w:pPr>
        <w:spacing w:line="360" w:lineRule="auto"/>
        <w:jc w:val="center"/>
        <w:rPr>
          <w:rFonts w:ascii="Times New Roman" w:hAnsi="Times New Roman" w:cs="宋体"/>
          <w:b/>
          <w:bCs/>
          <w:kern w:val="2"/>
          <w:sz w:val="32"/>
          <w:szCs w:val="32"/>
        </w:rPr>
      </w:pPr>
    </w:p>
    <w:p w14:paraId="5AB5C0FC">
      <w:pPr>
        <w:spacing w:line="360" w:lineRule="auto"/>
        <w:jc w:val="center"/>
        <w:rPr>
          <w:rFonts w:ascii="Times New Roman" w:hAnsi="Times New Roman" w:cs="宋体"/>
          <w:b/>
          <w:bCs/>
          <w:kern w:val="2"/>
          <w:sz w:val="32"/>
          <w:szCs w:val="32"/>
        </w:rPr>
      </w:pPr>
    </w:p>
    <w:p w14:paraId="4B6F78DB">
      <w:pPr>
        <w:spacing w:line="360" w:lineRule="auto"/>
        <w:jc w:val="center"/>
        <w:rPr>
          <w:rFonts w:ascii="Times New Roman" w:hAnsi="Times New Roman" w:cs="宋体"/>
          <w:b/>
          <w:bCs/>
          <w:kern w:val="2"/>
          <w:sz w:val="32"/>
          <w:szCs w:val="32"/>
        </w:rPr>
      </w:pPr>
    </w:p>
    <w:p w14:paraId="10FB2F8E">
      <w:pPr>
        <w:spacing w:line="360" w:lineRule="auto"/>
        <w:jc w:val="center"/>
        <w:rPr>
          <w:rFonts w:ascii="Times New Roman" w:hAnsi="Times New Roman" w:cs="宋体"/>
          <w:b/>
          <w:bCs/>
          <w:kern w:val="2"/>
          <w:sz w:val="32"/>
          <w:szCs w:val="32"/>
        </w:rPr>
      </w:pPr>
      <w:r>
        <w:rPr>
          <w:rFonts w:hint="eastAsia" w:ascii="Times New Roman" w:hAnsi="Times New Roman" w:cs="宋体"/>
          <w:b/>
          <w:bCs/>
          <w:kern w:val="2"/>
          <w:sz w:val="32"/>
          <w:szCs w:val="32"/>
        </w:rPr>
        <w:t>项目编号：</w:t>
      </w:r>
    </w:p>
    <w:p w14:paraId="5C846B26">
      <w:pPr>
        <w:spacing w:line="360" w:lineRule="auto"/>
        <w:jc w:val="center"/>
        <w:rPr>
          <w:rFonts w:ascii="Times New Roman" w:hAnsi="Times New Roman" w:cs="宋体"/>
          <w:b/>
          <w:bCs/>
          <w:kern w:val="2"/>
          <w:sz w:val="36"/>
          <w:szCs w:val="36"/>
        </w:rPr>
      </w:pPr>
    </w:p>
    <w:p w14:paraId="5F4052B5">
      <w:pPr>
        <w:spacing w:line="360" w:lineRule="auto"/>
        <w:jc w:val="center"/>
        <w:rPr>
          <w:rFonts w:ascii="Times New Roman" w:hAnsi="Times New Roman" w:cs="宋体"/>
          <w:b/>
          <w:bCs/>
          <w:kern w:val="2"/>
          <w:sz w:val="36"/>
          <w:szCs w:val="36"/>
        </w:rPr>
      </w:pPr>
    </w:p>
    <w:p w14:paraId="59FE96F3">
      <w:pPr>
        <w:spacing w:line="360" w:lineRule="auto"/>
        <w:jc w:val="center"/>
        <w:rPr>
          <w:rFonts w:ascii="Times New Roman" w:hAnsi="Times New Roman"/>
          <w:b/>
          <w:bCs/>
          <w:kern w:val="2"/>
          <w:sz w:val="36"/>
          <w:szCs w:val="36"/>
        </w:rPr>
      </w:pPr>
      <w:r>
        <w:rPr>
          <w:rFonts w:hint="eastAsia" w:ascii="Times New Roman" w:hAnsi="Times New Roman" w:cs="宋体"/>
          <w:b/>
          <w:bCs/>
          <w:kern w:val="2"/>
          <w:sz w:val="36"/>
          <w:szCs w:val="36"/>
        </w:rPr>
        <w:t>竞争性磋商响应文件</w:t>
      </w:r>
    </w:p>
    <w:p w14:paraId="30A47E9C">
      <w:pPr>
        <w:spacing w:line="520" w:lineRule="exact"/>
        <w:jc w:val="center"/>
        <w:rPr>
          <w:rFonts w:ascii="Times New Roman" w:hAnsi="Times New Roman"/>
          <w:kern w:val="2"/>
          <w:sz w:val="36"/>
          <w:szCs w:val="36"/>
        </w:rPr>
      </w:pPr>
    </w:p>
    <w:p w14:paraId="29288665">
      <w:pPr>
        <w:spacing w:line="360" w:lineRule="auto"/>
        <w:jc w:val="center"/>
        <w:rPr>
          <w:rFonts w:ascii="Times New Roman" w:hAnsi="Times New Roman"/>
          <w:kern w:val="2"/>
          <w:sz w:val="28"/>
          <w:szCs w:val="28"/>
        </w:rPr>
      </w:pPr>
      <w:r>
        <w:rPr>
          <w:rFonts w:hint="eastAsia" w:ascii="Times New Roman" w:hAnsi="Times New Roman" w:cs="宋体"/>
          <w:kern w:val="2"/>
          <w:sz w:val="28"/>
          <w:szCs w:val="28"/>
        </w:rPr>
        <w:t>对应竞争性磋商响应文件，相应填写：资格审查文件</w:t>
      </w:r>
    </w:p>
    <w:p w14:paraId="40261D37">
      <w:pPr>
        <w:spacing w:line="360" w:lineRule="auto"/>
        <w:jc w:val="center"/>
        <w:rPr>
          <w:rFonts w:ascii="Times New Roman" w:hAnsi="Times New Roman"/>
          <w:kern w:val="2"/>
          <w:sz w:val="28"/>
          <w:szCs w:val="28"/>
        </w:rPr>
      </w:pPr>
      <w:r>
        <w:rPr>
          <w:rFonts w:hint="eastAsia" w:ascii="Times New Roman" w:hAnsi="Times New Roman" w:cs="宋体"/>
          <w:kern w:val="2"/>
          <w:sz w:val="28"/>
          <w:szCs w:val="28"/>
        </w:rPr>
        <w:t>商务技术响应文件</w:t>
      </w:r>
    </w:p>
    <w:p w14:paraId="66B81AD0">
      <w:pPr>
        <w:spacing w:line="360" w:lineRule="auto"/>
        <w:jc w:val="center"/>
        <w:rPr>
          <w:rFonts w:ascii="Times New Roman" w:hAnsi="Times New Roman"/>
          <w:kern w:val="2"/>
          <w:sz w:val="28"/>
          <w:szCs w:val="28"/>
        </w:rPr>
      </w:pPr>
      <w:r>
        <w:rPr>
          <w:rFonts w:hint="eastAsia" w:ascii="Times New Roman" w:hAnsi="Times New Roman" w:cs="宋体"/>
          <w:kern w:val="2"/>
          <w:sz w:val="28"/>
          <w:szCs w:val="28"/>
        </w:rPr>
        <w:t>报价响应文件</w:t>
      </w:r>
    </w:p>
    <w:p w14:paraId="3E293326">
      <w:pPr>
        <w:spacing w:line="360" w:lineRule="exact"/>
        <w:jc w:val="center"/>
        <w:rPr>
          <w:rFonts w:ascii="Times New Roman" w:hAnsi="Times New Roman"/>
          <w:kern w:val="2"/>
          <w:szCs w:val="21"/>
        </w:rPr>
      </w:pPr>
    </w:p>
    <w:p w14:paraId="20F1B4CD">
      <w:pPr>
        <w:spacing w:line="360" w:lineRule="exact"/>
        <w:jc w:val="center"/>
        <w:rPr>
          <w:rFonts w:ascii="Times New Roman" w:hAnsi="Times New Roman"/>
          <w:kern w:val="2"/>
          <w:sz w:val="28"/>
          <w:szCs w:val="28"/>
        </w:rPr>
      </w:pPr>
    </w:p>
    <w:p w14:paraId="6945942E">
      <w:pPr>
        <w:spacing w:line="360" w:lineRule="exact"/>
        <w:jc w:val="center"/>
        <w:rPr>
          <w:rFonts w:ascii="Times New Roman" w:hAnsi="Times New Roman"/>
          <w:kern w:val="2"/>
          <w:szCs w:val="21"/>
        </w:rPr>
      </w:pPr>
    </w:p>
    <w:p w14:paraId="11261273">
      <w:pPr>
        <w:spacing w:line="360" w:lineRule="exact"/>
        <w:jc w:val="center"/>
        <w:rPr>
          <w:rFonts w:ascii="Times New Roman" w:hAnsi="Times New Roman"/>
          <w:kern w:val="2"/>
          <w:szCs w:val="21"/>
        </w:rPr>
      </w:pPr>
    </w:p>
    <w:p w14:paraId="3D258A27">
      <w:pPr>
        <w:spacing w:line="360" w:lineRule="exact"/>
        <w:jc w:val="center"/>
        <w:rPr>
          <w:rFonts w:ascii="Times New Roman" w:hAnsi="Times New Roman"/>
          <w:kern w:val="2"/>
          <w:szCs w:val="21"/>
        </w:rPr>
      </w:pPr>
    </w:p>
    <w:p w14:paraId="634F59E8">
      <w:pPr>
        <w:spacing w:line="360" w:lineRule="exact"/>
        <w:jc w:val="center"/>
        <w:rPr>
          <w:rFonts w:ascii="Times New Roman" w:hAnsi="Times New Roman"/>
          <w:kern w:val="2"/>
          <w:szCs w:val="21"/>
        </w:rPr>
      </w:pPr>
    </w:p>
    <w:p w14:paraId="63821471">
      <w:pPr>
        <w:rPr>
          <w:rFonts w:ascii="Times New Roman" w:hAnsi="Times New Roman"/>
          <w:szCs w:val="21"/>
        </w:rPr>
      </w:pPr>
    </w:p>
    <w:p w14:paraId="1DFD86E1">
      <w:pPr>
        <w:spacing w:line="360" w:lineRule="exact"/>
        <w:jc w:val="center"/>
        <w:rPr>
          <w:rFonts w:ascii="Times New Roman" w:hAnsi="Times New Roman"/>
          <w:kern w:val="2"/>
          <w:szCs w:val="21"/>
        </w:rPr>
      </w:pPr>
    </w:p>
    <w:p w14:paraId="6A28A9CB">
      <w:pPr>
        <w:adjustRightInd w:val="0"/>
        <w:snapToGrid w:val="0"/>
        <w:spacing w:line="480" w:lineRule="auto"/>
        <w:jc w:val="center"/>
        <w:rPr>
          <w:rFonts w:ascii="Times New Roman" w:hAnsi="Times New Roman"/>
          <w:kern w:val="2"/>
          <w:sz w:val="30"/>
          <w:szCs w:val="30"/>
        </w:rPr>
      </w:pPr>
      <w:r>
        <w:rPr>
          <w:rFonts w:hint="eastAsia" w:ascii="Times New Roman" w:hAnsi="Times New Roman" w:cs="宋体"/>
          <w:kern w:val="2"/>
          <w:sz w:val="30"/>
          <w:szCs w:val="30"/>
        </w:rPr>
        <w:t>供应商：供应商全称</w:t>
      </w:r>
    </w:p>
    <w:p w14:paraId="767F2D28">
      <w:pPr>
        <w:snapToGrid w:val="0"/>
        <w:spacing w:line="480" w:lineRule="auto"/>
        <w:jc w:val="center"/>
        <w:rPr>
          <w:rFonts w:ascii="Times New Roman" w:hAnsi="Times New Roman" w:cs="宋体"/>
          <w:kern w:val="2"/>
          <w:sz w:val="36"/>
          <w:szCs w:val="36"/>
        </w:rPr>
      </w:pPr>
      <w:r>
        <w:rPr>
          <w:rFonts w:hint="eastAsia" w:ascii="Times New Roman" w:hAnsi="Times New Roman" w:cs="宋体"/>
          <w:kern w:val="2"/>
          <w:sz w:val="30"/>
          <w:szCs w:val="30"/>
        </w:rPr>
        <w:t>二〇二</w:t>
      </w:r>
      <w:r>
        <w:rPr>
          <w:rFonts w:hint="eastAsia" w:ascii="Times New Roman" w:hAnsi="Times New Roman" w:cs="宋体"/>
          <w:kern w:val="2"/>
          <w:sz w:val="30"/>
          <w:szCs w:val="30"/>
          <w:lang w:val="en-US" w:eastAsia="zh-CN"/>
        </w:rPr>
        <w:t>五</w:t>
      </w:r>
      <w:r>
        <w:rPr>
          <w:rFonts w:hint="eastAsia" w:ascii="Times New Roman" w:hAnsi="Times New Roman" w:cs="宋体"/>
          <w:kern w:val="2"/>
          <w:sz w:val="30"/>
          <w:szCs w:val="30"/>
        </w:rPr>
        <w:t>年月日</w:t>
      </w:r>
    </w:p>
    <w:p w14:paraId="54E4E254">
      <w:pPr>
        <w:jc w:val="center"/>
        <w:rPr>
          <w:rFonts w:ascii="宋体" w:hAnsi="宋体"/>
          <w:b/>
          <w:color w:val="000000"/>
          <w:kern w:val="2"/>
          <w:sz w:val="30"/>
          <w:szCs w:val="30"/>
        </w:rPr>
      </w:pPr>
      <w:r>
        <w:rPr>
          <w:rFonts w:ascii="宋体" w:hAnsi="宋体"/>
          <w:b/>
          <w:bCs/>
          <w:kern w:val="2"/>
          <w:sz w:val="24"/>
          <w:szCs w:val="24"/>
          <w:u w:val="single"/>
        </w:rPr>
        <w:br w:type="page"/>
      </w:r>
      <w:r>
        <w:rPr>
          <w:rFonts w:hint="eastAsia" w:ascii="宋体" w:hAnsi="宋体"/>
          <w:b/>
          <w:color w:val="000000"/>
          <w:kern w:val="2"/>
          <w:sz w:val="30"/>
          <w:szCs w:val="30"/>
        </w:rPr>
        <w:t>符合《中华人民共和国政府采购法》第二十二条规定的声明函</w:t>
      </w:r>
    </w:p>
    <w:p w14:paraId="663EDDAB">
      <w:pPr>
        <w:spacing w:line="460" w:lineRule="exact"/>
        <w:rPr>
          <w:rFonts w:ascii="宋体" w:hAnsi="宋体"/>
          <w:b/>
          <w:bCs/>
          <w:color w:val="000000"/>
          <w:kern w:val="2"/>
          <w:sz w:val="44"/>
          <w:szCs w:val="44"/>
        </w:rPr>
      </w:pPr>
    </w:p>
    <w:p w14:paraId="44027CE6">
      <w:pPr>
        <w:spacing w:line="520" w:lineRule="exact"/>
        <w:ind w:firstLine="480" w:firstLineChars="200"/>
        <w:rPr>
          <w:rFonts w:ascii="宋体" w:hAnsi="宋体"/>
          <w:b/>
          <w:bCs/>
          <w:color w:val="000000"/>
          <w:kern w:val="2"/>
          <w:sz w:val="24"/>
          <w:szCs w:val="24"/>
        </w:rPr>
      </w:pPr>
      <w:r>
        <w:rPr>
          <w:rFonts w:hint="eastAsia" w:ascii="宋体" w:hAnsi="宋体"/>
          <w:bCs/>
          <w:color w:val="000000"/>
          <w:kern w:val="2"/>
          <w:sz w:val="24"/>
          <w:szCs w:val="24"/>
        </w:rPr>
        <w:t>我单位参加</w:t>
      </w:r>
      <w:r>
        <w:rPr>
          <w:rFonts w:hint="eastAsia" w:ascii="宋体" w:hAnsi="宋体"/>
          <w:bCs/>
          <w:color w:val="000000"/>
          <w:kern w:val="2"/>
          <w:sz w:val="24"/>
          <w:szCs w:val="21"/>
          <w:u w:val="single"/>
        </w:rPr>
        <w:t>_       （项目名称）【项目编号：】</w:t>
      </w:r>
      <w:r>
        <w:rPr>
          <w:rFonts w:hint="eastAsia" w:ascii="宋体" w:hAnsi="宋体"/>
          <w:bCs/>
          <w:color w:val="000000"/>
          <w:kern w:val="2"/>
          <w:sz w:val="24"/>
          <w:szCs w:val="21"/>
        </w:rPr>
        <w:t>的磋商活动。现做出如下声明：</w:t>
      </w:r>
    </w:p>
    <w:p w14:paraId="610D304B">
      <w:pPr>
        <w:spacing w:line="520" w:lineRule="exact"/>
        <w:ind w:firstLine="482"/>
        <w:rPr>
          <w:rFonts w:ascii="宋体" w:hAnsi="宋体"/>
          <w:color w:val="000000"/>
          <w:kern w:val="2"/>
          <w:sz w:val="24"/>
          <w:szCs w:val="24"/>
        </w:rPr>
      </w:pPr>
      <w:r>
        <w:rPr>
          <w:rFonts w:hint="eastAsia" w:ascii="宋体" w:hAnsi="宋体"/>
          <w:bCs/>
          <w:color w:val="000000"/>
          <w:kern w:val="2"/>
          <w:sz w:val="24"/>
          <w:szCs w:val="21"/>
        </w:rPr>
        <w:t>1.我单位具有独立承担民事责任的能力；</w:t>
      </w:r>
    </w:p>
    <w:p w14:paraId="252240C9">
      <w:pPr>
        <w:spacing w:line="520" w:lineRule="exact"/>
        <w:ind w:firstLine="482"/>
        <w:rPr>
          <w:rFonts w:ascii="宋体" w:hAnsi="宋体"/>
          <w:color w:val="000000"/>
          <w:kern w:val="2"/>
          <w:sz w:val="24"/>
          <w:szCs w:val="24"/>
        </w:rPr>
      </w:pPr>
      <w:r>
        <w:rPr>
          <w:rFonts w:hint="eastAsia" w:ascii="宋体" w:hAnsi="宋体"/>
          <w:color w:val="000000"/>
          <w:kern w:val="2"/>
          <w:sz w:val="24"/>
          <w:szCs w:val="24"/>
        </w:rPr>
        <w:t>2.我单位具有良好的商业信誉和健全的财务会计制度；</w:t>
      </w:r>
    </w:p>
    <w:p w14:paraId="6F306234">
      <w:pPr>
        <w:spacing w:line="520" w:lineRule="exact"/>
        <w:ind w:firstLine="482"/>
        <w:rPr>
          <w:rFonts w:ascii="宋体" w:hAnsi="宋体"/>
          <w:color w:val="000000"/>
          <w:kern w:val="2"/>
          <w:sz w:val="24"/>
          <w:szCs w:val="24"/>
        </w:rPr>
      </w:pPr>
      <w:r>
        <w:rPr>
          <w:rFonts w:hint="eastAsia" w:ascii="宋体" w:hAnsi="宋体"/>
          <w:color w:val="000000"/>
          <w:kern w:val="2"/>
          <w:sz w:val="24"/>
          <w:szCs w:val="24"/>
        </w:rPr>
        <w:t>3.我单位具有履行合同所必需的设备和专业技术能力；</w:t>
      </w:r>
    </w:p>
    <w:p w14:paraId="175306BA">
      <w:pPr>
        <w:spacing w:line="520" w:lineRule="exact"/>
        <w:ind w:firstLine="482"/>
        <w:rPr>
          <w:rFonts w:ascii="宋体" w:hAnsi="宋体"/>
          <w:color w:val="000000"/>
          <w:kern w:val="2"/>
          <w:sz w:val="24"/>
          <w:szCs w:val="24"/>
        </w:rPr>
      </w:pPr>
      <w:r>
        <w:rPr>
          <w:rFonts w:hint="eastAsia" w:ascii="宋体" w:hAnsi="宋体"/>
          <w:color w:val="000000"/>
          <w:kern w:val="2"/>
          <w:sz w:val="24"/>
          <w:szCs w:val="24"/>
        </w:rPr>
        <w:t>4.我单位有依法缴纳税收和社会保障资金的良好记录；</w:t>
      </w:r>
    </w:p>
    <w:p w14:paraId="37BC4177">
      <w:pPr>
        <w:spacing w:line="520" w:lineRule="exact"/>
        <w:ind w:firstLine="482"/>
        <w:rPr>
          <w:rFonts w:ascii="宋体" w:hAnsi="宋体"/>
          <w:color w:val="000000"/>
          <w:kern w:val="2"/>
          <w:sz w:val="24"/>
          <w:szCs w:val="24"/>
        </w:rPr>
      </w:pPr>
      <w:r>
        <w:rPr>
          <w:rFonts w:hint="eastAsia" w:ascii="宋体" w:hAnsi="宋体"/>
          <w:color w:val="000000"/>
          <w:kern w:val="2"/>
          <w:sz w:val="24"/>
          <w:szCs w:val="24"/>
        </w:rPr>
        <w:t>5.我单位参加本次采购活动前三年内，在经营活动中没有重大违法记录；</w:t>
      </w:r>
    </w:p>
    <w:p w14:paraId="149AFB2E">
      <w:pPr>
        <w:spacing w:line="520" w:lineRule="exact"/>
        <w:ind w:firstLine="482"/>
        <w:rPr>
          <w:rFonts w:ascii="宋体" w:hAnsi="宋体"/>
          <w:color w:val="000000"/>
          <w:kern w:val="2"/>
          <w:sz w:val="24"/>
          <w:szCs w:val="24"/>
        </w:rPr>
      </w:pPr>
      <w:r>
        <w:rPr>
          <w:rFonts w:hint="eastAsia" w:ascii="宋体" w:hAnsi="宋体"/>
          <w:color w:val="000000"/>
          <w:kern w:val="2"/>
          <w:sz w:val="24"/>
          <w:szCs w:val="24"/>
        </w:rPr>
        <w:t>（1.供应商在参加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31C98A2B">
      <w:pPr>
        <w:spacing w:line="520" w:lineRule="exact"/>
        <w:ind w:firstLine="482"/>
        <w:rPr>
          <w:rFonts w:ascii="宋体" w:hAnsi="宋体"/>
          <w:color w:val="000000"/>
          <w:kern w:val="2"/>
          <w:sz w:val="24"/>
          <w:szCs w:val="24"/>
        </w:rPr>
      </w:pPr>
      <w:r>
        <w:rPr>
          <w:rFonts w:hint="eastAsia" w:ascii="宋体" w:hAnsi="宋体"/>
          <w:color w:val="000000"/>
          <w:kern w:val="2"/>
          <w:sz w:val="24"/>
          <w:szCs w:val="24"/>
        </w:rPr>
        <w:t>6.我单位满足法律、行政法规规定的其他条件。</w:t>
      </w:r>
    </w:p>
    <w:p w14:paraId="4ACF4091">
      <w:pPr>
        <w:spacing w:line="500" w:lineRule="exact"/>
        <w:ind w:firstLine="482"/>
        <w:rPr>
          <w:rFonts w:ascii="宋体" w:hAnsi="宋体"/>
          <w:color w:val="000000"/>
          <w:kern w:val="2"/>
          <w:sz w:val="24"/>
          <w:szCs w:val="24"/>
        </w:rPr>
      </w:pPr>
    </w:p>
    <w:p w14:paraId="16436682">
      <w:pPr>
        <w:spacing w:line="500" w:lineRule="exact"/>
        <w:rPr>
          <w:rFonts w:ascii="宋体" w:hAnsi="宋体"/>
          <w:color w:val="000000"/>
          <w:kern w:val="2"/>
          <w:sz w:val="24"/>
          <w:szCs w:val="24"/>
        </w:rPr>
      </w:pPr>
    </w:p>
    <w:p w14:paraId="527BC874">
      <w:pPr>
        <w:spacing w:line="500" w:lineRule="exact"/>
        <w:rPr>
          <w:rFonts w:ascii="宋体" w:hAnsi="宋体"/>
          <w:bCs/>
          <w:color w:val="000000"/>
          <w:kern w:val="2"/>
          <w:sz w:val="24"/>
          <w:szCs w:val="21"/>
        </w:rPr>
      </w:pPr>
    </w:p>
    <w:p w14:paraId="71A29D48">
      <w:pPr>
        <w:spacing w:line="500" w:lineRule="exact"/>
        <w:rPr>
          <w:rFonts w:ascii="宋体" w:hAnsi="宋体"/>
          <w:bCs/>
          <w:color w:val="000000"/>
          <w:kern w:val="2"/>
          <w:sz w:val="24"/>
          <w:szCs w:val="21"/>
        </w:rPr>
      </w:pPr>
    </w:p>
    <w:p w14:paraId="3BE74161">
      <w:pPr>
        <w:spacing w:line="500" w:lineRule="exact"/>
        <w:rPr>
          <w:rFonts w:ascii="宋体" w:hAnsi="宋体"/>
          <w:bCs/>
          <w:color w:val="000000"/>
          <w:kern w:val="2"/>
          <w:sz w:val="24"/>
          <w:szCs w:val="21"/>
        </w:rPr>
      </w:pPr>
    </w:p>
    <w:p w14:paraId="2A0C7096">
      <w:pPr>
        <w:spacing w:line="460" w:lineRule="exact"/>
        <w:jc w:val="center"/>
        <w:rPr>
          <w:rFonts w:ascii="宋体" w:hAnsi="宋体"/>
          <w:bCs/>
          <w:color w:val="000000"/>
          <w:kern w:val="2"/>
          <w:sz w:val="24"/>
          <w:szCs w:val="21"/>
        </w:rPr>
      </w:pPr>
      <w:r>
        <w:rPr>
          <w:rFonts w:hint="eastAsia" w:ascii="宋体" w:hAnsi="宋体"/>
          <w:bCs/>
          <w:color w:val="000000"/>
          <w:kern w:val="2"/>
          <w:sz w:val="24"/>
          <w:szCs w:val="21"/>
        </w:rPr>
        <w:t xml:space="preserve">                              声明人名称：</w:t>
      </w:r>
      <w:r>
        <w:rPr>
          <w:rFonts w:hint="eastAsia" w:ascii="宋体" w:hAnsi="宋体"/>
          <w:bCs/>
          <w:color w:val="000000"/>
          <w:kern w:val="2"/>
          <w:sz w:val="24"/>
          <w:szCs w:val="21"/>
          <w:u w:val="single"/>
        </w:rPr>
        <w:t>__________________</w:t>
      </w:r>
      <w:r>
        <w:rPr>
          <w:rFonts w:hint="eastAsia" w:ascii="宋体" w:hAnsi="宋体"/>
          <w:bCs/>
          <w:color w:val="000000"/>
          <w:kern w:val="2"/>
          <w:sz w:val="24"/>
          <w:szCs w:val="21"/>
        </w:rPr>
        <w:t>（公章）</w:t>
      </w:r>
    </w:p>
    <w:p w14:paraId="17C2D47E">
      <w:pPr>
        <w:spacing w:line="460" w:lineRule="exact"/>
        <w:jc w:val="right"/>
        <w:rPr>
          <w:rFonts w:ascii="宋体" w:hAnsi="宋体"/>
          <w:bCs/>
          <w:color w:val="000000"/>
          <w:kern w:val="2"/>
          <w:sz w:val="24"/>
          <w:szCs w:val="21"/>
        </w:rPr>
      </w:pPr>
    </w:p>
    <w:p w14:paraId="164659E1">
      <w:pPr>
        <w:spacing w:line="460" w:lineRule="exact"/>
        <w:jc w:val="right"/>
        <w:rPr>
          <w:rFonts w:ascii="宋体" w:hAnsi="宋体"/>
          <w:bCs/>
          <w:color w:val="000000"/>
          <w:kern w:val="2"/>
          <w:sz w:val="24"/>
          <w:szCs w:val="21"/>
        </w:rPr>
      </w:pPr>
      <w:r>
        <w:rPr>
          <w:rFonts w:hint="eastAsia" w:ascii="宋体" w:hAnsi="宋体"/>
          <w:bCs/>
          <w:color w:val="000000"/>
          <w:kern w:val="2"/>
          <w:sz w:val="24"/>
          <w:szCs w:val="21"/>
        </w:rPr>
        <w:t xml:space="preserve">                                 日期：</w:t>
      </w:r>
      <w:r>
        <w:rPr>
          <w:rFonts w:hint="eastAsia" w:ascii="宋体" w:hAnsi="宋体"/>
          <w:bCs/>
          <w:color w:val="000000"/>
          <w:kern w:val="2"/>
          <w:sz w:val="24"/>
          <w:szCs w:val="21"/>
          <w:u w:val="single"/>
        </w:rPr>
        <w:t>______</w:t>
      </w:r>
      <w:r>
        <w:rPr>
          <w:rFonts w:hint="eastAsia" w:ascii="宋体" w:hAnsi="宋体"/>
          <w:bCs/>
          <w:color w:val="000000"/>
          <w:kern w:val="2"/>
          <w:sz w:val="24"/>
          <w:szCs w:val="21"/>
        </w:rPr>
        <w:t>年月日</w:t>
      </w:r>
    </w:p>
    <w:p w14:paraId="32A60A30">
      <w:pPr>
        <w:snapToGrid w:val="0"/>
        <w:spacing w:line="400" w:lineRule="exact"/>
        <w:ind w:firstLine="540" w:firstLineChars="192"/>
        <w:contextualSpacing/>
        <w:rPr>
          <w:rFonts w:ascii="宋体" w:hAnsi="宋体" w:cs="宋体"/>
          <w:b/>
          <w:sz w:val="28"/>
          <w:szCs w:val="28"/>
        </w:rPr>
      </w:pPr>
    </w:p>
    <w:p w14:paraId="5774D445">
      <w:pPr>
        <w:snapToGrid w:val="0"/>
        <w:spacing w:line="400" w:lineRule="exact"/>
        <w:ind w:firstLine="540" w:firstLineChars="192"/>
        <w:contextualSpacing/>
        <w:rPr>
          <w:rFonts w:ascii="宋体" w:hAnsi="宋体" w:cs="宋体"/>
          <w:b/>
          <w:sz w:val="28"/>
          <w:szCs w:val="28"/>
          <w:lang w:val="zh-CN"/>
        </w:rPr>
      </w:pPr>
    </w:p>
    <w:p w14:paraId="5E433161">
      <w:pPr>
        <w:snapToGrid w:val="0"/>
        <w:spacing w:line="400" w:lineRule="exact"/>
        <w:contextualSpacing/>
        <w:rPr>
          <w:rFonts w:ascii="宋体" w:hAnsi="宋体" w:cs="宋体"/>
          <w:b/>
          <w:sz w:val="28"/>
          <w:szCs w:val="28"/>
          <w:lang w:val="zh-CN"/>
        </w:rPr>
      </w:pPr>
    </w:p>
    <w:p w14:paraId="42C6B051">
      <w:pPr>
        <w:snapToGrid w:val="0"/>
        <w:spacing w:line="400" w:lineRule="exact"/>
        <w:contextualSpacing/>
        <w:rPr>
          <w:rFonts w:ascii="宋体" w:hAnsi="宋体"/>
          <w:b/>
          <w:bCs/>
          <w:kern w:val="2"/>
          <w:sz w:val="32"/>
          <w:szCs w:val="32"/>
        </w:rPr>
      </w:pPr>
      <w:r>
        <w:rPr>
          <w:rFonts w:ascii="宋体" w:hAnsi="宋体"/>
          <w:sz w:val="32"/>
          <w:szCs w:val="32"/>
          <w:lang w:val="zh-CN"/>
        </w:rPr>
        <w:br w:type="page"/>
      </w:r>
    </w:p>
    <w:p w14:paraId="124892F1">
      <w:pPr>
        <w:snapToGrid w:val="0"/>
        <w:spacing w:line="360" w:lineRule="auto"/>
        <w:jc w:val="center"/>
        <w:outlineLvl w:val="4"/>
        <w:rPr>
          <w:rFonts w:ascii="宋体" w:hAnsi="宋体"/>
          <w:b/>
          <w:color w:val="000000"/>
          <w:kern w:val="2"/>
          <w:sz w:val="30"/>
          <w:szCs w:val="30"/>
          <w:highlight w:val="none"/>
        </w:rPr>
      </w:pPr>
      <w:r>
        <w:rPr>
          <w:rFonts w:hint="eastAsia" w:ascii="宋体" w:hAnsi="宋体"/>
          <w:b/>
          <w:color w:val="000000"/>
          <w:kern w:val="2"/>
          <w:sz w:val="30"/>
          <w:szCs w:val="30"/>
          <w:highlight w:val="none"/>
        </w:rPr>
        <w:t>法定代表人</w:t>
      </w:r>
      <w:r>
        <w:rPr>
          <w:rFonts w:hint="eastAsia" w:ascii="宋体" w:hAnsi="宋体"/>
          <w:b/>
          <w:color w:val="000000"/>
          <w:kern w:val="2"/>
          <w:sz w:val="30"/>
          <w:szCs w:val="30"/>
          <w:highlight w:val="none"/>
          <w:lang w:val="en-US" w:eastAsia="zh-CN"/>
        </w:rPr>
        <w:t>或企业负责人</w:t>
      </w:r>
      <w:r>
        <w:rPr>
          <w:rFonts w:hint="eastAsia" w:ascii="宋体" w:hAnsi="宋体"/>
          <w:b/>
          <w:color w:val="000000"/>
          <w:kern w:val="2"/>
          <w:sz w:val="30"/>
          <w:szCs w:val="30"/>
          <w:highlight w:val="none"/>
        </w:rPr>
        <w:t>身份证明</w:t>
      </w:r>
    </w:p>
    <w:p w14:paraId="6032FDCF">
      <w:pPr>
        <w:spacing w:line="480" w:lineRule="exact"/>
        <w:rPr>
          <w:rFonts w:ascii="宋体" w:hAnsi="宋体"/>
          <w:kern w:val="2"/>
          <w:sz w:val="24"/>
          <w:szCs w:val="24"/>
        </w:rPr>
      </w:pPr>
    </w:p>
    <w:p w14:paraId="629C1A87">
      <w:pPr>
        <w:spacing w:line="480" w:lineRule="exact"/>
        <w:ind w:firstLine="480" w:firstLineChars="200"/>
        <w:rPr>
          <w:rFonts w:ascii="宋体" w:hAnsi="宋体"/>
          <w:kern w:val="2"/>
          <w:sz w:val="24"/>
          <w:szCs w:val="24"/>
        </w:rPr>
      </w:pPr>
      <w:r>
        <w:rPr>
          <w:rFonts w:hint="eastAsia" w:ascii="宋体" w:hAnsi="宋体"/>
          <w:kern w:val="2"/>
          <w:sz w:val="24"/>
          <w:szCs w:val="24"/>
        </w:rPr>
        <w:t>先生/女士，现任我单位职务，为法定代表人</w:t>
      </w:r>
      <w:r>
        <w:rPr>
          <w:rFonts w:hint="eastAsia" w:ascii="宋体" w:hAnsi="宋体"/>
          <w:kern w:val="2"/>
          <w:sz w:val="24"/>
          <w:szCs w:val="24"/>
          <w:lang w:val="en-US" w:eastAsia="zh-CN"/>
        </w:rPr>
        <w:t>/企业负责人</w:t>
      </w:r>
      <w:r>
        <w:rPr>
          <w:rFonts w:hint="eastAsia" w:ascii="宋体" w:hAnsi="宋体"/>
          <w:kern w:val="2"/>
          <w:sz w:val="24"/>
          <w:szCs w:val="24"/>
        </w:rPr>
        <w:t>，特此证明。</w:t>
      </w:r>
    </w:p>
    <w:p w14:paraId="130F3DDA">
      <w:pPr>
        <w:spacing w:line="480" w:lineRule="exact"/>
        <w:ind w:firstLine="480"/>
        <w:rPr>
          <w:rFonts w:ascii="宋体" w:hAnsi="宋体"/>
          <w:kern w:val="2"/>
          <w:sz w:val="24"/>
          <w:szCs w:val="24"/>
          <w:u w:val="single"/>
        </w:rPr>
      </w:pPr>
      <w:r>
        <w:rPr>
          <w:rFonts w:hint="eastAsia" w:ascii="宋体" w:hAnsi="宋体"/>
          <w:kern w:val="2"/>
          <w:sz w:val="24"/>
          <w:szCs w:val="24"/>
        </w:rPr>
        <w:t>身份证号码：</w:t>
      </w:r>
    </w:p>
    <w:p w14:paraId="5B82987B">
      <w:pPr>
        <w:spacing w:line="480" w:lineRule="exact"/>
        <w:ind w:firstLine="480"/>
        <w:rPr>
          <w:rFonts w:ascii="宋体" w:hAnsi="宋体"/>
          <w:kern w:val="2"/>
          <w:sz w:val="24"/>
          <w:szCs w:val="24"/>
        </w:rPr>
      </w:pPr>
    </w:p>
    <w:p w14:paraId="2FDE6A73">
      <w:pPr>
        <w:snapToGrid w:val="0"/>
        <w:spacing w:line="420" w:lineRule="exact"/>
        <w:ind w:right="960" w:firstLine="404" w:firstLineChars="202"/>
        <w:jc w:val="center"/>
        <w:textAlignment w:val="baseline"/>
        <w:rPr>
          <w:rFonts w:ascii="Times New Roman" w:hAnsi="Times New Roman"/>
          <w:kern w:val="2"/>
          <w:sz w:val="20"/>
          <w:szCs w:val="21"/>
        </w:rPr>
      </w:pPr>
    </w:p>
    <w:p w14:paraId="4952BC9B">
      <w:pPr>
        <w:snapToGrid w:val="0"/>
        <w:spacing w:line="420" w:lineRule="exact"/>
        <w:ind w:firstLine="404" w:firstLineChars="202"/>
        <w:jc w:val="left"/>
        <w:textAlignment w:val="baseline"/>
        <w:rPr>
          <w:rFonts w:ascii="Times New Roman" w:hAnsi="Times New Roman"/>
          <w:kern w:val="2"/>
          <w:sz w:val="20"/>
          <w:szCs w:val="21"/>
        </w:rPr>
      </w:pPr>
    </w:p>
    <w:tbl>
      <w:tblPr>
        <w:tblStyle w:val="56"/>
        <w:tblW w:w="0" w:type="auto"/>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8"/>
      </w:tblGrid>
      <w:tr w14:paraId="5B61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7848" w:type="dxa"/>
          </w:tcPr>
          <w:p w14:paraId="7CEFE5ED">
            <w:pPr>
              <w:snapToGrid w:val="0"/>
              <w:spacing w:line="420" w:lineRule="exact"/>
              <w:ind w:firstLine="404" w:firstLineChars="202"/>
              <w:jc w:val="left"/>
              <w:textAlignment w:val="baseline"/>
              <w:rPr>
                <w:rFonts w:ascii="Times New Roman" w:hAnsi="Times New Roman"/>
                <w:kern w:val="2"/>
                <w:sz w:val="20"/>
              </w:rPr>
            </w:pPr>
          </w:p>
          <w:p w14:paraId="0B920EC4">
            <w:pPr>
              <w:snapToGrid w:val="0"/>
              <w:spacing w:line="420" w:lineRule="exact"/>
              <w:ind w:firstLine="404" w:firstLineChars="202"/>
              <w:jc w:val="left"/>
              <w:textAlignment w:val="baseline"/>
              <w:rPr>
                <w:rFonts w:ascii="Times New Roman" w:hAnsi="Times New Roman"/>
                <w:kern w:val="2"/>
                <w:sz w:val="20"/>
              </w:rPr>
            </w:pPr>
          </w:p>
          <w:p w14:paraId="6CA7A80B">
            <w:pPr>
              <w:snapToGrid w:val="0"/>
              <w:spacing w:line="420" w:lineRule="exact"/>
              <w:jc w:val="center"/>
              <w:textAlignment w:val="baseline"/>
              <w:rPr>
                <w:rFonts w:ascii="Times New Roman" w:hAnsi="Times New Roman"/>
                <w:b/>
                <w:bCs/>
                <w:kern w:val="2"/>
                <w:sz w:val="20"/>
              </w:rPr>
            </w:pPr>
            <w:r>
              <w:rPr>
                <w:rFonts w:hint="eastAsia" w:ascii="Times New Roman" w:hAnsi="Times New Roman" w:cs="宋体"/>
                <w:b/>
                <w:bCs/>
                <w:kern w:val="2"/>
              </w:rPr>
              <w:t>法定代表人</w:t>
            </w:r>
            <w:r>
              <w:rPr>
                <w:rFonts w:hint="eastAsia" w:ascii="Times New Roman" w:hAnsi="Times New Roman" w:cs="宋体"/>
                <w:b/>
                <w:bCs/>
                <w:kern w:val="2"/>
                <w:lang w:val="en-US" w:eastAsia="zh-CN"/>
              </w:rPr>
              <w:t>或企业负责人</w:t>
            </w:r>
            <w:r>
              <w:rPr>
                <w:rFonts w:hint="eastAsia" w:ascii="Times New Roman" w:hAnsi="Times New Roman" w:cs="宋体"/>
                <w:b/>
                <w:bCs/>
                <w:kern w:val="2"/>
              </w:rPr>
              <w:t>身份证</w:t>
            </w:r>
            <w:r>
              <w:rPr>
                <w:rFonts w:hint="eastAsia" w:ascii="Times New Roman" w:hAnsi="Times New Roman" w:cs="宋体"/>
                <w:b/>
                <w:kern w:val="2"/>
              </w:rPr>
              <w:t>（正、反面）</w:t>
            </w:r>
            <w:r>
              <w:rPr>
                <w:rFonts w:hint="eastAsia" w:ascii="Times New Roman" w:hAnsi="Times New Roman" w:cs="宋体"/>
                <w:b/>
                <w:bCs/>
                <w:kern w:val="2"/>
              </w:rPr>
              <w:t>复印件或扫描件</w:t>
            </w:r>
          </w:p>
          <w:p w14:paraId="7ECA37B0">
            <w:pPr>
              <w:snapToGrid w:val="0"/>
              <w:spacing w:line="420" w:lineRule="exact"/>
              <w:jc w:val="center"/>
              <w:textAlignment w:val="baseline"/>
              <w:rPr>
                <w:rFonts w:ascii="Times New Roman" w:hAnsi="Times New Roman"/>
                <w:b/>
                <w:bCs/>
                <w:kern w:val="2"/>
                <w:sz w:val="20"/>
              </w:rPr>
            </w:pPr>
          </w:p>
          <w:p w14:paraId="3FBC99BA">
            <w:pPr>
              <w:snapToGrid w:val="0"/>
              <w:spacing w:line="420" w:lineRule="exact"/>
              <w:jc w:val="center"/>
              <w:textAlignment w:val="baseline"/>
              <w:rPr>
                <w:rFonts w:ascii="Times New Roman" w:hAnsi="Times New Roman"/>
                <w:b/>
                <w:bCs/>
                <w:kern w:val="2"/>
                <w:sz w:val="20"/>
              </w:rPr>
            </w:pPr>
          </w:p>
          <w:p w14:paraId="1D6992D0">
            <w:pPr>
              <w:snapToGrid w:val="0"/>
              <w:spacing w:line="420" w:lineRule="exact"/>
              <w:jc w:val="center"/>
              <w:textAlignment w:val="baseline"/>
              <w:rPr>
                <w:rFonts w:ascii="Times New Roman" w:hAnsi="Times New Roman"/>
                <w:b/>
                <w:bCs/>
                <w:kern w:val="2"/>
                <w:sz w:val="20"/>
              </w:rPr>
            </w:pPr>
          </w:p>
          <w:p w14:paraId="2E66813B">
            <w:pPr>
              <w:snapToGrid w:val="0"/>
              <w:spacing w:line="420" w:lineRule="exact"/>
              <w:jc w:val="center"/>
              <w:textAlignment w:val="baseline"/>
              <w:rPr>
                <w:rFonts w:ascii="Times New Roman" w:hAnsi="Times New Roman"/>
                <w:kern w:val="2"/>
                <w:sz w:val="20"/>
              </w:rPr>
            </w:pPr>
          </w:p>
        </w:tc>
      </w:tr>
    </w:tbl>
    <w:p w14:paraId="2ADE19C3">
      <w:pPr>
        <w:snapToGrid w:val="0"/>
        <w:spacing w:line="420" w:lineRule="exact"/>
        <w:jc w:val="center"/>
        <w:textAlignment w:val="baseline"/>
        <w:rPr>
          <w:rFonts w:ascii="Times New Roman" w:hAnsi="Times New Roman"/>
          <w:kern w:val="2"/>
          <w:sz w:val="20"/>
          <w:szCs w:val="21"/>
        </w:rPr>
      </w:pPr>
    </w:p>
    <w:p w14:paraId="144F3A35">
      <w:pPr>
        <w:spacing w:line="600" w:lineRule="exact"/>
        <w:rPr>
          <w:rFonts w:ascii="宋体" w:hAnsi="宋体"/>
          <w:b/>
          <w:kern w:val="2"/>
          <w:sz w:val="24"/>
          <w:szCs w:val="24"/>
        </w:rPr>
      </w:pPr>
    </w:p>
    <w:p w14:paraId="714366BB">
      <w:pPr>
        <w:spacing w:line="480" w:lineRule="exact"/>
        <w:ind w:firstLine="480" w:firstLineChars="200"/>
        <w:rPr>
          <w:rFonts w:ascii="宋体" w:hAnsi="宋体"/>
          <w:kern w:val="2"/>
          <w:sz w:val="24"/>
          <w:szCs w:val="24"/>
        </w:rPr>
      </w:pPr>
    </w:p>
    <w:p w14:paraId="43978669">
      <w:pPr>
        <w:rPr>
          <w:rFonts w:ascii="宋体" w:hAnsi="宋体"/>
          <w:kern w:val="2"/>
          <w:szCs w:val="24"/>
        </w:rPr>
      </w:pPr>
    </w:p>
    <w:p w14:paraId="62CFC78D">
      <w:pPr>
        <w:snapToGrid w:val="0"/>
        <w:spacing w:line="400" w:lineRule="exact"/>
        <w:ind w:firstLine="540" w:firstLineChars="192"/>
        <w:contextualSpacing/>
        <w:rPr>
          <w:rFonts w:ascii="宋体" w:hAnsi="宋体" w:cs="宋体"/>
          <w:b/>
          <w:sz w:val="28"/>
          <w:szCs w:val="28"/>
        </w:rPr>
      </w:pPr>
    </w:p>
    <w:p w14:paraId="1841E4AE">
      <w:pPr>
        <w:snapToGrid w:val="0"/>
        <w:spacing w:line="520" w:lineRule="exact"/>
        <w:jc w:val="right"/>
        <w:textAlignment w:val="baseline"/>
        <w:rPr>
          <w:rFonts w:ascii="宋体" w:hAnsi="宋体" w:cs="宋体"/>
          <w:color w:val="000000"/>
          <w:kern w:val="2"/>
          <w:sz w:val="24"/>
          <w:szCs w:val="24"/>
        </w:rPr>
      </w:pPr>
      <w:r>
        <w:rPr>
          <w:rFonts w:hint="eastAsia" w:ascii="宋体" w:hAnsi="宋体" w:cs="宋体"/>
          <w:color w:val="000000"/>
          <w:kern w:val="2"/>
          <w:sz w:val="24"/>
          <w:szCs w:val="24"/>
        </w:rPr>
        <w:t>竞争性磋商响应单位：（加盖公章）</w:t>
      </w:r>
    </w:p>
    <w:p w14:paraId="738E55CC">
      <w:pPr>
        <w:snapToGrid w:val="0"/>
        <w:spacing w:line="420" w:lineRule="exact"/>
        <w:ind w:right="960" w:firstLine="484" w:firstLineChars="202"/>
        <w:jc w:val="center"/>
        <w:textAlignment w:val="baseline"/>
        <w:rPr>
          <w:rFonts w:ascii="Times New Roman" w:hAnsi="Times New Roman"/>
          <w:kern w:val="2"/>
          <w:sz w:val="20"/>
          <w:szCs w:val="21"/>
        </w:rPr>
      </w:pPr>
      <w:r>
        <w:rPr>
          <w:rFonts w:hint="eastAsia" w:ascii="宋体" w:hAnsi="宋体" w:cs="宋体"/>
          <w:color w:val="000000"/>
          <w:kern w:val="2"/>
          <w:sz w:val="24"/>
          <w:szCs w:val="24"/>
        </w:rPr>
        <w:t xml:space="preserve">                                   日期：  年  月  日</w:t>
      </w:r>
    </w:p>
    <w:p w14:paraId="7F0226DB">
      <w:pPr>
        <w:snapToGrid w:val="0"/>
        <w:spacing w:line="420" w:lineRule="exact"/>
        <w:ind w:firstLine="404" w:firstLineChars="202"/>
        <w:jc w:val="left"/>
        <w:textAlignment w:val="baseline"/>
        <w:rPr>
          <w:rFonts w:ascii="Times New Roman" w:hAnsi="Times New Roman"/>
          <w:kern w:val="2"/>
          <w:sz w:val="20"/>
          <w:szCs w:val="21"/>
        </w:rPr>
      </w:pPr>
    </w:p>
    <w:p w14:paraId="22A908F5">
      <w:pPr>
        <w:snapToGrid w:val="0"/>
        <w:spacing w:line="400" w:lineRule="exact"/>
        <w:ind w:firstLine="540" w:firstLineChars="192"/>
        <w:contextualSpacing/>
        <w:rPr>
          <w:rFonts w:ascii="宋体" w:hAnsi="宋体" w:cs="宋体"/>
          <w:b/>
          <w:sz w:val="28"/>
          <w:szCs w:val="28"/>
          <w:lang w:val="zh-CN"/>
        </w:rPr>
      </w:pPr>
    </w:p>
    <w:p w14:paraId="34602CD9">
      <w:pPr>
        <w:snapToGrid w:val="0"/>
        <w:spacing w:line="400" w:lineRule="exact"/>
        <w:ind w:firstLine="540" w:firstLineChars="192"/>
        <w:contextualSpacing/>
        <w:rPr>
          <w:rFonts w:ascii="宋体" w:hAnsi="宋体" w:cs="宋体"/>
          <w:b/>
          <w:sz w:val="28"/>
          <w:szCs w:val="28"/>
          <w:lang w:val="zh-CN"/>
        </w:rPr>
      </w:pPr>
    </w:p>
    <w:p w14:paraId="0EE3C59D">
      <w:pPr>
        <w:snapToGrid w:val="0"/>
        <w:spacing w:line="400" w:lineRule="exact"/>
        <w:ind w:firstLine="540" w:firstLineChars="192"/>
        <w:contextualSpacing/>
        <w:rPr>
          <w:rFonts w:ascii="宋体" w:hAnsi="宋体" w:cs="宋体"/>
          <w:b/>
          <w:sz w:val="28"/>
          <w:szCs w:val="28"/>
          <w:lang w:val="zh-CN"/>
        </w:rPr>
      </w:pPr>
    </w:p>
    <w:p w14:paraId="4F847797">
      <w:pPr>
        <w:snapToGrid w:val="0"/>
        <w:spacing w:line="400" w:lineRule="exact"/>
        <w:ind w:firstLine="540" w:firstLineChars="192"/>
        <w:contextualSpacing/>
        <w:rPr>
          <w:rFonts w:ascii="宋体" w:hAnsi="宋体" w:cs="宋体"/>
          <w:b/>
          <w:sz w:val="28"/>
          <w:szCs w:val="28"/>
          <w:lang w:val="zh-CN"/>
        </w:rPr>
      </w:pPr>
      <w:r>
        <w:rPr>
          <w:rFonts w:ascii="宋体" w:hAnsi="宋体" w:cs="宋体"/>
          <w:b/>
          <w:sz w:val="28"/>
          <w:szCs w:val="28"/>
          <w:lang w:val="zh-CN"/>
        </w:rPr>
        <w:br w:type="page"/>
      </w:r>
    </w:p>
    <w:p w14:paraId="6E7F36C2">
      <w:pPr>
        <w:snapToGrid w:val="0"/>
        <w:spacing w:line="360" w:lineRule="auto"/>
        <w:jc w:val="center"/>
        <w:outlineLvl w:val="4"/>
        <w:rPr>
          <w:rFonts w:ascii="宋体" w:hAnsi="宋体"/>
          <w:b/>
          <w:color w:val="000000"/>
          <w:kern w:val="2"/>
          <w:sz w:val="30"/>
          <w:szCs w:val="30"/>
          <w:highlight w:val="none"/>
        </w:rPr>
      </w:pPr>
      <w:r>
        <w:rPr>
          <w:rFonts w:hint="eastAsia" w:ascii="宋体" w:hAnsi="宋体"/>
          <w:b/>
          <w:color w:val="000000"/>
          <w:kern w:val="2"/>
          <w:sz w:val="30"/>
          <w:szCs w:val="30"/>
          <w:highlight w:val="none"/>
        </w:rPr>
        <w:t>法定代表人</w:t>
      </w:r>
      <w:r>
        <w:rPr>
          <w:rFonts w:hint="eastAsia" w:ascii="宋体" w:hAnsi="宋体"/>
          <w:b/>
          <w:color w:val="000000"/>
          <w:kern w:val="2"/>
          <w:sz w:val="30"/>
          <w:szCs w:val="30"/>
          <w:highlight w:val="none"/>
          <w:lang w:val="en-US" w:eastAsia="zh-CN"/>
        </w:rPr>
        <w:t>或企业负责人</w:t>
      </w:r>
      <w:r>
        <w:rPr>
          <w:rFonts w:hint="eastAsia" w:ascii="宋体" w:hAnsi="宋体"/>
          <w:b/>
          <w:color w:val="000000"/>
          <w:kern w:val="2"/>
          <w:sz w:val="30"/>
          <w:szCs w:val="30"/>
          <w:highlight w:val="none"/>
        </w:rPr>
        <w:t>授权委托书</w:t>
      </w:r>
    </w:p>
    <w:p w14:paraId="0B4F2570">
      <w:pPr>
        <w:rPr>
          <w:rFonts w:ascii="宋体" w:hAnsi="宋体"/>
          <w:kern w:val="2"/>
          <w:sz w:val="32"/>
          <w:szCs w:val="32"/>
          <w:highlight w:val="none"/>
        </w:rPr>
      </w:pPr>
    </w:p>
    <w:p w14:paraId="02F8FB2A">
      <w:pPr>
        <w:snapToGrid w:val="0"/>
        <w:spacing w:line="360" w:lineRule="auto"/>
        <w:rPr>
          <w:rFonts w:ascii="宋体" w:hAnsi="Times New Roman"/>
          <w:kern w:val="2"/>
          <w:sz w:val="24"/>
          <w:szCs w:val="24"/>
          <w:highlight w:val="none"/>
          <w:u w:val="single"/>
        </w:rPr>
      </w:pPr>
      <w:r>
        <w:rPr>
          <w:rFonts w:hint="eastAsia" w:ascii="宋体" w:hAnsi="宋体" w:cs="宋体"/>
          <w:kern w:val="2"/>
          <w:sz w:val="24"/>
          <w:szCs w:val="24"/>
          <w:highlight w:val="none"/>
          <w:u w:val="single"/>
          <w:lang w:eastAsia="zh-CN"/>
        </w:rPr>
        <w:t>南通公安大病特困救助基金会</w:t>
      </w:r>
      <w:r>
        <w:rPr>
          <w:rFonts w:hint="eastAsia" w:ascii="宋体" w:hAnsi="宋体" w:cs="宋体"/>
          <w:kern w:val="2"/>
          <w:sz w:val="24"/>
          <w:szCs w:val="24"/>
          <w:highlight w:val="none"/>
          <w:u w:val="single"/>
        </w:rPr>
        <w:t>：</w:t>
      </w:r>
    </w:p>
    <w:p w14:paraId="4DA28949">
      <w:pPr>
        <w:snapToGrid w:val="0"/>
        <w:spacing w:line="360" w:lineRule="auto"/>
        <w:ind w:firstLine="484" w:firstLineChars="202"/>
        <w:textAlignment w:val="baseline"/>
        <w:rPr>
          <w:rFonts w:ascii="Times New Roman" w:hAnsi="Times New Roman"/>
          <w:kern w:val="2"/>
          <w:sz w:val="24"/>
          <w:szCs w:val="24"/>
        </w:rPr>
      </w:pPr>
      <w:r>
        <w:rPr>
          <w:rFonts w:hint="eastAsia" w:ascii="Times New Roman" w:hAnsi="Times New Roman" w:cs="宋体"/>
          <w:kern w:val="2"/>
          <w:sz w:val="24"/>
          <w:szCs w:val="24"/>
          <w:highlight w:val="none"/>
        </w:rPr>
        <w:t>本授权委托书声明：我</w:t>
      </w:r>
      <w:r>
        <w:rPr>
          <w:rFonts w:hint="eastAsia" w:ascii="Times New Roman" w:hAnsi="Times New Roman" w:cs="宋体"/>
          <w:kern w:val="2"/>
          <w:sz w:val="24"/>
          <w:szCs w:val="24"/>
          <w:highlight w:val="none"/>
          <w:u w:val="single" w:color="000000"/>
        </w:rPr>
        <w:t>　</w:t>
      </w:r>
      <w:r>
        <w:rPr>
          <w:rFonts w:hint="eastAsia" w:ascii="Times New Roman" w:hAnsi="Times New Roman" w:cs="宋体"/>
          <w:kern w:val="2"/>
          <w:sz w:val="24"/>
          <w:szCs w:val="24"/>
          <w:highlight w:val="none"/>
        </w:rPr>
        <w:t>（姓名）系</w:t>
      </w:r>
      <w:r>
        <w:rPr>
          <w:rFonts w:hint="eastAsia" w:ascii="Times New Roman" w:hAnsi="Times New Roman" w:cs="宋体"/>
          <w:kern w:val="2"/>
          <w:sz w:val="24"/>
          <w:szCs w:val="24"/>
          <w:highlight w:val="none"/>
          <w:u w:val="single" w:color="000000"/>
        </w:rPr>
        <w:t>　</w:t>
      </w:r>
      <w:r>
        <w:rPr>
          <w:rFonts w:hint="eastAsia" w:ascii="Times New Roman" w:hAnsi="Times New Roman" w:cs="宋体"/>
          <w:kern w:val="2"/>
          <w:sz w:val="24"/>
          <w:szCs w:val="24"/>
          <w:highlight w:val="none"/>
        </w:rPr>
        <w:t>（供应商名称）的法定代表人</w:t>
      </w:r>
      <w:r>
        <w:rPr>
          <w:rFonts w:hint="eastAsia" w:ascii="Times New Roman" w:hAnsi="Times New Roman" w:cs="宋体"/>
          <w:kern w:val="2"/>
          <w:sz w:val="24"/>
          <w:szCs w:val="24"/>
          <w:highlight w:val="none"/>
          <w:lang w:val="en-US" w:eastAsia="zh-CN"/>
        </w:rPr>
        <w:t>/企业负责人</w:t>
      </w:r>
      <w:r>
        <w:rPr>
          <w:rFonts w:hint="eastAsia" w:ascii="Times New Roman" w:hAnsi="Times New Roman" w:cs="宋体"/>
          <w:kern w:val="2"/>
          <w:sz w:val="24"/>
          <w:szCs w:val="24"/>
          <w:highlight w:val="none"/>
        </w:rPr>
        <w:t>，现授权委托</w:t>
      </w:r>
      <w:r>
        <w:rPr>
          <w:rFonts w:hint="eastAsia" w:ascii="Times New Roman" w:hAnsi="Times New Roman" w:cs="宋体"/>
          <w:kern w:val="2"/>
          <w:sz w:val="24"/>
          <w:szCs w:val="24"/>
          <w:highlight w:val="none"/>
          <w:u w:val="single" w:color="000000"/>
        </w:rPr>
        <w:t>　　</w:t>
      </w:r>
      <w:r>
        <w:rPr>
          <w:rFonts w:hint="eastAsia" w:ascii="Times New Roman" w:hAnsi="Times New Roman" w:cs="宋体"/>
          <w:kern w:val="2"/>
          <w:sz w:val="24"/>
          <w:szCs w:val="24"/>
          <w:highlight w:val="none"/>
        </w:rPr>
        <w:t>（姓名）为我公司委托代理人，以本公司的名义参加</w:t>
      </w:r>
      <w:r>
        <w:rPr>
          <w:rFonts w:hint="eastAsia" w:ascii="宋体" w:hAnsi="宋体" w:cs="宋体"/>
          <w:bCs/>
          <w:kern w:val="2"/>
          <w:sz w:val="24"/>
          <w:szCs w:val="21"/>
          <w:highlight w:val="none"/>
          <w:u w:val="single"/>
        </w:rPr>
        <w:t xml:space="preserve">         （项目名称）     【项目编号：】</w:t>
      </w:r>
      <w:r>
        <w:rPr>
          <w:rFonts w:hint="eastAsia" w:ascii="Times New Roman" w:hAnsi="Times New Roman" w:cs="宋体"/>
          <w:kern w:val="2"/>
          <w:sz w:val="24"/>
          <w:szCs w:val="24"/>
          <w:highlight w:val="none"/>
        </w:rPr>
        <w:t>的竞争性磋商响应活动。被授权人在开标、评审磋商活动、合同磋商过程中所签署的一切文件和处理与之有关的一切事务，我均予以承认。</w:t>
      </w:r>
    </w:p>
    <w:p w14:paraId="61246995">
      <w:pPr>
        <w:snapToGrid w:val="0"/>
        <w:spacing w:line="360" w:lineRule="auto"/>
        <w:ind w:firstLine="484" w:firstLineChars="202"/>
        <w:textAlignment w:val="baseline"/>
        <w:rPr>
          <w:rFonts w:ascii="Times New Roman" w:hAnsi="Times New Roman" w:cs="宋体"/>
          <w:kern w:val="2"/>
          <w:sz w:val="24"/>
          <w:szCs w:val="24"/>
        </w:rPr>
      </w:pPr>
      <w:r>
        <w:rPr>
          <w:rFonts w:hint="eastAsia" w:ascii="Times New Roman" w:hAnsi="Times New Roman" w:cs="宋体"/>
          <w:kern w:val="2"/>
          <w:sz w:val="24"/>
          <w:szCs w:val="24"/>
        </w:rPr>
        <w:t>被授权人无转委权。特此委托。</w:t>
      </w:r>
    </w:p>
    <w:p w14:paraId="24735716">
      <w:pPr>
        <w:snapToGrid w:val="0"/>
        <w:spacing w:line="360" w:lineRule="auto"/>
        <w:textAlignment w:val="baseline"/>
        <w:rPr>
          <w:rFonts w:ascii="Times New Roman" w:hAnsi="Times New Roman"/>
          <w:szCs w:val="24"/>
        </w:rPr>
      </w:pPr>
    </w:p>
    <w:p w14:paraId="68E89EA4">
      <w:pPr>
        <w:snapToGrid w:val="0"/>
        <w:spacing w:line="360" w:lineRule="auto"/>
        <w:ind w:firstLine="972" w:firstLineChars="405"/>
        <w:textAlignment w:val="baseline"/>
        <w:rPr>
          <w:rFonts w:ascii="Times New Roman" w:hAnsi="Times New Roman"/>
          <w:kern w:val="2"/>
          <w:sz w:val="24"/>
          <w:szCs w:val="24"/>
        </w:rPr>
      </w:pPr>
      <w:r>
        <w:rPr>
          <w:rFonts w:hint="eastAsia" w:ascii="Times New Roman" w:hAnsi="Times New Roman" w:cs="宋体"/>
          <w:kern w:val="2"/>
          <w:sz w:val="24"/>
          <w:szCs w:val="24"/>
        </w:rPr>
        <w:t>法定代表人</w:t>
      </w:r>
      <w:r>
        <w:rPr>
          <w:rFonts w:hint="eastAsia" w:ascii="Times New Roman" w:hAnsi="Times New Roman" w:cs="宋体"/>
          <w:kern w:val="2"/>
          <w:sz w:val="24"/>
          <w:szCs w:val="24"/>
          <w:lang w:val="en-US" w:eastAsia="zh-CN"/>
        </w:rPr>
        <w:t>/企业负责人</w:t>
      </w:r>
      <w:r>
        <w:rPr>
          <w:rFonts w:hint="eastAsia" w:ascii="Times New Roman" w:hAnsi="Times New Roman" w:cs="宋体"/>
          <w:kern w:val="2"/>
          <w:sz w:val="24"/>
          <w:szCs w:val="24"/>
        </w:rPr>
        <w:t>签字：</w:t>
      </w:r>
    </w:p>
    <w:p w14:paraId="62A08A13">
      <w:pPr>
        <w:snapToGrid w:val="0"/>
        <w:spacing w:line="360" w:lineRule="auto"/>
        <w:ind w:firstLine="972" w:firstLineChars="405"/>
        <w:textAlignment w:val="baseline"/>
        <w:rPr>
          <w:rFonts w:ascii="Times New Roman" w:hAnsi="Times New Roman"/>
          <w:kern w:val="2"/>
          <w:sz w:val="24"/>
          <w:szCs w:val="24"/>
        </w:rPr>
      </w:pPr>
      <w:r>
        <w:rPr>
          <w:rFonts w:hint="eastAsia" w:ascii="Times New Roman" w:hAnsi="Times New Roman" w:cs="宋体"/>
          <w:kern w:val="2"/>
          <w:sz w:val="24"/>
          <w:szCs w:val="24"/>
        </w:rPr>
        <w:t>被授权人身份证号：</w:t>
      </w:r>
    </w:p>
    <w:p w14:paraId="43EFB87A">
      <w:pPr>
        <w:snapToGrid w:val="0"/>
        <w:spacing w:line="360" w:lineRule="auto"/>
        <w:ind w:firstLine="972" w:firstLineChars="405"/>
        <w:textAlignment w:val="baseline"/>
        <w:rPr>
          <w:rFonts w:ascii="Times New Roman" w:hAnsi="Times New Roman"/>
          <w:kern w:val="2"/>
          <w:sz w:val="24"/>
          <w:szCs w:val="24"/>
        </w:rPr>
      </w:pPr>
      <w:r>
        <w:rPr>
          <w:rFonts w:hint="eastAsia" w:ascii="Times New Roman" w:hAnsi="Times New Roman" w:cs="宋体"/>
          <w:kern w:val="2"/>
          <w:sz w:val="24"/>
          <w:szCs w:val="24"/>
        </w:rPr>
        <w:t>被授权人签字：</w:t>
      </w:r>
    </w:p>
    <w:p w14:paraId="5A6E4FB6">
      <w:pPr>
        <w:snapToGrid w:val="0"/>
        <w:spacing w:line="520" w:lineRule="exact"/>
        <w:jc w:val="right"/>
        <w:textAlignment w:val="baseline"/>
        <w:rPr>
          <w:rFonts w:ascii="宋体" w:hAnsi="宋体" w:cs="宋体"/>
          <w:color w:val="000000"/>
          <w:kern w:val="2"/>
          <w:sz w:val="24"/>
          <w:szCs w:val="24"/>
        </w:rPr>
      </w:pPr>
    </w:p>
    <w:p w14:paraId="336C4FD5">
      <w:pPr>
        <w:snapToGrid w:val="0"/>
        <w:spacing w:line="520" w:lineRule="exact"/>
        <w:jc w:val="right"/>
        <w:textAlignment w:val="baseline"/>
        <w:rPr>
          <w:rFonts w:ascii="宋体" w:hAnsi="宋体" w:cs="宋体"/>
          <w:color w:val="000000"/>
          <w:kern w:val="2"/>
          <w:sz w:val="24"/>
          <w:szCs w:val="24"/>
        </w:rPr>
      </w:pPr>
      <w:r>
        <w:rPr>
          <w:rFonts w:hint="eastAsia" w:ascii="宋体" w:hAnsi="宋体" w:cs="宋体"/>
          <w:color w:val="000000"/>
          <w:kern w:val="2"/>
          <w:sz w:val="24"/>
          <w:szCs w:val="24"/>
        </w:rPr>
        <w:t>竞争性磋商响应单位：（加盖公章）</w:t>
      </w:r>
    </w:p>
    <w:p w14:paraId="082483B0">
      <w:pPr>
        <w:snapToGrid w:val="0"/>
        <w:spacing w:line="420" w:lineRule="exact"/>
        <w:ind w:firstLine="484" w:firstLineChars="202"/>
        <w:jc w:val="center"/>
        <w:textAlignment w:val="baseline"/>
        <w:rPr>
          <w:rFonts w:ascii="Times New Roman" w:hAnsi="Times New Roman"/>
          <w:kern w:val="2"/>
          <w:sz w:val="20"/>
          <w:szCs w:val="21"/>
        </w:rPr>
      </w:pPr>
      <w:r>
        <w:rPr>
          <w:rFonts w:hint="eastAsia" w:ascii="宋体" w:hAnsi="宋体" w:cs="宋体"/>
          <w:color w:val="000000"/>
          <w:kern w:val="2"/>
          <w:sz w:val="24"/>
          <w:szCs w:val="24"/>
        </w:rPr>
        <w:t xml:space="preserve">                           日期：  年  月  日</w:t>
      </w:r>
    </w:p>
    <w:p w14:paraId="79227F52">
      <w:pPr>
        <w:snapToGrid w:val="0"/>
        <w:spacing w:line="420" w:lineRule="exact"/>
        <w:ind w:firstLine="404" w:firstLineChars="202"/>
        <w:jc w:val="left"/>
        <w:textAlignment w:val="baseline"/>
        <w:rPr>
          <w:rFonts w:ascii="Times New Roman" w:hAnsi="Times New Roman"/>
          <w:kern w:val="2"/>
          <w:sz w:val="20"/>
          <w:szCs w:val="21"/>
        </w:rPr>
      </w:pPr>
    </w:p>
    <w:tbl>
      <w:tblPr>
        <w:tblStyle w:val="56"/>
        <w:tblW w:w="0" w:type="auto"/>
        <w:tblInd w:w="1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6"/>
      </w:tblGrid>
      <w:tr w14:paraId="10085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236" w:type="dxa"/>
          </w:tcPr>
          <w:p w14:paraId="32E16D84">
            <w:pPr>
              <w:snapToGrid w:val="0"/>
              <w:spacing w:line="420" w:lineRule="exact"/>
              <w:ind w:firstLine="404" w:firstLineChars="202"/>
              <w:jc w:val="left"/>
              <w:textAlignment w:val="baseline"/>
              <w:rPr>
                <w:rFonts w:ascii="Times New Roman" w:hAnsi="Times New Roman"/>
                <w:kern w:val="2"/>
                <w:sz w:val="20"/>
              </w:rPr>
            </w:pPr>
          </w:p>
          <w:p w14:paraId="3D032354">
            <w:pPr>
              <w:snapToGrid w:val="0"/>
              <w:spacing w:line="420" w:lineRule="exact"/>
              <w:jc w:val="center"/>
              <w:textAlignment w:val="baseline"/>
              <w:rPr>
                <w:rFonts w:ascii="Times New Roman" w:hAnsi="Times New Roman"/>
                <w:b/>
                <w:bCs/>
                <w:kern w:val="2"/>
                <w:sz w:val="20"/>
              </w:rPr>
            </w:pPr>
            <w:r>
              <w:rPr>
                <w:rFonts w:hint="eastAsia" w:ascii="Times New Roman" w:hAnsi="Times New Roman" w:cs="宋体"/>
                <w:b/>
                <w:bCs/>
                <w:kern w:val="2"/>
              </w:rPr>
              <w:t>被授权人身份证</w:t>
            </w:r>
            <w:r>
              <w:rPr>
                <w:rFonts w:hint="eastAsia" w:ascii="Times New Roman" w:hAnsi="Times New Roman" w:cs="宋体"/>
                <w:b/>
                <w:kern w:val="2"/>
              </w:rPr>
              <w:t>（正、反面）</w:t>
            </w:r>
            <w:r>
              <w:rPr>
                <w:rFonts w:hint="eastAsia" w:ascii="Times New Roman" w:hAnsi="Times New Roman" w:cs="宋体"/>
                <w:b/>
                <w:bCs/>
                <w:kern w:val="2"/>
              </w:rPr>
              <w:t>复印件或扫描件</w:t>
            </w:r>
          </w:p>
          <w:p w14:paraId="733CC12F">
            <w:pPr>
              <w:snapToGrid w:val="0"/>
              <w:spacing w:line="420" w:lineRule="exact"/>
              <w:jc w:val="center"/>
              <w:textAlignment w:val="baseline"/>
              <w:rPr>
                <w:rFonts w:ascii="Times New Roman" w:hAnsi="Times New Roman"/>
                <w:b/>
                <w:bCs/>
                <w:kern w:val="2"/>
                <w:sz w:val="20"/>
              </w:rPr>
            </w:pPr>
          </w:p>
          <w:p w14:paraId="4D38ED53">
            <w:pPr>
              <w:snapToGrid w:val="0"/>
              <w:spacing w:line="420" w:lineRule="exact"/>
              <w:jc w:val="center"/>
              <w:textAlignment w:val="baseline"/>
              <w:rPr>
                <w:rFonts w:ascii="Times New Roman" w:hAnsi="Times New Roman"/>
                <w:b/>
                <w:bCs/>
                <w:kern w:val="2"/>
                <w:sz w:val="20"/>
              </w:rPr>
            </w:pPr>
          </w:p>
          <w:p w14:paraId="31ECDD0D">
            <w:pPr>
              <w:snapToGrid w:val="0"/>
              <w:spacing w:line="420" w:lineRule="exact"/>
              <w:jc w:val="center"/>
              <w:textAlignment w:val="baseline"/>
              <w:rPr>
                <w:rFonts w:ascii="Times New Roman" w:hAnsi="Times New Roman"/>
                <w:kern w:val="2"/>
                <w:sz w:val="20"/>
              </w:rPr>
            </w:pPr>
          </w:p>
          <w:p w14:paraId="0955A138">
            <w:pPr>
              <w:snapToGrid w:val="0"/>
              <w:spacing w:line="420" w:lineRule="exact"/>
              <w:jc w:val="center"/>
              <w:textAlignment w:val="baseline"/>
              <w:rPr>
                <w:rFonts w:ascii="Times New Roman" w:hAnsi="Times New Roman"/>
                <w:kern w:val="2"/>
                <w:sz w:val="20"/>
              </w:rPr>
            </w:pPr>
          </w:p>
        </w:tc>
      </w:tr>
    </w:tbl>
    <w:p w14:paraId="2D5C7CCC">
      <w:pPr>
        <w:snapToGrid w:val="0"/>
        <w:spacing w:line="420" w:lineRule="exact"/>
        <w:jc w:val="center"/>
        <w:textAlignment w:val="baseline"/>
        <w:rPr>
          <w:rFonts w:ascii="Times New Roman" w:hAnsi="Times New Roman"/>
          <w:kern w:val="2"/>
          <w:sz w:val="20"/>
          <w:szCs w:val="21"/>
        </w:rPr>
      </w:pPr>
    </w:p>
    <w:p w14:paraId="5F5B7BA8">
      <w:pPr>
        <w:snapToGrid w:val="0"/>
        <w:spacing w:line="420" w:lineRule="exact"/>
        <w:jc w:val="center"/>
        <w:textAlignment w:val="baseline"/>
        <w:rPr>
          <w:rFonts w:ascii="Times New Roman" w:hAnsi="Times New Roman"/>
          <w:kern w:val="2"/>
          <w:sz w:val="20"/>
          <w:szCs w:val="21"/>
        </w:rPr>
      </w:pPr>
    </w:p>
    <w:p w14:paraId="188C68A4">
      <w:pPr>
        <w:snapToGrid w:val="0"/>
        <w:spacing w:line="400" w:lineRule="exact"/>
        <w:ind w:firstLine="540" w:firstLineChars="192"/>
        <w:contextualSpacing/>
        <w:rPr>
          <w:rFonts w:ascii="宋体" w:hAnsi="宋体" w:cs="宋体"/>
          <w:b/>
          <w:sz w:val="28"/>
          <w:szCs w:val="28"/>
        </w:rPr>
      </w:pPr>
    </w:p>
    <w:p w14:paraId="32CB75E1">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color w:val="auto"/>
          <w:sz w:val="28"/>
          <w:szCs w:val="22"/>
          <w:highlight w:val="none"/>
        </w:rPr>
      </w:pPr>
      <w:r>
        <w:rPr>
          <w:rFonts w:ascii="宋体" w:hAnsi="宋体"/>
          <w:sz w:val="32"/>
          <w:szCs w:val="32"/>
        </w:rPr>
        <w:br w:type="page"/>
      </w:r>
      <w:r>
        <w:rPr>
          <w:rFonts w:hint="eastAsia" w:ascii="宋体" w:hAnsi="宋体" w:cs="宋体"/>
          <w:b/>
          <w:sz w:val="32"/>
          <w:szCs w:val="32"/>
          <w:highlight w:val="none"/>
          <w:lang w:eastAsia="zh-CN" w:bidi="ar"/>
        </w:rPr>
        <w:t>投</w:t>
      </w:r>
      <w:r>
        <w:rPr>
          <w:rFonts w:hint="eastAsia" w:ascii="宋体" w:hAnsi="宋体" w:eastAsia="宋体" w:cs="宋体"/>
          <w:b/>
          <w:sz w:val="32"/>
          <w:szCs w:val="32"/>
          <w:highlight w:val="none"/>
          <w:lang w:eastAsia="zh-CN" w:bidi="ar"/>
        </w:rPr>
        <w:t>标人</w:t>
      </w:r>
      <w:r>
        <w:rPr>
          <w:rFonts w:hint="eastAsia" w:ascii="宋体" w:hAnsi="宋体" w:eastAsia="宋体" w:cs="宋体"/>
          <w:b/>
          <w:sz w:val="32"/>
          <w:szCs w:val="32"/>
          <w:highlight w:val="none"/>
          <w:lang w:val="en-US" w:eastAsia="zh-CN" w:bidi="ar"/>
        </w:rPr>
        <w:t>诚信</w:t>
      </w:r>
      <w:r>
        <w:rPr>
          <w:rFonts w:hint="eastAsia" w:ascii="宋体" w:hAnsi="宋体" w:eastAsia="宋体" w:cs="宋体"/>
          <w:b/>
          <w:sz w:val="32"/>
          <w:szCs w:val="32"/>
          <w:highlight w:val="none"/>
          <w:lang w:eastAsia="zh-CN" w:bidi="ar"/>
        </w:rPr>
        <w:t>承诺书</w:t>
      </w:r>
    </w:p>
    <w:p w14:paraId="120F6302">
      <w:pPr>
        <w:overflowPunct w:val="0"/>
        <w:adjustRightInd w:val="0"/>
        <w:spacing w:line="360" w:lineRule="auto"/>
        <w:ind w:firstLine="420"/>
        <w:jc w:val="center"/>
        <w:textAlignment w:val="baseline"/>
        <w:rPr>
          <w:rFonts w:hint="eastAsia" w:ascii="宋体" w:hAnsi="宋体" w:eastAsia="宋体" w:cs="宋体"/>
          <w:color w:val="auto"/>
          <w:sz w:val="24"/>
          <w:szCs w:val="21"/>
          <w:highlight w:val="none"/>
        </w:rPr>
      </w:pPr>
    </w:p>
    <w:p w14:paraId="40AB60AE">
      <w:pPr>
        <w:overflowPunct w:val="0"/>
        <w:adjustRightInd w:val="0"/>
        <w:spacing w:line="360" w:lineRule="auto"/>
        <w:jc w:val="left"/>
        <w:textAlignment w:val="baseline"/>
        <w:rPr>
          <w:rFonts w:hint="eastAsia" w:ascii="宋体" w:hAnsi="宋体" w:eastAsia="宋体" w:cs="宋体"/>
          <w:color w:val="auto"/>
          <w:sz w:val="24"/>
          <w:szCs w:val="21"/>
          <w:highlight w:val="none"/>
          <w:u w:val="single"/>
        </w:rPr>
      </w:pPr>
      <w:r>
        <w:rPr>
          <w:rFonts w:hint="eastAsia" w:ascii="宋体" w:hAnsi="宋体" w:cs="宋体"/>
          <w:kern w:val="2"/>
          <w:sz w:val="24"/>
          <w:szCs w:val="24"/>
          <w:u w:val="single"/>
          <w:lang w:eastAsia="zh-CN"/>
        </w:rPr>
        <w:t>南通公安大病特困救助基金会</w:t>
      </w:r>
      <w:r>
        <w:rPr>
          <w:rFonts w:hint="eastAsia" w:ascii="宋体" w:hAnsi="宋体" w:eastAsia="宋体" w:cs="宋体"/>
          <w:color w:val="auto"/>
          <w:sz w:val="24"/>
          <w:szCs w:val="21"/>
          <w:highlight w:val="none"/>
          <w:u w:val="single"/>
        </w:rPr>
        <w:t>：</w:t>
      </w:r>
    </w:p>
    <w:p w14:paraId="335801D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我单位在参加贵单位组织的</w:t>
      </w:r>
      <w:r>
        <w:rPr>
          <w:rFonts w:hint="eastAsia" w:ascii="宋体" w:hAnsi="宋体" w:eastAsia="宋体" w:cs="宋体"/>
          <w:color w:val="auto"/>
          <w:sz w:val="24"/>
          <w:szCs w:val="24"/>
          <w:highlight w:val="none"/>
          <w:u w:val="single"/>
        </w:rPr>
        <w:t xml:space="preserve">             项目</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活动中，郑重承诺如下：</w:t>
      </w:r>
    </w:p>
    <w:p w14:paraId="3FC1DB88">
      <w:pPr>
        <w:keepNext w:val="0"/>
        <w:keepLines w:val="0"/>
        <w:pageBreakBefore w:val="0"/>
        <w:widowControl w:val="0"/>
        <w:kinsoku/>
        <w:wordWrap/>
        <w:overflowPunct/>
        <w:topLinePunct w:val="0"/>
        <w:autoSpaceDE/>
        <w:autoSpaceDN/>
        <w:bidi w:val="0"/>
        <w:adjustRightInd/>
        <w:snapToGrid/>
        <w:spacing w:line="360" w:lineRule="auto"/>
        <w:ind w:firstLine="48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1、我方申报的所有资料都是真实、准确、完整的；</w:t>
      </w:r>
    </w:p>
    <w:p w14:paraId="7290968B">
      <w:pPr>
        <w:keepNext w:val="0"/>
        <w:keepLines w:val="0"/>
        <w:pageBreakBefore w:val="0"/>
        <w:widowControl w:val="0"/>
        <w:kinsoku/>
        <w:wordWrap/>
        <w:overflowPunct/>
        <w:topLinePunct w:val="0"/>
        <w:autoSpaceDE/>
        <w:autoSpaceDN/>
        <w:bidi w:val="0"/>
        <w:adjustRightInd/>
        <w:snapToGrid/>
        <w:spacing w:line="360" w:lineRule="auto"/>
        <w:ind w:firstLine="48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2、我方无资质挂靠或参与串标、围标、及抬标情形；</w:t>
      </w:r>
    </w:p>
    <w:p w14:paraId="58D648D6">
      <w:pPr>
        <w:keepNext w:val="0"/>
        <w:keepLines w:val="0"/>
        <w:pageBreakBefore w:val="0"/>
        <w:widowControl w:val="0"/>
        <w:kinsoku/>
        <w:wordWrap/>
        <w:overflowPunct/>
        <w:topLinePunct w:val="0"/>
        <w:autoSpaceDE/>
        <w:autoSpaceDN/>
        <w:bidi w:val="0"/>
        <w:adjustRightInd/>
        <w:snapToGrid/>
        <w:spacing w:line="360" w:lineRule="auto"/>
        <w:ind w:firstLine="48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3、我方没有被各级行政主管部门做出停止市场行为的处罚；</w:t>
      </w:r>
    </w:p>
    <w:p w14:paraId="3B2EA898">
      <w:pPr>
        <w:keepNext w:val="0"/>
        <w:keepLines w:val="0"/>
        <w:pageBreakBefore w:val="0"/>
        <w:widowControl w:val="0"/>
        <w:kinsoku/>
        <w:wordWrap/>
        <w:overflowPunct/>
        <w:topLinePunct w:val="0"/>
        <w:autoSpaceDE/>
        <w:autoSpaceDN/>
        <w:bidi w:val="0"/>
        <w:adjustRightInd/>
        <w:snapToGrid/>
        <w:spacing w:line="360" w:lineRule="auto"/>
        <w:ind w:firstLine="48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4、若我方</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，将严格按照规定及时与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签订合同；</w:t>
      </w:r>
    </w:p>
    <w:p w14:paraId="2E7BC757">
      <w:pPr>
        <w:keepNext w:val="0"/>
        <w:keepLines w:val="0"/>
        <w:pageBreakBefore w:val="0"/>
        <w:widowControl w:val="0"/>
        <w:kinsoku/>
        <w:wordWrap/>
        <w:overflowPunct/>
        <w:topLinePunct w:val="0"/>
        <w:autoSpaceDE/>
        <w:autoSpaceDN/>
        <w:bidi w:val="0"/>
        <w:adjustRightInd/>
        <w:snapToGrid/>
        <w:spacing w:line="360" w:lineRule="auto"/>
        <w:ind w:firstLine="48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5、若我方</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，将严格按照</w:t>
      </w:r>
      <w:r>
        <w:rPr>
          <w:rFonts w:hint="eastAsia" w:ascii="宋体" w:hAnsi="宋体" w:eastAsia="宋体" w:cs="宋体"/>
          <w:color w:val="auto"/>
          <w:sz w:val="24"/>
          <w:szCs w:val="24"/>
          <w:highlight w:val="none"/>
          <w:lang w:val="en-US" w:eastAsia="zh-CN"/>
        </w:rPr>
        <w:t>招标文件要求及投标</w:t>
      </w:r>
      <w:r>
        <w:rPr>
          <w:rFonts w:hint="eastAsia" w:ascii="宋体" w:hAnsi="宋体" w:eastAsia="宋体" w:cs="宋体"/>
          <w:color w:val="auto"/>
          <w:sz w:val="24"/>
          <w:szCs w:val="24"/>
          <w:highlight w:val="none"/>
        </w:rPr>
        <w:t>文件所承诺的报价、质量、</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期等内容组织实施；</w:t>
      </w:r>
    </w:p>
    <w:p w14:paraId="7A5F2319">
      <w:pPr>
        <w:overflowPunct w:val="0"/>
        <w:adjustRightInd w:val="0"/>
        <w:spacing w:line="360" w:lineRule="auto"/>
        <w:ind w:firstLine="420"/>
        <w:jc w:val="left"/>
        <w:textAlignment w:val="baseline"/>
        <w:rPr>
          <w:rFonts w:hint="eastAsia" w:ascii="宋体" w:hAnsi="宋体" w:eastAsia="宋体" w:cs="宋体"/>
          <w:color w:val="auto"/>
          <w:sz w:val="24"/>
          <w:szCs w:val="21"/>
          <w:highlight w:val="none"/>
        </w:rPr>
      </w:pPr>
      <w:r>
        <w:rPr>
          <w:rFonts w:hint="eastAsia" w:ascii="宋体" w:hAnsi="宋体" w:eastAsia="宋体" w:cs="宋体"/>
          <w:color w:val="auto"/>
          <w:sz w:val="24"/>
          <w:szCs w:val="24"/>
          <w:highlight w:val="none"/>
        </w:rPr>
        <w:t>若我方违反上述承诺，隐瞒、提供虚假资料或不按</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文件要求组织实施，被贵方发现或被他人举报查实，无条件接受</w:t>
      </w:r>
      <w:r>
        <w:rPr>
          <w:rFonts w:hint="eastAsia" w:ascii="宋体" w:hAnsi="宋体" w:eastAsia="宋体" w:cs="宋体"/>
          <w:color w:val="auto"/>
          <w:sz w:val="24"/>
          <w:szCs w:val="24"/>
          <w:highlight w:val="none"/>
          <w:lang w:val="en-US" w:eastAsia="zh-CN"/>
        </w:rPr>
        <w:t>贵方</w:t>
      </w:r>
      <w:r>
        <w:rPr>
          <w:rFonts w:hint="eastAsia" w:ascii="宋体" w:hAnsi="宋体" w:eastAsia="宋体" w:cs="宋体"/>
          <w:color w:val="auto"/>
          <w:sz w:val="24"/>
          <w:szCs w:val="24"/>
          <w:highlight w:val="none"/>
        </w:rPr>
        <w:t>做出的取消</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资格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资格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并不予退还</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保证金</w:t>
      </w:r>
      <w:r>
        <w:rPr>
          <w:rFonts w:hint="eastAsia" w:ascii="宋体" w:hAnsi="宋体" w:eastAsia="宋体" w:cs="宋体"/>
          <w:color w:val="auto"/>
          <w:sz w:val="24"/>
          <w:szCs w:val="24"/>
          <w:highlight w:val="none"/>
          <w:lang w:val="en-US" w:eastAsia="zh-CN"/>
        </w:rPr>
        <w:t>或履约保证金</w:t>
      </w:r>
      <w:r>
        <w:rPr>
          <w:rFonts w:hint="eastAsia" w:ascii="宋体" w:hAnsi="宋体" w:eastAsia="宋体" w:cs="宋体"/>
          <w:color w:val="auto"/>
          <w:sz w:val="24"/>
          <w:szCs w:val="24"/>
          <w:highlight w:val="none"/>
        </w:rPr>
        <w:t>、不良行为记录、限制一定期限内参加采购活动等处罚。对造成的损失，任何法律和经济责任完全由我方负责。</w:t>
      </w:r>
    </w:p>
    <w:p w14:paraId="38D5089F">
      <w:pPr>
        <w:overflowPunct w:val="0"/>
        <w:adjustRightInd w:val="0"/>
        <w:spacing w:line="360" w:lineRule="auto"/>
        <w:ind w:firstLine="420"/>
        <w:jc w:val="left"/>
        <w:textAlignment w:val="baseline"/>
        <w:rPr>
          <w:rFonts w:hint="eastAsia" w:ascii="宋体" w:hAnsi="宋体" w:eastAsia="宋体" w:cs="宋体"/>
          <w:color w:val="auto"/>
          <w:sz w:val="24"/>
          <w:szCs w:val="21"/>
          <w:highlight w:val="none"/>
        </w:rPr>
      </w:pPr>
    </w:p>
    <w:p w14:paraId="0980C21E">
      <w:pPr>
        <w:spacing w:line="48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1"/>
          <w:highlight w:val="none"/>
        </w:rPr>
        <w:t xml:space="preserve"> </w:t>
      </w:r>
      <w:r>
        <w:rPr>
          <w:rFonts w:hint="eastAsia" w:ascii="宋体" w:hAnsi="宋体" w:eastAsia="宋体" w:cs="宋体"/>
          <w:color w:val="auto"/>
          <w:sz w:val="24"/>
          <w:szCs w:val="21"/>
          <w:highlight w:val="none"/>
        </w:rPr>
        <w:tab/>
      </w:r>
      <w:r>
        <w:rPr>
          <w:rFonts w:hint="eastAsia" w:ascii="宋体" w:hAnsi="宋体" w:eastAsia="宋体" w:cs="宋体"/>
          <w:color w:val="auto"/>
          <w:sz w:val="24"/>
          <w:szCs w:val="21"/>
          <w:highlight w:val="none"/>
        </w:rPr>
        <w:tab/>
      </w:r>
      <w:r>
        <w:rPr>
          <w:rFonts w:hint="eastAsia" w:ascii="宋体" w:hAnsi="宋体" w:eastAsia="宋体" w:cs="宋体"/>
          <w:color w:val="auto"/>
          <w:sz w:val="24"/>
          <w:szCs w:val="21"/>
          <w:highlight w:val="none"/>
        </w:rPr>
        <w:tab/>
      </w:r>
      <w:r>
        <w:rPr>
          <w:rFonts w:hint="eastAsia" w:ascii="宋体" w:hAnsi="宋体" w:eastAsia="宋体" w:cs="宋体"/>
          <w:color w:val="auto"/>
          <w:sz w:val="24"/>
          <w:szCs w:val="21"/>
          <w:highlight w:val="none"/>
        </w:rPr>
        <w:tab/>
      </w:r>
      <w:r>
        <w:rPr>
          <w:rFonts w:hint="eastAsia" w:ascii="宋体" w:hAnsi="宋体" w:eastAsia="宋体" w:cs="宋体"/>
          <w:color w:val="auto"/>
          <w:sz w:val="24"/>
          <w:szCs w:val="21"/>
          <w:highlight w:val="none"/>
        </w:rPr>
        <w:t xml:space="preserve">             </w:t>
      </w:r>
      <w:r>
        <w:rPr>
          <w:rFonts w:hint="eastAsia" w:ascii="宋体" w:hAnsi="宋体" w:cs="宋体"/>
          <w:color w:val="000000"/>
          <w:kern w:val="2"/>
          <w:sz w:val="24"/>
          <w:szCs w:val="24"/>
        </w:rPr>
        <w:t>竞争性磋商响应单位：</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（加盖公章）</w:t>
      </w:r>
    </w:p>
    <w:p w14:paraId="4B4BBA67">
      <w:pPr>
        <w:spacing w:line="48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w:t>
      </w:r>
      <w:r>
        <w:rPr>
          <w:rFonts w:hint="eastAsia" w:ascii="Times New Roman" w:hAnsi="Times New Roman" w:cs="宋体"/>
          <w:kern w:val="2"/>
          <w:sz w:val="24"/>
          <w:szCs w:val="24"/>
          <w:highlight w:val="none"/>
          <w:lang w:val="en-US" w:eastAsia="zh-CN"/>
        </w:rPr>
        <w:t>企业负责人或</w:t>
      </w:r>
      <w:r>
        <w:rPr>
          <w:rFonts w:hint="eastAsia" w:ascii="宋体" w:hAnsi="宋体" w:eastAsia="宋体" w:cs="宋体"/>
          <w:color w:val="auto"/>
          <w:sz w:val="24"/>
          <w:szCs w:val="24"/>
          <w:highlight w:val="none"/>
        </w:rPr>
        <w:t>被授权人：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32C6BF7F">
      <w:pPr>
        <w:snapToGrid w:val="0"/>
        <w:spacing w:line="520" w:lineRule="exact"/>
        <w:jc w:val="center"/>
        <w:rPr>
          <w:rFonts w:ascii="宋体" w:hAnsi="宋体" w:cs="宋体"/>
          <w:color w:val="000000"/>
          <w:sz w:val="24"/>
          <w:szCs w:val="24"/>
          <w:highlight w:val="none"/>
        </w:rPr>
      </w:pPr>
      <w:r>
        <w:rPr>
          <w:rFonts w:hint="eastAsia" w:ascii="宋体" w:hAnsi="宋体" w:eastAsia="宋体" w:cs="宋体"/>
          <w:color w:val="auto"/>
          <w:sz w:val="24"/>
          <w:szCs w:val="24"/>
          <w:highlight w:val="none"/>
        </w:rPr>
        <w:t>年      月     日</w:t>
      </w:r>
    </w:p>
    <w:p w14:paraId="6B63082F">
      <w:pPr>
        <w:snapToGrid w:val="0"/>
        <w:spacing w:line="520" w:lineRule="exact"/>
        <w:jc w:val="center"/>
        <w:rPr>
          <w:rFonts w:ascii="宋体" w:hAnsi="Times New Roman"/>
          <w:kern w:val="2"/>
          <w:sz w:val="24"/>
          <w:szCs w:val="24"/>
        </w:rPr>
      </w:pPr>
    </w:p>
    <w:p w14:paraId="0718536C">
      <w:pPr>
        <w:snapToGrid w:val="0"/>
        <w:spacing w:line="520" w:lineRule="exact"/>
        <w:jc w:val="center"/>
        <w:outlineLvl w:val="3"/>
        <w:rPr>
          <w:rFonts w:ascii="宋体" w:hAnsi="Times New Roman"/>
          <w:b/>
          <w:bCs/>
          <w:kern w:val="2"/>
          <w:sz w:val="28"/>
          <w:szCs w:val="28"/>
        </w:rPr>
      </w:pPr>
    </w:p>
    <w:p w14:paraId="77EA0C44">
      <w:pPr>
        <w:tabs>
          <w:tab w:val="left" w:pos="5665"/>
          <w:tab w:val="right" w:pos="8360"/>
        </w:tabs>
        <w:snapToGrid w:val="0"/>
        <w:spacing w:line="360" w:lineRule="auto"/>
        <w:ind w:right="42"/>
        <w:jc w:val="center"/>
        <w:textAlignment w:val="baseline"/>
        <w:rPr>
          <w:rFonts w:ascii="宋体" w:hAnsi="宋体" w:cs="宋体"/>
          <w:kern w:val="2"/>
          <w:sz w:val="28"/>
          <w:szCs w:val="28"/>
        </w:rPr>
      </w:pPr>
      <w:r>
        <w:rPr>
          <w:rFonts w:ascii="宋体" w:hAnsi="宋体" w:cs="宋体"/>
          <w:b/>
          <w:bCs/>
          <w:kern w:val="2"/>
          <w:sz w:val="28"/>
          <w:szCs w:val="28"/>
        </w:rPr>
        <w:br w:type="page"/>
      </w:r>
    </w:p>
    <w:p w14:paraId="6309EBD0">
      <w:pPr>
        <w:snapToGrid w:val="0"/>
        <w:spacing w:line="300" w:lineRule="auto"/>
        <w:contextualSpacing/>
        <w:jc w:val="center"/>
        <w:rPr>
          <w:rFonts w:ascii="宋体" w:hAnsi="宋体"/>
          <w:b/>
          <w:kern w:val="2"/>
          <w:sz w:val="32"/>
          <w:szCs w:val="32"/>
        </w:rPr>
      </w:pPr>
      <w:r>
        <w:rPr>
          <w:rFonts w:hint="eastAsia" w:ascii="宋体" w:hAnsi="宋体"/>
          <w:b/>
          <w:kern w:val="2"/>
          <w:sz w:val="32"/>
          <w:szCs w:val="32"/>
        </w:rPr>
        <w:t>商务部分正负偏离表</w:t>
      </w:r>
    </w:p>
    <w:p w14:paraId="1FDD025D">
      <w:pPr>
        <w:ind w:firstLine="560" w:firstLineChars="200"/>
        <w:jc w:val="center"/>
        <w:rPr>
          <w:rFonts w:ascii="宋体" w:hAnsi="宋体"/>
          <w:kern w:val="2"/>
          <w:sz w:val="28"/>
          <w:szCs w:val="28"/>
        </w:rPr>
      </w:pPr>
      <w:r>
        <w:rPr>
          <w:rFonts w:hint="eastAsia" w:ascii="宋体" w:hAnsi="宋体"/>
          <w:kern w:val="2"/>
          <w:sz w:val="28"/>
          <w:szCs w:val="28"/>
        </w:rPr>
        <w:t>（由供应商据实填写，表格不够自行添加）</w:t>
      </w:r>
    </w:p>
    <w:tbl>
      <w:tblPr>
        <w:tblStyle w:val="56"/>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7"/>
        <w:gridCol w:w="2498"/>
        <w:gridCol w:w="2182"/>
        <w:gridCol w:w="2815"/>
        <w:gridCol w:w="1550"/>
      </w:tblGrid>
      <w:tr w14:paraId="5E1574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917" w:type="dxa"/>
            <w:tcBorders>
              <w:top w:val="single" w:color="auto" w:sz="12" w:space="0"/>
              <w:left w:val="single" w:color="auto" w:sz="12" w:space="0"/>
              <w:bottom w:val="single" w:color="auto" w:sz="6" w:space="0"/>
              <w:right w:val="single" w:color="auto" w:sz="6" w:space="0"/>
            </w:tcBorders>
            <w:vAlign w:val="center"/>
          </w:tcPr>
          <w:p w14:paraId="5D2B9C04">
            <w:pPr>
              <w:spacing w:line="340" w:lineRule="exact"/>
              <w:jc w:val="center"/>
              <w:rPr>
                <w:rFonts w:ascii="宋体" w:hAnsi="宋体"/>
                <w:kern w:val="2"/>
                <w:sz w:val="24"/>
                <w:szCs w:val="24"/>
              </w:rPr>
            </w:pPr>
            <w:r>
              <w:rPr>
                <w:rFonts w:hint="eastAsia" w:ascii="宋体" w:hAnsi="宋体"/>
                <w:kern w:val="2"/>
                <w:sz w:val="24"/>
                <w:szCs w:val="24"/>
              </w:rPr>
              <w:t>序号</w:t>
            </w:r>
          </w:p>
        </w:tc>
        <w:tc>
          <w:tcPr>
            <w:tcW w:w="2498" w:type="dxa"/>
            <w:tcBorders>
              <w:top w:val="single" w:color="auto" w:sz="12" w:space="0"/>
              <w:left w:val="single" w:color="auto" w:sz="6" w:space="0"/>
              <w:bottom w:val="single" w:color="auto" w:sz="6" w:space="0"/>
              <w:right w:val="single" w:color="auto" w:sz="6" w:space="0"/>
            </w:tcBorders>
            <w:vAlign w:val="center"/>
          </w:tcPr>
          <w:p w14:paraId="20B029B1">
            <w:pPr>
              <w:spacing w:line="340" w:lineRule="exact"/>
              <w:jc w:val="center"/>
              <w:rPr>
                <w:rFonts w:ascii="宋体" w:hAnsi="宋体"/>
                <w:kern w:val="2"/>
                <w:sz w:val="24"/>
                <w:szCs w:val="24"/>
              </w:rPr>
            </w:pPr>
            <w:r>
              <w:rPr>
                <w:rFonts w:hint="eastAsia" w:ascii="宋体" w:hAnsi="宋体"/>
                <w:kern w:val="2"/>
                <w:sz w:val="24"/>
                <w:szCs w:val="24"/>
              </w:rPr>
              <w:t>货物或服务名称</w:t>
            </w:r>
          </w:p>
        </w:tc>
        <w:tc>
          <w:tcPr>
            <w:tcW w:w="2182" w:type="dxa"/>
            <w:tcBorders>
              <w:top w:val="single" w:color="auto" w:sz="12" w:space="0"/>
              <w:left w:val="single" w:color="auto" w:sz="6" w:space="0"/>
              <w:bottom w:val="single" w:color="auto" w:sz="6" w:space="0"/>
              <w:right w:val="single" w:color="auto" w:sz="6" w:space="0"/>
            </w:tcBorders>
            <w:vAlign w:val="center"/>
          </w:tcPr>
          <w:p w14:paraId="70061789">
            <w:pPr>
              <w:spacing w:line="340" w:lineRule="exact"/>
              <w:jc w:val="center"/>
              <w:rPr>
                <w:rFonts w:ascii="宋体" w:hAnsi="宋体"/>
                <w:kern w:val="2"/>
                <w:sz w:val="24"/>
                <w:szCs w:val="24"/>
              </w:rPr>
            </w:pPr>
            <w:r>
              <w:rPr>
                <w:rFonts w:hint="eastAsia" w:ascii="宋体" w:hAnsi="宋体"/>
                <w:kern w:val="2"/>
                <w:sz w:val="24"/>
                <w:szCs w:val="24"/>
              </w:rPr>
              <w:t>磋商文件要求的商务条款</w:t>
            </w:r>
          </w:p>
        </w:tc>
        <w:tc>
          <w:tcPr>
            <w:tcW w:w="2815" w:type="dxa"/>
            <w:tcBorders>
              <w:top w:val="single" w:color="auto" w:sz="12" w:space="0"/>
              <w:left w:val="single" w:color="auto" w:sz="6" w:space="0"/>
              <w:bottom w:val="single" w:color="auto" w:sz="6" w:space="0"/>
              <w:right w:val="single" w:color="auto" w:sz="6" w:space="0"/>
            </w:tcBorders>
            <w:vAlign w:val="center"/>
          </w:tcPr>
          <w:p w14:paraId="6FAC09F1">
            <w:pPr>
              <w:spacing w:line="340" w:lineRule="exact"/>
              <w:jc w:val="center"/>
              <w:rPr>
                <w:rFonts w:ascii="宋体" w:hAnsi="宋体"/>
                <w:kern w:val="2"/>
                <w:sz w:val="24"/>
                <w:szCs w:val="24"/>
              </w:rPr>
            </w:pPr>
            <w:r>
              <w:rPr>
                <w:rFonts w:hint="eastAsia" w:ascii="宋体" w:hAnsi="宋体"/>
                <w:kern w:val="2"/>
                <w:sz w:val="24"/>
                <w:szCs w:val="24"/>
              </w:rPr>
              <w:t>响应文件响应情况</w:t>
            </w:r>
          </w:p>
        </w:tc>
        <w:tc>
          <w:tcPr>
            <w:tcW w:w="1550" w:type="dxa"/>
            <w:tcBorders>
              <w:top w:val="single" w:color="auto" w:sz="12" w:space="0"/>
              <w:left w:val="single" w:color="auto" w:sz="6" w:space="0"/>
              <w:bottom w:val="single" w:color="auto" w:sz="6" w:space="0"/>
              <w:right w:val="single" w:color="auto" w:sz="12" w:space="0"/>
            </w:tcBorders>
          </w:tcPr>
          <w:p w14:paraId="37DDB121">
            <w:pPr>
              <w:spacing w:line="340" w:lineRule="exact"/>
              <w:jc w:val="center"/>
              <w:rPr>
                <w:rFonts w:ascii="宋体" w:hAnsi="宋体"/>
                <w:kern w:val="2"/>
                <w:sz w:val="24"/>
                <w:szCs w:val="24"/>
              </w:rPr>
            </w:pPr>
          </w:p>
          <w:p w14:paraId="0A6EB5F8">
            <w:pPr>
              <w:spacing w:line="340" w:lineRule="exact"/>
              <w:jc w:val="center"/>
              <w:rPr>
                <w:rFonts w:ascii="宋体" w:hAnsi="宋体"/>
                <w:kern w:val="2"/>
                <w:sz w:val="24"/>
                <w:szCs w:val="24"/>
              </w:rPr>
            </w:pPr>
            <w:r>
              <w:rPr>
                <w:rFonts w:hint="eastAsia" w:ascii="宋体" w:hAnsi="宋体"/>
                <w:kern w:val="2"/>
                <w:sz w:val="24"/>
                <w:szCs w:val="24"/>
              </w:rPr>
              <w:t>偏离说明</w:t>
            </w:r>
          </w:p>
        </w:tc>
      </w:tr>
      <w:tr w14:paraId="6D3E19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917" w:type="dxa"/>
            <w:tcBorders>
              <w:top w:val="single" w:color="auto" w:sz="6" w:space="0"/>
              <w:left w:val="single" w:color="auto" w:sz="12" w:space="0"/>
              <w:bottom w:val="single" w:color="auto" w:sz="6" w:space="0"/>
              <w:right w:val="single" w:color="auto" w:sz="6" w:space="0"/>
            </w:tcBorders>
          </w:tcPr>
          <w:p w14:paraId="3FB4B23A">
            <w:pPr>
              <w:spacing w:line="340" w:lineRule="exact"/>
              <w:jc w:val="center"/>
              <w:rPr>
                <w:rFonts w:ascii="宋体" w:hAnsi="宋体"/>
                <w:kern w:val="2"/>
                <w:sz w:val="24"/>
                <w:szCs w:val="24"/>
              </w:rPr>
            </w:pPr>
            <w:r>
              <w:rPr>
                <w:rFonts w:hint="eastAsia" w:ascii="宋体" w:hAnsi="宋体"/>
                <w:kern w:val="2"/>
                <w:sz w:val="24"/>
                <w:szCs w:val="24"/>
              </w:rPr>
              <w:t>1</w:t>
            </w:r>
          </w:p>
        </w:tc>
        <w:tc>
          <w:tcPr>
            <w:tcW w:w="2498" w:type="dxa"/>
            <w:tcBorders>
              <w:top w:val="single" w:color="auto" w:sz="6" w:space="0"/>
              <w:left w:val="single" w:color="auto" w:sz="6" w:space="0"/>
              <w:bottom w:val="single" w:color="auto" w:sz="6" w:space="0"/>
              <w:right w:val="single" w:color="auto" w:sz="6" w:space="0"/>
            </w:tcBorders>
            <w:vAlign w:val="center"/>
          </w:tcPr>
          <w:p w14:paraId="357D1DED">
            <w:pPr>
              <w:spacing w:line="340" w:lineRule="exact"/>
              <w:jc w:val="left"/>
              <w:rPr>
                <w:rFonts w:ascii="宋体" w:hAnsi="宋体"/>
                <w:kern w:val="2"/>
                <w:sz w:val="24"/>
                <w:szCs w:val="24"/>
              </w:rPr>
            </w:pPr>
          </w:p>
        </w:tc>
        <w:tc>
          <w:tcPr>
            <w:tcW w:w="2182" w:type="dxa"/>
            <w:tcBorders>
              <w:top w:val="single" w:color="auto" w:sz="6" w:space="0"/>
              <w:left w:val="single" w:color="auto" w:sz="6" w:space="0"/>
              <w:bottom w:val="single" w:color="auto" w:sz="6" w:space="0"/>
              <w:right w:val="single" w:color="auto" w:sz="6" w:space="0"/>
            </w:tcBorders>
            <w:vAlign w:val="center"/>
          </w:tcPr>
          <w:p w14:paraId="75978F75">
            <w:pPr>
              <w:spacing w:line="340" w:lineRule="exact"/>
              <w:jc w:val="left"/>
              <w:rPr>
                <w:rFonts w:ascii="宋体" w:hAnsi="宋体"/>
                <w:kern w:val="2"/>
                <w:sz w:val="24"/>
                <w:szCs w:val="24"/>
              </w:rPr>
            </w:pPr>
          </w:p>
        </w:tc>
        <w:tc>
          <w:tcPr>
            <w:tcW w:w="2815" w:type="dxa"/>
            <w:tcBorders>
              <w:top w:val="single" w:color="auto" w:sz="6" w:space="0"/>
              <w:left w:val="single" w:color="auto" w:sz="6" w:space="0"/>
              <w:bottom w:val="single" w:color="auto" w:sz="6" w:space="0"/>
              <w:right w:val="single" w:color="auto" w:sz="6" w:space="0"/>
            </w:tcBorders>
            <w:vAlign w:val="center"/>
          </w:tcPr>
          <w:p w14:paraId="494A596F">
            <w:pPr>
              <w:spacing w:line="340" w:lineRule="exact"/>
              <w:jc w:val="left"/>
              <w:rPr>
                <w:rFonts w:ascii="宋体" w:hAnsi="宋体"/>
                <w:kern w:val="2"/>
                <w:sz w:val="24"/>
                <w:szCs w:val="24"/>
              </w:rPr>
            </w:pPr>
          </w:p>
        </w:tc>
        <w:tc>
          <w:tcPr>
            <w:tcW w:w="1550" w:type="dxa"/>
            <w:tcBorders>
              <w:top w:val="single" w:color="auto" w:sz="6" w:space="0"/>
              <w:left w:val="single" w:color="auto" w:sz="6" w:space="0"/>
              <w:bottom w:val="single" w:color="auto" w:sz="6" w:space="0"/>
              <w:right w:val="single" w:color="auto" w:sz="12" w:space="0"/>
            </w:tcBorders>
          </w:tcPr>
          <w:p w14:paraId="0A230F34">
            <w:pPr>
              <w:spacing w:line="340" w:lineRule="exact"/>
              <w:jc w:val="left"/>
              <w:rPr>
                <w:rFonts w:ascii="宋体" w:hAnsi="宋体"/>
                <w:kern w:val="2"/>
                <w:sz w:val="24"/>
                <w:szCs w:val="24"/>
              </w:rPr>
            </w:pPr>
          </w:p>
        </w:tc>
      </w:tr>
      <w:tr w14:paraId="34E0DA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917" w:type="dxa"/>
            <w:tcBorders>
              <w:top w:val="single" w:color="auto" w:sz="6" w:space="0"/>
              <w:left w:val="single" w:color="auto" w:sz="12" w:space="0"/>
              <w:bottom w:val="single" w:color="auto" w:sz="6" w:space="0"/>
              <w:right w:val="single" w:color="auto" w:sz="6" w:space="0"/>
            </w:tcBorders>
          </w:tcPr>
          <w:p w14:paraId="0DF3095C">
            <w:pPr>
              <w:spacing w:line="340" w:lineRule="exact"/>
              <w:jc w:val="center"/>
              <w:rPr>
                <w:rFonts w:ascii="宋体" w:hAnsi="宋体"/>
                <w:kern w:val="2"/>
                <w:sz w:val="24"/>
                <w:szCs w:val="24"/>
              </w:rPr>
            </w:pPr>
            <w:r>
              <w:rPr>
                <w:rFonts w:hint="eastAsia" w:ascii="宋体" w:hAnsi="宋体"/>
                <w:kern w:val="2"/>
                <w:sz w:val="24"/>
                <w:szCs w:val="24"/>
              </w:rPr>
              <w:t>2</w:t>
            </w:r>
          </w:p>
        </w:tc>
        <w:tc>
          <w:tcPr>
            <w:tcW w:w="2498" w:type="dxa"/>
            <w:tcBorders>
              <w:top w:val="single" w:color="auto" w:sz="6" w:space="0"/>
              <w:left w:val="single" w:color="auto" w:sz="6" w:space="0"/>
              <w:bottom w:val="single" w:color="auto" w:sz="6" w:space="0"/>
              <w:right w:val="single" w:color="auto" w:sz="6" w:space="0"/>
            </w:tcBorders>
            <w:vAlign w:val="center"/>
          </w:tcPr>
          <w:p w14:paraId="70477148">
            <w:pPr>
              <w:spacing w:line="340" w:lineRule="exact"/>
              <w:jc w:val="left"/>
              <w:rPr>
                <w:rFonts w:ascii="宋体" w:hAnsi="宋体"/>
                <w:kern w:val="2"/>
                <w:sz w:val="24"/>
                <w:szCs w:val="24"/>
              </w:rPr>
            </w:pPr>
          </w:p>
        </w:tc>
        <w:tc>
          <w:tcPr>
            <w:tcW w:w="2182" w:type="dxa"/>
            <w:tcBorders>
              <w:top w:val="single" w:color="auto" w:sz="6" w:space="0"/>
              <w:left w:val="single" w:color="auto" w:sz="6" w:space="0"/>
              <w:bottom w:val="single" w:color="auto" w:sz="6" w:space="0"/>
              <w:right w:val="single" w:color="auto" w:sz="6" w:space="0"/>
            </w:tcBorders>
            <w:vAlign w:val="center"/>
          </w:tcPr>
          <w:p w14:paraId="2A4C3A8F">
            <w:pPr>
              <w:spacing w:line="340" w:lineRule="exact"/>
              <w:jc w:val="left"/>
              <w:rPr>
                <w:rFonts w:ascii="宋体" w:hAnsi="宋体"/>
                <w:kern w:val="2"/>
                <w:sz w:val="24"/>
                <w:szCs w:val="24"/>
              </w:rPr>
            </w:pPr>
          </w:p>
        </w:tc>
        <w:tc>
          <w:tcPr>
            <w:tcW w:w="2815" w:type="dxa"/>
            <w:tcBorders>
              <w:top w:val="single" w:color="auto" w:sz="6" w:space="0"/>
              <w:left w:val="single" w:color="auto" w:sz="6" w:space="0"/>
              <w:bottom w:val="single" w:color="auto" w:sz="6" w:space="0"/>
              <w:right w:val="single" w:color="auto" w:sz="6" w:space="0"/>
            </w:tcBorders>
            <w:vAlign w:val="center"/>
          </w:tcPr>
          <w:p w14:paraId="7FFB01CD">
            <w:pPr>
              <w:spacing w:line="340" w:lineRule="exact"/>
              <w:jc w:val="left"/>
              <w:rPr>
                <w:rFonts w:ascii="宋体" w:hAnsi="宋体"/>
                <w:kern w:val="2"/>
                <w:sz w:val="24"/>
                <w:szCs w:val="24"/>
              </w:rPr>
            </w:pPr>
          </w:p>
        </w:tc>
        <w:tc>
          <w:tcPr>
            <w:tcW w:w="1550" w:type="dxa"/>
            <w:tcBorders>
              <w:top w:val="single" w:color="auto" w:sz="6" w:space="0"/>
              <w:left w:val="single" w:color="auto" w:sz="6" w:space="0"/>
              <w:bottom w:val="single" w:color="auto" w:sz="6" w:space="0"/>
              <w:right w:val="single" w:color="auto" w:sz="12" w:space="0"/>
            </w:tcBorders>
          </w:tcPr>
          <w:p w14:paraId="7275DB5C">
            <w:pPr>
              <w:spacing w:line="340" w:lineRule="exact"/>
              <w:jc w:val="left"/>
              <w:rPr>
                <w:rFonts w:ascii="宋体" w:hAnsi="宋体"/>
                <w:kern w:val="2"/>
                <w:sz w:val="24"/>
                <w:szCs w:val="24"/>
              </w:rPr>
            </w:pPr>
          </w:p>
        </w:tc>
      </w:tr>
      <w:tr w14:paraId="689973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17" w:type="dxa"/>
            <w:tcBorders>
              <w:top w:val="single" w:color="auto" w:sz="6" w:space="0"/>
              <w:left w:val="single" w:color="auto" w:sz="12" w:space="0"/>
              <w:bottom w:val="single" w:color="auto" w:sz="6" w:space="0"/>
              <w:right w:val="single" w:color="auto" w:sz="6" w:space="0"/>
            </w:tcBorders>
          </w:tcPr>
          <w:p w14:paraId="748B53BF">
            <w:pPr>
              <w:spacing w:line="340" w:lineRule="exact"/>
              <w:jc w:val="center"/>
              <w:rPr>
                <w:rFonts w:ascii="宋体" w:hAnsi="宋体"/>
                <w:kern w:val="2"/>
                <w:sz w:val="24"/>
                <w:szCs w:val="24"/>
              </w:rPr>
            </w:pPr>
            <w:r>
              <w:rPr>
                <w:rFonts w:hint="eastAsia" w:ascii="宋体" w:hAnsi="宋体"/>
                <w:kern w:val="2"/>
                <w:sz w:val="24"/>
                <w:szCs w:val="24"/>
              </w:rPr>
              <w:t>3</w:t>
            </w:r>
          </w:p>
        </w:tc>
        <w:tc>
          <w:tcPr>
            <w:tcW w:w="2498" w:type="dxa"/>
            <w:tcBorders>
              <w:top w:val="single" w:color="auto" w:sz="6" w:space="0"/>
              <w:left w:val="single" w:color="auto" w:sz="6" w:space="0"/>
              <w:bottom w:val="single" w:color="auto" w:sz="6" w:space="0"/>
              <w:right w:val="single" w:color="auto" w:sz="6" w:space="0"/>
            </w:tcBorders>
            <w:vAlign w:val="center"/>
          </w:tcPr>
          <w:p w14:paraId="40205CA5">
            <w:pPr>
              <w:spacing w:line="340" w:lineRule="exact"/>
              <w:jc w:val="left"/>
              <w:rPr>
                <w:rFonts w:ascii="宋体" w:hAnsi="宋体"/>
                <w:kern w:val="2"/>
                <w:sz w:val="24"/>
                <w:szCs w:val="24"/>
              </w:rPr>
            </w:pPr>
          </w:p>
        </w:tc>
        <w:tc>
          <w:tcPr>
            <w:tcW w:w="2182" w:type="dxa"/>
            <w:tcBorders>
              <w:top w:val="single" w:color="auto" w:sz="6" w:space="0"/>
              <w:left w:val="single" w:color="auto" w:sz="6" w:space="0"/>
              <w:bottom w:val="single" w:color="auto" w:sz="6" w:space="0"/>
              <w:right w:val="single" w:color="auto" w:sz="6" w:space="0"/>
            </w:tcBorders>
            <w:vAlign w:val="center"/>
          </w:tcPr>
          <w:p w14:paraId="22FBB302">
            <w:pPr>
              <w:spacing w:line="340" w:lineRule="exact"/>
              <w:jc w:val="left"/>
              <w:rPr>
                <w:rFonts w:ascii="宋体" w:hAnsi="宋体"/>
                <w:kern w:val="2"/>
                <w:sz w:val="24"/>
                <w:szCs w:val="24"/>
              </w:rPr>
            </w:pPr>
          </w:p>
        </w:tc>
        <w:tc>
          <w:tcPr>
            <w:tcW w:w="2815" w:type="dxa"/>
            <w:tcBorders>
              <w:top w:val="single" w:color="auto" w:sz="6" w:space="0"/>
              <w:left w:val="single" w:color="auto" w:sz="6" w:space="0"/>
              <w:bottom w:val="single" w:color="auto" w:sz="6" w:space="0"/>
              <w:right w:val="single" w:color="auto" w:sz="6" w:space="0"/>
            </w:tcBorders>
            <w:vAlign w:val="center"/>
          </w:tcPr>
          <w:p w14:paraId="5D29E404">
            <w:pPr>
              <w:spacing w:line="340" w:lineRule="exact"/>
              <w:jc w:val="left"/>
              <w:rPr>
                <w:rFonts w:ascii="宋体" w:hAnsi="宋体"/>
                <w:kern w:val="2"/>
                <w:sz w:val="24"/>
                <w:szCs w:val="24"/>
              </w:rPr>
            </w:pPr>
          </w:p>
        </w:tc>
        <w:tc>
          <w:tcPr>
            <w:tcW w:w="1550" w:type="dxa"/>
            <w:tcBorders>
              <w:top w:val="single" w:color="auto" w:sz="6" w:space="0"/>
              <w:left w:val="single" w:color="auto" w:sz="6" w:space="0"/>
              <w:bottom w:val="single" w:color="auto" w:sz="6" w:space="0"/>
              <w:right w:val="single" w:color="auto" w:sz="12" w:space="0"/>
            </w:tcBorders>
          </w:tcPr>
          <w:p w14:paraId="31C191BF">
            <w:pPr>
              <w:spacing w:line="340" w:lineRule="exact"/>
              <w:jc w:val="left"/>
              <w:rPr>
                <w:rFonts w:ascii="宋体" w:hAnsi="宋体"/>
                <w:kern w:val="2"/>
                <w:sz w:val="24"/>
                <w:szCs w:val="24"/>
              </w:rPr>
            </w:pPr>
          </w:p>
        </w:tc>
      </w:tr>
      <w:tr w14:paraId="20A6F6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917" w:type="dxa"/>
            <w:tcBorders>
              <w:top w:val="single" w:color="auto" w:sz="6" w:space="0"/>
              <w:left w:val="single" w:color="auto" w:sz="12" w:space="0"/>
              <w:bottom w:val="single" w:color="auto" w:sz="6" w:space="0"/>
              <w:right w:val="single" w:color="auto" w:sz="6" w:space="0"/>
            </w:tcBorders>
          </w:tcPr>
          <w:p w14:paraId="2ACB533D">
            <w:pPr>
              <w:spacing w:line="340" w:lineRule="exact"/>
              <w:jc w:val="center"/>
              <w:rPr>
                <w:rFonts w:ascii="宋体" w:hAnsi="宋体"/>
                <w:kern w:val="2"/>
                <w:sz w:val="24"/>
                <w:szCs w:val="24"/>
              </w:rPr>
            </w:pPr>
            <w:r>
              <w:rPr>
                <w:rFonts w:hint="eastAsia" w:ascii="宋体" w:hAnsi="宋体"/>
                <w:kern w:val="2"/>
                <w:sz w:val="24"/>
                <w:szCs w:val="24"/>
              </w:rPr>
              <w:t>4</w:t>
            </w:r>
          </w:p>
        </w:tc>
        <w:tc>
          <w:tcPr>
            <w:tcW w:w="2498" w:type="dxa"/>
            <w:tcBorders>
              <w:top w:val="single" w:color="auto" w:sz="6" w:space="0"/>
              <w:left w:val="single" w:color="auto" w:sz="6" w:space="0"/>
              <w:bottom w:val="single" w:color="auto" w:sz="6" w:space="0"/>
              <w:right w:val="single" w:color="auto" w:sz="6" w:space="0"/>
            </w:tcBorders>
            <w:vAlign w:val="center"/>
          </w:tcPr>
          <w:p w14:paraId="6965F8F3">
            <w:pPr>
              <w:spacing w:line="340" w:lineRule="exact"/>
              <w:jc w:val="left"/>
              <w:rPr>
                <w:rFonts w:ascii="宋体" w:hAnsi="宋体"/>
                <w:kern w:val="2"/>
                <w:sz w:val="24"/>
                <w:szCs w:val="24"/>
              </w:rPr>
            </w:pPr>
          </w:p>
        </w:tc>
        <w:tc>
          <w:tcPr>
            <w:tcW w:w="2182" w:type="dxa"/>
            <w:tcBorders>
              <w:top w:val="single" w:color="auto" w:sz="6" w:space="0"/>
              <w:left w:val="single" w:color="auto" w:sz="6" w:space="0"/>
              <w:bottom w:val="single" w:color="auto" w:sz="6" w:space="0"/>
              <w:right w:val="single" w:color="auto" w:sz="6" w:space="0"/>
            </w:tcBorders>
            <w:vAlign w:val="center"/>
          </w:tcPr>
          <w:p w14:paraId="7DBD1ECF">
            <w:pPr>
              <w:spacing w:line="340" w:lineRule="exact"/>
              <w:jc w:val="left"/>
              <w:rPr>
                <w:rFonts w:ascii="宋体" w:hAnsi="宋体"/>
                <w:kern w:val="2"/>
                <w:sz w:val="24"/>
                <w:szCs w:val="24"/>
              </w:rPr>
            </w:pPr>
          </w:p>
        </w:tc>
        <w:tc>
          <w:tcPr>
            <w:tcW w:w="2815" w:type="dxa"/>
            <w:tcBorders>
              <w:top w:val="single" w:color="auto" w:sz="6" w:space="0"/>
              <w:left w:val="single" w:color="auto" w:sz="6" w:space="0"/>
              <w:bottom w:val="single" w:color="auto" w:sz="6" w:space="0"/>
              <w:right w:val="single" w:color="auto" w:sz="6" w:space="0"/>
            </w:tcBorders>
            <w:vAlign w:val="center"/>
          </w:tcPr>
          <w:p w14:paraId="474FAC6E">
            <w:pPr>
              <w:spacing w:line="340" w:lineRule="exact"/>
              <w:jc w:val="left"/>
              <w:rPr>
                <w:rFonts w:ascii="宋体" w:hAnsi="宋体"/>
                <w:kern w:val="2"/>
                <w:sz w:val="24"/>
                <w:szCs w:val="24"/>
              </w:rPr>
            </w:pPr>
          </w:p>
        </w:tc>
        <w:tc>
          <w:tcPr>
            <w:tcW w:w="1550" w:type="dxa"/>
            <w:tcBorders>
              <w:top w:val="single" w:color="auto" w:sz="6" w:space="0"/>
              <w:left w:val="single" w:color="auto" w:sz="6" w:space="0"/>
              <w:bottom w:val="single" w:color="auto" w:sz="6" w:space="0"/>
              <w:right w:val="single" w:color="auto" w:sz="12" w:space="0"/>
            </w:tcBorders>
          </w:tcPr>
          <w:p w14:paraId="349F9D10">
            <w:pPr>
              <w:spacing w:line="340" w:lineRule="exact"/>
              <w:jc w:val="left"/>
              <w:rPr>
                <w:rFonts w:ascii="宋体" w:hAnsi="宋体"/>
                <w:kern w:val="2"/>
                <w:sz w:val="24"/>
                <w:szCs w:val="24"/>
              </w:rPr>
            </w:pPr>
          </w:p>
        </w:tc>
      </w:tr>
    </w:tbl>
    <w:p w14:paraId="4D8AA973">
      <w:pPr>
        <w:snapToGrid w:val="0"/>
        <w:spacing w:line="300" w:lineRule="auto"/>
        <w:contextualSpacing/>
        <w:rPr>
          <w:rFonts w:ascii="宋体" w:hAnsi="宋体"/>
          <w:b/>
          <w:kern w:val="2"/>
          <w:sz w:val="24"/>
          <w:szCs w:val="24"/>
        </w:rPr>
      </w:pPr>
      <w:r>
        <w:rPr>
          <w:rFonts w:hint="eastAsia" w:ascii="宋体" w:hAnsi="宋体"/>
          <w:b/>
          <w:kern w:val="2"/>
          <w:sz w:val="24"/>
          <w:szCs w:val="24"/>
        </w:rPr>
        <w:t>注：</w:t>
      </w:r>
    </w:p>
    <w:p w14:paraId="34B77BAD">
      <w:pPr>
        <w:snapToGrid w:val="0"/>
        <w:spacing w:line="300" w:lineRule="auto"/>
        <w:ind w:firstLine="480" w:firstLineChars="200"/>
        <w:contextualSpacing/>
        <w:rPr>
          <w:rFonts w:ascii="宋体" w:hAnsi="宋体"/>
          <w:kern w:val="2"/>
          <w:sz w:val="24"/>
          <w:szCs w:val="24"/>
        </w:rPr>
      </w:pPr>
      <w:r>
        <w:rPr>
          <w:rFonts w:hint="eastAsia" w:ascii="宋体" w:hAnsi="宋体"/>
          <w:kern w:val="2"/>
          <w:sz w:val="24"/>
          <w:szCs w:val="24"/>
        </w:rPr>
        <w:t>1.供应商提交的响应文件中与磋商文件第三部分“项目需求”中的商务部分的要求，如有偏离，应逐条填列在偏离表中。</w:t>
      </w:r>
    </w:p>
    <w:p w14:paraId="40068907">
      <w:pPr>
        <w:snapToGrid w:val="0"/>
        <w:spacing w:line="300" w:lineRule="auto"/>
        <w:ind w:firstLine="480" w:firstLineChars="200"/>
        <w:contextualSpacing/>
        <w:rPr>
          <w:rFonts w:ascii="宋体" w:hAnsi="宋体"/>
          <w:kern w:val="2"/>
          <w:sz w:val="24"/>
          <w:szCs w:val="24"/>
        </w:rPr>
      </w:pPr>
      <w:r>
        <w:rPr>
          <w:rFonts w:hint="eastAsia" w:ascii="宋体" w:hAnsi="宋体"/>
          <w:kern w:val="2"/>
          <w:sz w:val="24"/>
          <w:szCs w:val="24"/>
        </w:rPr>
        <w:t>2.“偏离说明”一栏选择“正偏离”、“无偏离”、“负偏离”进行填写。正偏离、无偏离的确认和负偏离的是否响应采购文件，由评委认定。</w:t>
      </w:r>
    </w:p>
    <w:p w14:paraId="21DA4742">
      <w:pPr>
        <w:snapToGrid w:val="0"/>
        <w:spacing w:line="300" w:lineRule="auto"/>
        <w:ind w:firstLine="480" w:firstLineChars="200"/>
        <w:contextualSpacing/>
        <w:rPr>
          <w:rFonts w:ascii="宋体" w:hAnsi="宋体"/>
          <w:kern w:val="2"/>
          <w:sz w:val="24"/>
          <w:szCs w:val="24"/>
        </w:rPr>
      </w:pPr>
      <w:r>
        <w:rPr>
          <w:rFonts w:hint="eastAsia" w:ascii="宋体" w:hAnsi="宋体"/>
          <w:kern w:val="2"/>
          <w:sz w:val="24"/>
          <w:szCs w:val="24"/>
        </w:rPr>
        <w:t>3.供应商如果虚假响应，将被暂停参加采购单位组织的任何采购活动。</w:t>
      </w:r>
    </w:p>
    <w:p w14:paraId="5202A667">
      <w:pPr>
        <w:snapToGrid w:val="0"/>
        <w:spacing w:line="300" w:lineRule="auto"/>
        <w:ind w:firstLine="480" w:firstLineChars="200"/>
        <w:contextualSpacing/>
        <w:rPr>
          <w:rFonts w:ascii="宋体" w:hAnsi="宋体"/>
          <w:bCs/>
          <w:kern w:val="2"/>
          <w:sz w:val="24"/>
          <w:szCs w:val="24"/>
        </w:rPr>
      </w:pPr>
      <w:r>
        <w:rPr>
          <w:rFonts w:hint="eastAsia" w:ascii="宋体" w:hAnsi="宋体"/>
          <w:bCs/>
          <w:kern w:val="2"/>
          <w:sz w:val="24"/>
          <w:szCs w:val="24"/>
        </w:rPr>
        <w:t>4.供应商若提供其他增值服务，可以在表中自行据实填写。</w:t>
      </w:r>
    </w:p>
    <w:p w14:paraId="0B0E7D9E">
      <w:pPr>
        <w:snapToGrid w:val="0"/>
        <w:spacing w:line="400" w:lineRule="exact"/>
        <w:ind w:firstLine="540" w:firstLineChars="192"/>
        <w:contextualSpacing/>
        <w:rPr>
          <w:rFonts w:ascii="宋体" w:hAnsi="宋体" w:cs="宋体"/>
          <w:b/>
          <w:sz w:val="28"/>
          <w:szCs w:val="28"/>
        </w:rPr>
      </w:pPr>
    </w:p>
    <w:p w14:paraId="3FF63EAF">
      <w:pPr>
        <w:snapToGrid w:val="0"/>
        <w:spacing w:line="400" w:lineRule="exact"/>
        <w:ind w:firstLine="540" w:firstLineChars="192"/>
        <w:contextualSpacing/>
        <w:rPr>
          <w:rFonts w:ascii="宋体" w:hAnsi="宋体" w:cs="宋体"/>
          <w:b/>
          <w:sz w:val="28"/>
          <w:szCs w:val="28"/>
        </w:rPr>
      </w:pPr>
    </w:p>
    <w:p w14:paraId="2D191CFB">
      <w:pPr>
        <w:snapToGrid w:val="0"/>
        <w:spacing w:line="400" w:lineRule="exact"/>
        <w:ind w:firstLine="540" w:firstLineChars="192"/>
        <w:contextualSpacing/>
        <w:rPr>
          <w:rFonts w:ascii="宋体" w:hAnsi="宋体" w:cs="宋体"/>
          <w:b/>
          <w:sz w:val="28"/>
          <w:szCs w:val="28"/>
        </w:rPr>
      </w:pPr>
    </w:p>
    <w:p w14:paraId="73732EBB">
      <w:pPr>
        <w:snapToGrid w:val="0"/>
        <w:spacing w:line="400" w:lineRule="exact"/>
        <w:ind w:firstLine="540" w:firstLineChars="192"/>
        <w:contextualSpacing/>
        <w:rPr>
          <w:rFonts w:ascii="宋体" w:hAnsi="宋体" w:cs="宋体"/>
          <w:b/>
          <w:sz w:val="28"/>
          <w:szCs w:val="28"/>
        </w:rPr>
      </w:pPr>
    </w:p>
    <w:p w14:paraId="7A24C8A3">
      <w:pPr>
        <w:snapToGrid w:val="0"/>
        <w:spacing w:line="400" w:lineRule="exact"/>
        <w:ind w:firstLine="540" w:firstLineChars="192"/>
        <w:contextualSpacing/>
        <w:rPr>
          <w:rFonts w:ascii="宋体" w:hAnsi="宋体" w:cs="宋体"/>
          <w:b/>
          <w:sz w:val="28"/>
          <w:szCs w:val="28"/>
          <w:highlight w:val="none"/>
        </w:rPr>
      </w:pPr>
    </w:p>
    <w:p w14:paraId="0FC3A203">
      <w:pPr>
        <w:snapToGrid w:val="0"/>
        <w:spacing w:line="520" w:lineRule="exact"/>
        <w:jc w:val="right"/>
        <w:rPr>
          <w:rFonts w:ascii="宋体" w:hAnsi="Times New Roman"/>
          <w:kern w:val="2"/>
          <w:sz w:val="24"/>
          <w:szCs w:val="24"/>
          <w:highlight w:val="none"/>
        </w:rPr>
      </w:pPr>
      <w:r>
        <w:rPr>
          <w:rFonts w:hint="eastAsia" w:ascii="宋体" w:hAnsi="宋体" w:cs="宋体"/>
          <w:kern w:val="2"/>
          <w:sz w:val="24"/>
          <w:szCs w:val="24"/>
          <w:highlight w:val="none"/>
        </w:rPr>
        <w:t>竞争性磋商响应单位：（加盖公章）</w:t>
      </w:r>
    </w:p>
    <w:p w14:paraId="293C99BB">
      <w:pPr>
        <w:snapToGrid w:val="0"/>
        <w:spacing w:line="520" w:lineRule="exact"/>
        <w:ind w:firstLine="2400" w:firstLineChars="1000"/>
        <w:jc w:val="right"/>
        <w:rPr>
          <w:rFonts w:ascii="宋体" w:hAnsi="Times New Roman"/>
          <w:kern w:val="2"/>
          <w:sz w:val="24"/>
          <w:szCs w:val="24"/>
          <w:highlight w:val="none"/>
        </w:rPr>
      </w:pPr>
      <w:r>
        <w:rPr>
          <w:rFonts w:hint="eastAsia" w:ascii="宋体" w:hAnsi="宋体" w:cs="宋体"/>
          <w:kern w:val="2"/>
          <w:sz w:val="24"/>
          <w:szCs w:val="24"/>
          <w:highlight w:val="none"/>
        </w:rPr>
        <w:t>法定代表人</w:t>
      </w:r>
      <w:r>
        <w:rPr>
          <w:rFonts w:hint="eastAsia" w:ascii="宋体" w:hAnsi="宋体" w:cs="宋体"/>
          <w:kern w:val="2"/>
          <w:sz w:val="24"/>
          <w:szCs w:val="24"/>
          <w:highlight w:val="none"/>
          <w:lang w:val="en-US" w:eastAsia="zh-CN"/>
        </w:rPr>
        <w:t>或</w:t>
      </w:r>
      <w:r>
        <w:rPr>
          <w:rFonts w:hint="eastAsia" w:ascii="Times New Roman" w:hAnsi="Times New Roman" w:cs="宋体"/>
          <w:kern w:val="2"/>
          <w:sz w:val="24"/>
          <w:szCs w:val="24"/>
          <w:highlight w:val="none"/>
          <w:lang w:val="en-US" w:eastAsia="zh-CN"/>
        </w:rPr>
        <w:t>企业负责人</w:t>
      </w:r>
      <w:r>
        <w:rPr>
          <w:rFonts w:hint="eastAsia" w:ascii="宋体" w:hAnsi="宋体" w:cs="宋体"/>
          <w:kern w:val="2"/>
          <w:sz w:val="24"/>
          <w:szCs w:val="24"/>
          <w:highlight w:val="none"/>
        </w:rPr>
        <w:t>：（签字或盖章）</w:t>
      </w:r>
    </w:p>
    <w:p w14:paraId="439E3E0A">
      <w:pPr>
        <w:snapToGrid w:val="0"/>
        <w:spacing w:line="520" w:lineRule="exact"/>
        <w:jc w:val="right"/>
        <w:rPr>
          <w:rFonts w:ascii="宋体" w:hAnsi="Times New Roman"/>
          <w:kern w:val="2"/>
          <w:sz w:val="24"/>
          <w:szCs w:val="24"/>
          <w:highlight w:val="none"/>
        </w:rPr>
      </w:pPr>
      <w:r>
        <w:rPr>
          <w:rFonts w:hint="eastAsia" w:ascii="宋体" w:hAnsi="宋体" w:cs="宋体"/>
          <w:color w:val="000000"/>
          <w:kern w:val="2"/>
          <w:sz w:val="24"/>
          <w:szCs w:val="24"/>
          <w:highlight w:val="none"/>
        </w:rPr>
        <w:t xml:space="preserve">    日期：  年  月  日</w:t>
      </w:r>
    </w:p>
    <w:p w14:paraId="5C3EFC82">
      <w:pPr>
        <w:snapToGrid w:val="0"/>
        <w:spacing w:line="400" w:lineRule="exact"/>
        <w:ind w:firstLine="540" w:firstLineChars="192"/>
        <w:contextualSpacing/>
        <w:rPr>
          <w:rFonts w:ascii="宋体" w:hAnsi="宋体" w:cs="宋体"/>
          <w:b/>
          <w:sz w:val="28"/>
          <w:szCs w:val="28"/>
        </w:rPr>
      </w:pPr>
    </w:p>
    <w:p w14:paraId="56642CAD">
      <w:pPr>
        <w:snapToGrid w:val="0"/>
        <w:spacing w:line="400" w:lineRule="exact"/>
        <w:ind w:firstLine="540" w:firstLineChars="192"/>
        <w:contextualSpacing/>
        <w:rPr>
          <w:rFonts w:ascii="宋体" w:hAnsi="宋体" w:cs="宋体"/>
          <w:b/>
          <w:sz w:val="28"/>
          <w:szCs w:val="28"/>
        </w:rPr>
      </w:pPr>
    </w:p>
    <w:p w14:paraId="759ADE62">
      <w:pPr>
        <w:snapToGrid w:val="0"/>
        <w:spacing w:line="400" w:lineRule="exact"/>
        <w:ind w:firstLine="540" w:firstLineChars="192"/>
        <w:contextualSpacing/>
        <w:rPr>
          <w:rFonts w:ascii="宋体" w:hAnsi="宋体" w:cs="宋体"/>
          <w:b/>
          <w:sz w:val="28"/>
          <w:szCs w:val="28"/>
        </w:rPr>
      </w:pPr>
    </w:p>
    <w:p w14:paraId="39E17255">
      <w:pPr>
        <w:snapToGrid w:val="0"/>
        <w:spacing w:line="400" w:lineRule="exact"/>
        <w:ind w:firstLine="540" w:firstLineChars="192"/>
        <w:contextualSpacing/>
        <w:rPr>
          <w:rFonts w:ascii="宋体" w:hAnsi="宋体" w:cs="宋体"/>
          <w:b/>
          <w:sz w:val="28"/>
          <w:szCs w:val="28"/>
        </w:rPr>
      </w:pPr>
    </w:p>
    <w:p w14:paraId="4DACB7DA">
      <w:pPr>
        <w:snapToGrid w:val="0"/>
        <w:spacing w:line="400" w:lineRule="exact"/>
        <w:ind w:firstLine="540" w:firstLineChars="192"/>
        <w:contextualSpacing/>
        <w:rPr>
          <w:rFonts w:ascii="宋体" w:hAnsi="宋体" w:cs="宋体"/>
          <w:b/>
          <w:sz w:val="28"/>
          <w:szCs w:val="28"/>
        </w:rPr>
      </w:pPr>
    </w:p>
    <w:p w14:paraId="3F8958FF">
      <w:pPr>
        <w:snapToGrid w:val="0"/>
        <w:spacing w:line="400" w:lineRule="exact"/>
        <w:ind w:firstLine="540" w:firstLineChars="192"/>
        <w:contextualSpacing/>
        <w:rPr>
          <w:rFonts w:ascii="宋体" w:hAnsi="宋体" w:cs="宋体"/>
          <w:b/>
          <w:sz w:val="28"/>
          <w:szCs w:val="28"/>
        </w:rPr>
      </w:pPr>
    </w:p>
    <w:p w14:paraId="4BB86476">
      <w:pPr>
        <w:snapToGrid w:val="0"/>
        <w:spacing w:line="400" w:lineRule="exact"/>
        <w:ind w:firstLine="540" w:firstLineChars="192"/>
        <w:contextualSpacing/>
        <w:rPr>
          <w:rFonts w:ascii="宋体" w:hAnsi="宋体" w:cs="宋体"/>
          <w:b/>
          <w:sz w:val="28"/>
          <w:szCs w:val="28"/>
        </w:rPr>
      </w:pPr>
    </w:p>
    <w:p w14:paraId="1131E4EE">
      <w:pPr>
        <w:snapToGrid w:val="0"/>
        <w:spacing w:line="400" w:lineRule="exact"/>
        <w:ind w:firstLine="540" w:firstLineChars="192"/>
        <w:contextualSpacing/>
        <w:rPr>
          <w:rFonts w:ascii="宋体" w:hAnsi="宋体" w:cs="宋体"/>
          <w:b/>
          <w:sz w:val="28"/>
          <w:szCs w:val="28"/>
        </w:rPr>
      </w:pPr>
    </w:p>
    <w:p w14:paraId="679A7F7B">
      <w:pPr>
        <w:snapToGrid w:val="0"/>
        <w:spacing w:line="400" w:lineRule="exact"/>
        <w:ind w:firstLine="540" w:firstLineChars="192"/>
        <w:contextualSpacing/>
        <w:rPr>
          <w:rFonts w:ascii="宋体" w:hAnsi="宋体" w:cs="宋体"/>
          <w:b/>
          <w:sz w:val="28"/>
          <w:szCs w:val="28"/>
        </w:rPr>
      </w:pPr>
    </w:p>
    <w:p w14:paraId="3C4DC8BA">
      <w:pPr>
        <w:snapToGrid w:val="0"/>
        <w:spacing w:line="300" w:lineRule="auto"/>
        <w:contextualSpacing/>
        <w:jc w:val="center"/>
        <w:rPr>
          <w:rFonts w:ascii="宋体" w:hAnsi="宋体"/>
          <w:b/>
          <w:kern w:val="2"/>
          <w:sz w:val="32"/>
          <w:szCs w:val="32"/>
        </w:rPr>
      </w:pPr>
      <w:r>
        <w:rPr>
          <w:rFonts w:hint="eastAsia" w:ascii="宋体" w:hAnsi="宋体"/>
          <w:b/>
          <w:kern w:val="2"/>
          <w:sz w:val="32"/>
          <w:szCs w:val="32"/>
        </w:rPr>
        <w:t>技术部分正负偏离表</w:t>
      </w:r>
    </w:p>
    <w:p w14:paraId="699B0272">
      <w:pPr>
        <w:ind w:firstLine="560" w:firstLineChars="200"/>
        <w:jc w:val="center"/>
        <w:rPr>
          <w:rFonts w:ascii="宋体" w:hAnsi="宋体"/>
          <w:kern w:val="2"/>
          <w:sz w:val="28"/>
          <w:szCs w:val="28"/>
        </w:rPr>
      </w:pPr>
      <w:r>
        <w:rPr>
          <w:rFonts w:hint="eastAsia" w:ascii="宋体" w:hAnsi="宋体"/>
          <w:kern w:val="2"/>
          <w:sz w:val="28"/>
          <w:szCs w:val="28"/>
        </w:rPr>
        <w:t>（由供应商据实填写，表格不够自行添加）</w:t>
      </w:r>
    </w:p>
    <w:tbl>
      <w:tblPr>
        <w:tblStyle w:val="56"/>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7"/>
        <w:gridCol w:w="2498"/>
        <w:gridCol w:w="2182"/>
        <w:gridCol w:w="2815"/>
        <w:gridCol w:w="1550"/>
      </w:tblGrid>
      <w:tr w14:paraId="273F86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94" w:hRule="atLeast"/>
        </w:trPr>
        <w:tc>
          <w:tcPr>
            <w:tcW w:w="917" w:type="dxa"/>
            <w:tcBorders>
              <w:top w:val="single" w:color="auto" w:sz="12" w:space="0"/>
              <w:left w:val="single" w:color="auto" w:sz="12" w:space="0"/>
              <w:bottom w:val="single" w:color="auto" w:sz="6" w:space="0"/>
              <w:right w:val="single" w:color="auto" w:sz="6" w:space="0"/>
            </w:tcBorders>
            <w:vAlign w:val="center"/>
          </w:tcPr>
          <w:p w14:paraId="381DFA38">
            <w:pPr>
              <w:spacing w:line="340" w:lineRule="exact"/>
              <w:jc w:val="center"/>
              <w:rPr>
                <w:rFonts w:ascii="宋体" w:hAnsi="宋体"/>
                <w:kern w:val="2"/>
                <w:sz w:val="24"/>
                <w:szCs w:val="24"/>
              </w:rPr>
            </w:pPr>
            <w:r>
              <w:rPr>
                <w:rFonts w:hint="eastAsia" w:ascii="宋体" w:hAnsi="宋体"/>
                <w:kern w:val="2"/>
                <w:sz w:val="24"/>
                <w:szCs w:val="24"/>
              </w:rPr>
              <w:t>序号</w:t>
            </w:r>
          </w:p>
        </w:tc>
        <w:tc>
          <w:tcPr>
            <w:tcW w:w="2498" w:type="dxa"/>
            <w:tcBorders>
              <w:top w:val="single" w:color="auto" w:sz="12" w:space="0"/>
              <w:left w:val="single" w:color="auto" w:sz="6" w:space="0"/>
              <w:bottom w:val="single" w:color="auto" w:sz="6" w:space="0"/>
              <w:right w:val="single" w:color="auto" w:sz="6" w:space="0"/>
            </w:tcBorders>
            <w:vAlign w:val="center"/>
          </w:tcPr>
          <w:p w14:paraId="35835D73">
            <w:pPr>
              <w:spacing w:line="340" w:lineRule="exact"/>
              <w:jc w:val="center"/>
              <w:rPr>
                <w:rFonts w:ascii="宋体" w:hAnsi="宋体"/>
                <w:kern w:val="2"/>
                <w:sz w:val="24"/>
                <w:szCs w:val="24"/>
              </w:rPr>
            </w:pPr>
            <w:r>
              <w:rPr>
                <w:rFonts w:hint="eastAsia" w:ascii="宋体" w:hAnsi="宋体"/>
                <w:kern w:val="2"/>
                <w:sz w:val="24"/>
                <w:szCs w:val="24"/>
              </w:rPr>
              <w:t>货物或服务名称</w:t>
            </w:r>
          </w:p>
        </w:tc>
        <w:tc>
          <w:tcPr>
            <w:tcW w:w="2182" w:type="dxa"/>
            <w:tcBorders>
              <w:top w:val="single" w:color="auto" w:sz="12" w:space="0"/>
              <w:left w:val="single" w:color="auto" w:sz="6" w:space="0"/>
              <w:bottom w:val="single" w:color="auto" w:sz="6" w:space="0"/>
              <w:right w:val="single" w:color="auto" w:sz="6" w:space="0"/>
            </w:tcBorders>
            <w:vAlign w:val="center"/>
          </w:tcPr>
          <w:p w14:paraId="58CC3590">
            <w:pPr>
              <w:spacing w:line="340" w:lineRule="exact"/>
              <w:jc w:val="center"/>
              <w:rPr>
                <w:rFonts w:ascii="宋体" w:hAnsi="宋体"/>
                <w:kern w:val="2"/>
                <w:sz w:val="24"/>
                <w:szCs w:val="24"/>
              </w:rPr>
            </w:pPr>
            <w:r>
              <w:rPr>
                <w:rFonts w:hint="eastAsia" w:ascii="宋体" w:hAnsi="宋体"/>
                <w:kern w:val="2"/>
                <w:sz w:val="24"/>
                <w:szCs w:val="24"/>
              </w:rPr>
              <w:t>磋商文件要求的技术要求</w:t>
            </w:r>
          </w:p>
        </w:tc>
        <w:tc>
          <w:tcPr>
            <w:tcW w:w="2815" w:type="dxa"/>
            <w:tcBorders>
              <w:top w:val="single" w:color="auto" w:sz="12" w:space="0"/>
              <w:left w:val="single" w:color="auto" w:sz="6" w:space="0"/>
              <w:bottom w:val="single" w:color="auto" w:sz="6" w:space="0"/>
              <w:right w:val="single" w:color="auto" w:sz="6" w:space="0"/>
            </w:tcBorders>
            <w:vAlign w:val="center"/>
          </w:tcPr>
          <w:p w14:paraId="27A4430A">
            <w:pPr>
              <w:spacing w:line="340" w:lineRule="exact"/>
              <w:jc w:val="center"/>
              <w:rPr>
                <w:rFonts w:ascii="宋体" w:hAnsi="宋体"/>
                <w:kern w:val="2"/>
                <w:sz w:val="24"/>
                <w:szCs w:val="24"/>
              </w:rPr>
            </w:pPr>
            <w:r>
              <w:rPr>
                <w:rFonts w:hint="eastAsia" w:ascii="宋体" w:hAnsi="宋体"/>
                <w:kern w:val="2"/>
                <w:sz w:val="24"/>
                <w:szCs w:val="24"/>
              </w:rPr>
              <w:t>响应文件响应情况</w:t>
            </w:r>
          </w:p>
        </w:tc>
        <w:tc>
          <w:tcPr>
            <w:tcW w:w="1550" w:type="dxa"/>
            <w:tcBorders>
              <w:top w:val="single" w:color="auto" w:sz="12" w:space="0"/>
              <w:left w:val="single" w:color="auto" w:sz="6" w:space="0"/>
              <w:bottom w:val="single" w:color="auto" w:sz="6" w:space="0"/>
              <w:right w:val="single" w:color="auto" w:sz="12" w:space="0"/>
            </w:tcBorders>
          </w:tcPr>
          <w:p w14:paraId="7433D606">
            <w:pPr>
              <w:spacing w:line="340" w:lineRule="exact"/>
              <w:jc w:val="center"/>
              <w:rPr>
                <w:rFonts w:ascii="宋体" w:hAnsi="宋体"/>
                <w:kern w:val="2"/>
                <w:sz w:val="24"/>
                <w:szCs w:val="24"/>
              </w:rPr>
            </w:pPr>
          </w:p>
          <w:p w14:paraId="7027D6AC">
            <w:pPr>
              <w:spacing w:line="340" w:lineRule="exact"/>
              <w:jc w:val="center"/>
              <w:rPr>
                <w:rFonts w:ascii="宋体" w:hAnsi="宋体"/>
                <w:kern w:val="2"/>
                <w:sz w:val="24"/>
                <w:szCs w:val="24"/>
              </w:rPr>
            </w:pPr>
            <w:r>
              <w:rPr>
                <w:rFonts w:hint="eastAsia" w:ascii="宋体" w:hAnsi="宋体"/>
                <w:kern w:val="2"/>
                <w:sz w:val="24"/>
                <w:szCs w:val="24"/>
              </w:rPr>
              <w:t>偏离说明</w:t>
            </w:r>
          </w:p>
        </w:tc>
      </w:tr>
      <w:tr w14:paraId="302F11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917" w:type="dxa"/>
            <w:tcBorders>
              <w:top w:val="single" w:color="auto" w:sz="6" w:space="0"/>
              <w:left w:val="single" w:color="auto" w:sz="12" w:space="0"/>
              <w:bottom w:val="single" w:color="auto" w:sz="6" w:space="0"/>
              <w:right w:val="single" w:color="auto" w:sz="6" w:space="0"/>
            </w:tcBorders>
          </w:tcPr>
          <w:p w14:paraId="1BB78FB3">
            <w:pPr>
              <w:spacing w:line="340" w:lineRule="exact"/>
              <w:jc w:val="center"/>
              <w:rPr>
                <w:rFonts w:ascii="宋体" w:hAnsi="宋体"/>
                <w:kern w:val="2"/>
                <w:sz w:val="24"/>
                <w:szCs w:val="24"/>
              </w:rPr>
            </w:pPr>
            <w:r>
              <w:rPr>
                <w:rFonts w:hint="eastAsia" w:ascii="宋体" w:hAnsi="宋体"/>
                <w:kern w:val="2"/>
                <w:sz w:val="24"/>
                <w:szCs w:val="24"/>
              </w:rPr>
              <w:t>1</w:t>
            </w:r>
          </w:p>
        </w:tc>
        <w:tc>
          <w:tcPr>
            <w:tcW w:w="2498" w:type="dxa"/>
            <w:tcBorders>
              <w:top w:val="single" w:color="auto" w:sz="6" w:space="0"/>
              <w:left w:val="single" w:color="auto" w:sz="6" w:space="0"/>
              <w:bottom w:val="single" w:color="auto" w:sz="6" w:space="0"/>
              <w:right w:val="single" w:color="auto" w:sz="6" w:space="0"/>
            </w:tcBorders>
            <w:vAlign w:val="center"/>
          </w:tcPr>
          <w:p w14:paraId="3C75D636">
            <w:pPr>
              <w:spacing w:line="340" w:lineRule="exact"/>
              <w:jc w:val="left"/>
              <w:rPr>
                <w:rFonts w:ascii="宋体" w:hAnsi="宋体"/>
                <w:kern w:val="2"/>
                <w:sz w:val="24"/>
                <w:szCs w:val="24"/>
              </w:rPr>
            </w:pPr>
          </w:p>
        </w:tc>
        <w:tc>
          <w:tcPr>
            <w:tcW w:w="2182" w:type="dxa"/>
            <w:tcBorders>
              <w:top w:val="single" w:color="auto" w:sz="6" w:space="0"/>
              <w:left w:val="single" w:color="auto" w:sz="6" w:space="0"/>
              <w:bottom w:val="single" w:color="auto" w:sz="6" w:space="0"/>
              <w:right w:val="single" w:color="auto" w:sz="6" w:space="0"/>
            </w:tcBorders>
            <w:vAlign w:val="center"/>
          </w:tcPr>
          <w:p w14:paraId="5F7FFEFA">
            <w:pPr>
              <w:spacing w:line="340" w:lineRule="exact"/>
              <w:jc w:val="left"/>
              <w:rPr>
                <w:rFonts w:ascii="宋体" w:hAnsi="宋体"/>
                <w:kern w:val="2"/>
                <w:sz w:val="24"/>
                <w:szCs w:val="24"/>
              </w:rPr>
            </w:pPr>
          </w:p>
        </w:tc>
        <w:tc>
          <w:tcPr>
            <w:tcW w:w="2815" w:type="dxa"/>
            <w:tcBorders>
              <w:top w:val="single" w:color="auto" w:sz="6" w:space="0"/>
              <w:left w:val="single" w:color="auto" w:sz="6" w:space="0"/>
              <w:bottom w:val="single" w:color="auto" w:sz="6" w:space="0"/>
              <w:right w:val="single" w:color="auto" w:sz="6" w:space="0"/>
            </w:tcBorders>
            <w:vAlign w:val="center"/>
          </w:tcPr>
          <w:p w14:paraId="7E623BB8">
            <w:pPr>
              <w:spacing w:line="340" w:lineRule="exact"/>
              <w:jc w:val="left"/>
              <w:rPr>
                <w:rFonts w:ascii="宋体" w:hAnsi="宋体"/>
                <w:kern w:val="2"/>
                <w:sz w:val="24"/>
                <w:szCs w:val="24"/>
              </w:rPr>
            </w:pPr>
          </w:p>
        </w:tc>
        <w:tc>
          <w:tcPr>
            <w:tcW w:w="1550" w:type="dxa"/>
            <w:tcBorders>
              <w:top w:val="single" w:color="auto" w:sz="6" w:space="0"/>
              <w:left w:val="single" w:color="auto" w:sz="6" w:space="0"/>
              <w:bottom w:val="single" w:color="auto" w:sz="6" w:space="0"/>
              <w:right w:val="single" w:color="auto" w:sz="12" w:space="0"/>
            </w:tcBorders>
          </w:tcPr>
          <w:p w14:paraId="4CA8E965">
            <w:pPr>
              <w:spacing w:line="340" w:lineRule="exact"/>
              <w:jc w:val="left"/>
              <w:rPr>
                <w:rFonts w:ascii="宋体" w:hAnsi="宋体"/>
                <w:kern w:val="2"/>
                <w:sz w:val="24"/>
                <w:szCs w:val="24"/>
              </w:rPr>
            </w:pPr>
          </w:p>
        </w:tc>
      </w:tr>
      <w:tr w14:paraId="764863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917" w:type="dxa"/>
            <w:tcBorders>
              <w:top w:val="single" w:color="auto" w:sz="6" w:space="0"/>
              <w:left w:val="single" w:color="auto" w:sz="12" w:space="0"/>
              <w:bottom w:val="single" w:color="auto" w:sz="6" w:space="0"/>
              <w:right w:val="single" w:color="auto" w:sz="6" w:space="0"/>
            </w:tcBorders>
          </w:tcPr>
          <w:p w14:paraId="4DBDA649">
            <w:pPr>
              <w:spacing w:line="340" w:lineRule="exact"/>
              <w:jc w:val="center"/>
              <w:rPr>
                <w:rFonts w:ascii="宋体" w:hAnsi="宋体"/>
                <w:kern w:val="2"/>
                <w:sz w:val="24"/>
                <w:szCs w:val="24"/>
              </w:rPr>
            </w:pPr>
            <w:r>
              <w:rPr>
                <w:rFonts w:hint="eastAsia" w:ascii="宋体" w:hAnsi="宋体"/>
                <w:kern w:val="2"/>
                <w:sz w:val="24"/>
                <w:szCs w:val="24"/>
              </w:rPr>
              <w:t>2</w:t>
            </w:r>
          </w:p>
        </w:tc>
        <w:tc>
          <w:tcPr>
            <w:tcW w:w="2498" w:type="dxa"/>
            <w:tcBorders>
              <w:top w:val="single" w:color="auto" w:sz="6" w:space="0"/>
              <w:left w:val="single" w:color="auto" w:sz="6" w:space="0"/>
              <w:bottom w:val="single" w:color="auto" w:sz="6" w:space="0"/>
              <w:right w:val="single" w:color="auto" w:sz="6" w:space="0"/>
            </w:tcBorders>
            <w:vAlign w:val="center"/>
          </w:tcPr>
          <w:p w14:paraId="7BDD46F3">
            <w:pPr>
              <w:spacing w:line="340" w:lineRule="exact"/>
              <w:jc w:val="left"/>
              <w:rPr>
                <w:rFonts w:ascii="宋体" w:hAnsi="宋体"/>
                <w:kern w:val="2"/>
                <w:sz w:val="24"/>
                <w:szCs w:val="24"/>
              </w:rPr>
            </w:pPr>
          </w:p>
        </w:tc>
        <w:tc>
          <w:tcPr>
            <w:tcW w:w="2182" w:type="dxa"/>
            <w:tcBorders>
              <w:top w:val="single" w:color="auto" w:sz="6" w:space="0"/>
              <w:left w:val="single" w:color="auto" w:sz="6" w:space="0"/>
              <w:bottom w:val="single" w:color="auto" w:sz="6" w:space="0"/>
              <w:right w:val="single" w:color="auto" w:sz="6" w:space="0"/>
            </w:tcBorders>
            <w:vAlign w:val="center"/>
          </w:tcPr>
          <w:p w14:paraId="027DF299">
            <w:pPr>
              <w:spacing w:line="340" w:lineRule="exact"/>
              <w:jc w:val="left"/>
              <w:rPr>
                <w:rFonts w:ascii="宋体" w:hAnsi="宋体"/>
                <w:kern w:val="2"/>
                <w:sz w:val="24"/>
                <w:szCs w:val="24"/>
              </w:rPr>
            </w:pPr>
          </w:p>
        </w:tc>
        <w:tc>
          <w:tcPr>
            <w:tcW w:w="2815" w:type="dxa"/>
            <w:tcBorders>
              <w:top w:val="single" w:color="auto" w:sz="6" w:space="0"/>
              <w:left w:val="single" w:color="auto" w:sz="6" w:space="0"/>
              <w:bottom w:val="single" w:color="auto" w:sz="6" w:space="0"/>
              <w:right w:val="single" w:color="auto" w:sz="6" w:space="0"/>
            </w:tcBorders>
            <w:vAlign w:val="center"/>
          </w:tcPr>
          <w:p w14:paraId="6454B929">
            <w:pPr>
              <w:spacing w:line="340" w:lineRule="exact"/>
              <w:jc w:val="left"/>
              <w:rPr>
                <w:rFonts w:ascii="宋体" w:hAnsi="宋体"/>
                <w:kern w:val="2"/>
                <w:sz w:val="24"/>
                <w:szCs w:val="24"/>
              </w:rPr>
            </w:pPr>
          </w:p>
        </w:tc>
        <w:tc>
          <w:tcPr>
            <w:tcW w:w="1550" w:type="dxa"/>
            <w:tcBorders>
              <w:top w:val="single" w:color="auto" w:sz="6" w:space="0"/>
              <w:left w:val="single" w:color="auto" w:sz="6" w:space="0"/>
              <w:bottom w:val="single" w:color="auto" w:sz="6" w:space="0"/>
              <w:right w:val="single" w:color="auto" w:sz="12" w:space="0"/>
            </w:tcBorders>
          </w:tcPr>
          <w:p w14:paraId="3EF9B7C2">
            <w:pPr>
              <w:spacing w:line="340" w:lineRule="exact"/>
              <w:jc w:val="left"/>
              <w:rPr>
                <w:rFonts w:ascii="宋体" w:hAnsi="宋体"/>
                <w:kern w:val="2"/>
                <w:sz w:val="24"/>
                <w:szCs w:val="24"/>
              </w:rPr>
            </w:pPr>
          </w:p>
        </w:tc>
      </w:tr>
      <w:tr w14:paraId="431C94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17" w:type="dxa"/>
            <w:tcBorders>
              <w:top w:val="single" w:color="auto" w:sz="6" w:space="0"/>
              <w:left w:val="single" w:color="auto" w:sz="12" w:space="0"/>
              <w:bottom w:val="single" w:color="auto" w:sz="6" w:space="0"/>
              <w:right w:val="single" w:color="auto" w:sz="6" w:space="0"/>
            </w:tcBorders>
          </w:tcPr>
          <w:p w14:paraId="6F3FD984">
            <w:pPr>
              <w:spacing w:line="340" w:lineRule="exact"/>
              <w:jc w:val="center"/>
              <w:rPr>
                <w:rFonts w:ascii="宋体" w:hAnsi="宋体"/>
                <w:kern w:val="2"/>
                <w:sz w:val="24"/>
                <w:szCs w:val="24"/>
              </w:rPr>
            </w:pPr>
            <w:r>
              <w:rPr>
                <w:rFonts w:hint="eastAsia" w:ascii="宋体" w:hAnsi="宋体"/>
                <w:kern w:val="2"/>
                <w:sz w:val="24"/>
                <w:szCs w:val="24"/>
              </w:rPr>
              <w:t>3</w:t>
            </w:r>
          </w:p>
        </w:tc>
        <w:tc>
          <w:tcPr>
            <w:tcW w:w="2498" w:type="dxa"/>
            <w:tcBorders>
              <w:top w:val="single" w:color="auto" w:sz="6" w:space="0"/>
              <w:left w:val="single" w:color="auto" w:sz="6" w:space="0"/>
              <w:bottom w:val="single" w:color="auto" w:sz="6" w:space="0"/>
              <w:right w:val="single" w:color="auto" w:sz="6" w:space="0"/>
            </w:tcBorders>
            <w:vAlign w:val="center"/>
          </w:tcPr>
          <w:p w14:paraId="090AFAAF">
            <w:pPr>
              <w:spacing w:line="340" w:lineRule="exact"/>
              <w:jc w:val="left"/>
              <w:rPr>
                <w:rFonts w:ascii="宋体" w:hAnsi="宋体"/>
                <w:kern w:val="2"/>
                <w:sz w:val="24"/>
                <w:szCs w:val="24"/>
              </w:rPr>
            </w:pPr>
          </w:p>
        </w:tc>
        <w:tc>
          <w:tcPr>
            <w:tcW w:w="2182" w:type="dxa"/>
            <w:tcBorders>
              <w:top w:val="single" w:color="auto" w:sz="6" w:space="0"/>
              <w:left w:val="single" w:color="auto" w:sz="6" w:space="0"/>
              <w:bottom w:val="single" w:color="auto" w:sz="6" w:space="0"/>
              <w:right w:val="single" w:color="auto" w:sz="6" w:space="0"/>
            </w:tcBorders>
            <w:vAlign w:val="center"/>
          </w:tcPr>
          <w:p w14:paraId="027B52DF">
            <w:pPr>
              <w:spacing w:line="340" w:lineRule="exact"/>
              <w:jc w:val="left"/>
              <w:rPr>
                <w:rFonts w:ascii="宋体" w:hAnsi="宋体"/>
                <w:kern w:val="2"/>
                <w:sz w:val="24"/>
                <w:szCs w:val="24"/>
              </w:rPr>
            </w:pPr>
          </w:p>
        </w:tc>
        <w:tc>
          <w:tcPr>
            <w:tcW w:w="2815" w:type="dxa"/>
            <w:tcBorders>
              <w:top w:val="single" w:color="auto" w:sz="6" w:space="0"/>
              <w:left w:val="single" w:color="auto" w:sz="6" w:space="0"/>
              <w:bottom w:val="single" w:color="auto" w:sz="6" w:space="0"/>
              <w:right w:val="single" w:color="auto" w:sz="6" w:space="0"/>
            </w:tcBorders>
            <w:vAlign w:val="center"/>
          </w:tcPr>
          <w:p w14:paraId="416DB163">
            <w:pPr>
              <w:spacing w:line="340" w:lineRule="exact"/>
              <w:jc w:val="left"/>
              <w:rPr>
                <w:rFonts w:ascii="宋体" w:hAnsi="宋体"/>
                <w:kern w:val="2"/>
                <w:sz w:val="24"/>
                <w:szCs w:val="24"/>
              </w:rPr>
            </w:pPr>
          </w:p>
        </w:tc>
        <w:tc>
          <w:tcPr>
            <w:tcW w:w="1550" w:type="dxa"/>
            <w:tcBorders>
              <w:top w:val="single" w:color="auto" w:sz="6" w:space="0"/>
              <w:left w:val="single" w:color="auto" w:sz="6" w:space="0"/>
              <w:bottom w:val="single" w:color="auto" w:sz="6" w:space="0"/>
              <w:right w:val="single" w:color="auto" w:sz="12" w:space="0"/>
            </w:tcBorders>
          </w:tcPr>
          <w:p w14:paraId="6A3407ED">
            <w:pPr>
              <w:spacing w:line="340" w:lineRule="exact"/>
              <w:jc w:val="left"/>
              <w:rPr>
                <w:rFonts w:ascii="宋体" w:hAnsi="宋体"/>
                <w:kern w:val="2"/>
                <w:sz w:val="24"/>
                <w:szCs w:val="24"/>
              </w:rPr>
            </w:pPr>
          </w:p>
        </w:tc>
      </w:tr>
      <w:tr w14:paraId="16B8FE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917" w:type="dxa"/>
            <w:tcBorders>
              <w:top w:val="single" w:color="auto" w:sz="6" w:space="0"/>
              <w:left w:val="single" w:color="auto" w:sz="12" w:space="0"/>
              <w:bottom w:val="single" w:color="auto" w:sz="6" w:space="0"/>
              <w:right w:val="single" w:color="auto" w:sz="6" w:space="0"/>
            </w:tcBorders>
          </w:tcPr>
          <w:p w14:paraId="29AF5864">
            <w:pPr>
              <w:spacing w:line="340" w:lineRule="exact"/>
              <w:jc w:val="center"/>
              <w:rPr>
                <w:rFonts w:ascii="宋体" w:hAnsi="宋体"/>
                <w:kern w:val="2"/>
                <w:sz w:val="24"/>
                <w:szCs w:val="24"/>
              </w:rPr>
            </w:pPr>
            <w:r>
              <w:rPr>
                <w:rFonts w:hint="eastAsia" w:ascii="宋体" w:hAnsi="宋体"/>
                <w:kern w:val="2"/>
                <w:sz w:val="24"/>
                <w:szCs w:val="24"/>
              </w:rPr>
              <w:t>4</w:t>
            </w:r>
          </w:p>
        </w:tc>
        <w:tc>
          <w:tcPr>
            <w:tcW w:w="2498" w:type="dxa"/>
            <w:tcBorders>
              <w:top w:val="single" w:color="auto" w:sz="6" w:space="0"/>
              <w:left w:val="single" w:color="auto" w:sz="6" w:space="0"/>
              <w:bottom w:val="single" w:color="auto" w:sz="6" w:space="0"/>
              <w:right w:val="single" w:color="auto" w:sz="6" w:space="0"/>
            </w:tcBorders>
            <w:vAlign w:val="center"/>
          </w:tcPr>
          <w:p w14:paraId="1FA8FCA6">
            <w:pPr>
              <w:spacing w:line="340" w:lineRule="exact"/>
              <w:jc w:val="left"/>
              <w:rPr>
                <w:rFonts w:ascii="宋体" w:hAnsi="宋体"/>
                <w:kern w:val="2"/>
                <w:sz w:val="24"/>
                <w:szCs w:val="24"/>
              </w:rPr>
            </w:pPr>
          </w:p>
        </w:tc>
        <w:tc>
          <w:tcPr>
            <w:tcW w:w="2182" w:type="dxa"/>
            <w:tcBorders>
              <w:top w:val="single" w:color="auto" w:sz="6" w:space="0"/>
              <w:left w:val="single" w:color="auto" w:sz="6" w:space="0"/>
              <w:bottom w:val="single" w:color="auto" w:sz="6" w:space="0"/>
              <w:right w:val="single" w:color="auto" w:sz="6" w:space="0"/>
            </w:tcBorders>
            <w:vAlign w:val="center"/>
          </w:tcPr>
          <w:p w14:paraId="04A5BC4F">
            <w:pPr>
              <w:spacing w:line="340" w:lineRule="exact"/>
              <w:jc w:val="left"/>
              <w:rPr>
                <w:rFonts w:ascii="宋体" w:hAnsi="宋体"/>
                <w:kern w:val="2"/>
                <w:sz w:val="24"/>
                <w:szCs w:val="24"/>
              </w:rPr>
            </w:pPr>
          </w:p>
        </w:tc>
        <w:tc>
          <w:tcPr>
            <w:tcW w:w="2815" w:type="dxa"/>
            <w:tcBorders>
              <w:top w:val="single" w:color="auto" w:sz="6" w:space="0"/>
              <w:left w:val="single" w:color="auto" w:sz="6" w:space="0"/>
              <w:bottom w:val="single" w:color="auto" w:sz="6" w:space="0"/>
              <w:right w:val="single" w:color="auto" w:sz="6" w:space="0"/>
            </w:tcBorders>
            <w:vAlign w:val="center"/>
          </w:tcPr>
          <w:p w14:paraId="4858D21E">
            <w:pPr>
              <w:spacing w:line="340" w:lineRule="exact"/>
              <w:jc w:val="left"/>
              <w:rPr>
                <w:rFonts w:ascii="宋体" w:hAnsi="宋体"/>
                <w:kern w:val="2"/>
                <w:sz w:val="24"/>
                <w:szCs w:val="24"/>
              </w:rPr>
            </w:pPr>
          </w:p>
        </w:tc>
        <w:tc>
          <w:tcPr>
            <w:tcW w:w="1550" w:type="dxa"/>
            <w:tcBorders>
              <w:top w:val="single" w:color="auto" w:sz="6" w:space="0"/>
              <w:left w:val="single" w:color="auto" w:sz="6" w:space="0"/>
              <w:bottom w:val="single" w:color="auto" w:sz="6" w:space="0"/>
              <w:right w:val="single" w:color="auto" w:sz="12" w:space="0"/>
            </w:tcBorders>
          </w:tcPr>
          <w:p w14:paraId="1C91F666">
            <w:pPr>
              <w:spacing w:line="340" w:lineRule="exact"/>
              <w:jc w:val="left"/>
              <w:rPr>
                <w:rFonts w:ascii="宋体" w:hAnsi="宋体"/>
                <w:kern w:val="2"/>
                <w:sz w:val="24"/>
                <w:szCs w:val="24"/>
              </w:rPr>
            </w:pPr>
          </w:p>
        </w:tc>
      </w:tr>
    </w:tbl>
    <w:p w14:paraId="236B3F0B">
      <w:pPr>
        <w:snapToGrid w:val="0"/>
        <w:spacing w:line="300" w:lineRule="auto"/>
        <w:contextualSpacing/>
        <w:rPr>
          <w:rFonts w:ascii="宋体" w:hAnsi="宋体"/>
          <w:b/>
          <w:kern w:val="2"/>
          <w:sz w:val="24"/>
          <w:szCs w:val="24"/>
        </w:rPr>
      </w:pPr>
      <w:r>
        <w:rPr>
          <w:rFonts w:hint="eastAsia" w:ascii="宋体" w:hAnsi="宋体"/>
          <w:b/>
          <w:kern w:val="2"/>
          <w:sz w:val="24"/>
          <w:szCs w:val="24"/>
        </w:rPr>
        <w:t>注：</w:t>
      </w:r>
    </w:p>
    <w:p w14:paraId="1142B9C0">
      <w:pPr>
        <w:snapToGrid w:val="0"/>
        <w:spacing w:line="300" w:lineRule="auto"/>
        <w:ind w:firstLine="480" w:firstLineChars="200"/>
        <w:contextualSpacing/>
        <w:rPr>
          <w:rFonts w:ascii="宋体" w:hAnsi="宋体"/>
          <w:kern w:val="2"/>
          <w:sz w:val="24"/>
          <w:szCs w:val="24"/>
        </w:rPr>
      </w:pPr>
      <w:r>
        <w:rPr>
          <w:rFonts w:hint="eastAsia" w:ascii="宋体" w:hAnsi="宋体"/>
          <w:kern w:val="2"/>
          <w:sz w:val="24"/>
          <w:szCs w:val="24"/>
        </w:rPr>
        <w:t>1.供应商提交的响应文件中与磋商文件第三部分“项目需求”中的技术部分的要求，如有偏离，应逐条填列在偏离表中。</w:t>
      </w:r>
    </w:p>
    <w:p w14:paraId="338C4A4D">
      <w:pPr>
        <w:snapToGrid w:val="0"/>
        <w:spacing w:line="300" w:lineRule="auto"/>
        <w:ind w:firstLine="480" w:firstLineChars="200"/>
        <w:contextualSpacing/>
        <w:rPr>
          <w:rFonts w:ascii="宋体" w:hAnsi="宋体"/>
          <w:kern w:val="2"/>
          <w:sz w:val="24"/>
          <w:szCs w:val="24"/>
        </w:rPr>
      </w:pPr>
      <w:r>
        <w:rPr>
          <w:rFonts w:hint="eastAsia" w:ascii="宋体" w:hAnsi="宋体"/>
          <w:kern w:val="2"/>
          <w:sz w:val="24"/>
          <w:szCs w:val="24"/>
        </w:rPr>
        <w:t>2.“偏离说明”一栏选择“正偏离”、“无偏离”、“负偏离”进行填写。正偏离、无偏离的确认和负偏离的是否响应采购文件，由评委认定。</w:t>
      </w:r>
    </w:p>
    <w:p w14:paraId="0D627F48">
      <w:pPr>
        <w:snapToGrid w:val="0"/>
        <w:spacing w:line="300" w:lineRule="auto"/>
        <w:ind w:firstLine="480" w:firstLineChars="200"/>
        <w:contextualSpacing/>
        <w:rPr>
          <w:rFonts w:ascii="宋体" w:hAnsi="宋体"/>
          <w:kern w:val="2"/>
          <w:sz w:val="24"/>
          <w:szCs w:val="24"/>
        </w:rPr>
      </w:pPr>
      <w:r>
        <w:rPr>
          <w:rFonts w:hint="eastAsia" w:ascii="宋体" w:hAnsi="宋体"/>
          <w:kern w:val="2"/>
          <w:sz w:val="24"/>
          <w:szCs w:val="24"/>
        </w:rPr>
        <w:t>3.供应商如果虚假响应，将被暂停参加采购单位组织的任何采购活动。</w:t>
      </w:r>
    </w:p>
    <w:p w14:paraId="33BB95FC">
      <w:pPr>
        <w:snapToGrid w:val="0"/>
        <w:spacing w:line="300" w:lineRule="auto"/>
        <w:ind w:firstLine="480" w:firstLineChars="200"/>
        <w:contextualSpacing/>
        <w:rPr>
          <w:rFonts w:ascii="宋体" w:hAnsi="宋体"/>
          <w:bCs/>
          <w:kern w:val="2"/>
          <w:sz w:val="24"/>
          <w:szCs w:val="24"/>
        </w:rPr>
      </w:pPr>
      <w:r>
        <w:rPr>
          <w:rFonts w:hint="eastAsia" w:ascii="宋体" w:hAnsi="宋体"/>
          <w:bCs/>
          <w:kern w:val="2"/>
          <w:sz w:val="24"/>
          <w:szCs w:val="24"/>
        </w:rPr>
        <w:t>4.供应商若提供其他增值服务，可以在表中自行据实填写。</w:t>
      </w:r>
    </w:p>
    <w:p w14:paraId="32D170F9">
      <w:pPr>
        <w:snapToGrid w:val="0"/>
        <w:spacing w:line="400" w:lineRule="exact"/>
        <w:ind w:firstLine="540" w:firstLineChars="192"/>
        <w:contextualSpacing/>
        <w:rPr>
          <w:rFonts w:ascii="宋体" w:hAnsi="宋体" w:cs="宋体"/>
          <w:b/>
          <w:sz w:val="28"/>
          <w:szCs w:val="28"/>
        </w:rPr>
      </w:pPr>
    </w:p>
    <w:p w14:paraId="161E6984">
      <w:pPr>
        <w:snapToGrid w:val="0"/>
        <w:spacing w:line="400" w:lineRule="exact"/>
        <w:ind w:firstLine="540" w:firstLineChars="192"/>
        <w:contextualSpacing/>
        <w:rPr>
          <w:rFonts w:ascii="宋体" w:hAnsi="宋体" w:cs="宋体"/>
          <w:b/>
          <w:sz w:val="28"/>
          <w:szCs w:val="28"/>
        </w:rPr>
      </w:pPr>
    </w:p>
    <w:p w14:paraId="2D562C17">
      <w:pPr>
        <w:snapToGrid w:val="0"/>
        <w:spacing w:line="400" w:lineRule="exact"/>
        <w:ind w:firstLine="540" w:firstLineChars="192"/>
        <w:contextualSpacing/>
        <w:rPr>
          <w:rFonts w:ascii="宋体" w:hAnsi="宋体" w:cs="宋体"/>
          <w:b/>
          <w:sz w:val="28"/>
          <w:szCs w:val="28"/>
        </w:rPr>
      </w:pPr>
    </w:p>
    <w:p w14:paraId="5B77EAEF">
      <w:pPr>
        <w:snapToGrid w:val="0"/>
        <w:spacing w:line="400" w:lineRule="exact"/>
        <w:ind w:firstLine="540" w:firstLineChars="192"/>
        <w:contextualSpacing/>
        <w:rPr>
          <w:rFonts w:ascii="宋体" w:hAnsi="宋体" w:cs="宋体"/>
          <w:b/>
          <w:sz w:val="28"/>
          <w:szCs w:val="28"/>
        </w:rPr>
      </w:pPr>
    </w:p>
    <w:p w14:paraId="3F022FB1">
      <w:pPr>
        <w:snapToGrid w:val="0"/>
        <w:spacing w:line="400" w:lineRule="exact"/>
        <w:ind w:firstLine="540" w:firstLineChars="192"/>
        <w:contextualSpacing/>
        <w:rPr>
          <w:rFonts w:ascii="宋体" w:hAnsi="宋体" w:cs="宋体"/>
          <w:b/>
          <w:sz w:val="28"/>
          <w:szCs w:val="28"/>
        </w:rPr>
      </w:pPr>
    </w:p>
    <w:p w14:paraId="2B3D86DD">
      <w:pPr>
        <w:snapToGrid w:val="0"/>
        <w:spacing w:line="400" w:lineRule="exact"/>
        <w:ind w:firstLine="540" w:firstLineChars="192"/>
        <w:contextualSpacing/>
        <w:rPr>
          <w:rFonts w:ascii="宋体" w:hAnsi="宋体" w:cs="宋体"/>
          <w:b/>
          <w:sz w:val="28"/>
          <w:szCs w:val="28"/>
          <w:highlight w:val="none"/>
        </w:rPr>
      </w:pPr>
    </w:p>
    <w:p w14:paraId="77A2BE61">
      <w:pPr>
        <w:snapToGrid w:val="0"/>
        <w:spacing w:line="520" w:lineRule="exact"/>
        <w:jc w:val="right"/>
        <w:rPr>
          <w:rFonts w:ascii="宋体" w:hAnsi="Times New Roman"/>
          <w:kern w:val="2"/>
          <w:sz w:val="24"/>
          <w:szCs w:val="24"/>
          <w:highlight w:val="none"/>
        </w:rPr>
      </w:pPr>
      <w:r>
        <w:rPr>
          <w:rFonts w:hint="eastAsia" w:ascii="宋体" w:hAnsi="宋体" w:cs="宋体"/>
          <w:kern w:val="2"/>
          <w:sz w:val="24"/>
          <w:szCs w:val="24"/>
          <w:highlight w:val="none"/>
        </w:rPr>
        <w:t>竞争性磋商响应单位：（加盖公章）</w:t>
      </w:r>
    </w:p>
    <w:p w14:paraId="23F41B0A">
      <w:pPr>
        <w:snapToGrid w:val="0"/>
        <w:spacing w:line="520" w:lineRule="exact"/>
        <w:ind w:firstLine="2400" w:firstLineChars="1000"/>
        <w:jc w:val="right"/>
        <w:rPr>
          <w:rFonts w:ascii="宋体" w:hAnsi="Times New Roman"/>
          <w:kern w:val="2"/>
          <w:sz w:val="24"/>
          <w:szCs w:val="24"/>
          <w:highlight w:val="none"/>
        </w:rPr>
      </w:pPr>
      <w:r>
        <w:rPr>
          <w:rFonts w:hint="eastAsia" w:ascii="宋体" w:hAnsi="宋体" w:cs="宋体"/>
          <w:kern w:val="2"/>
          <w:sz w:val="24"/>
          <w:szCs w:val="24"/>
          <w:highlight w:val="none"/>
        </w:rPr>
        <w:t>法定代表人</w:t>
      </w:r>
      <w:r>
        <w:rPr>
          <w:rFonts w:hint="eastAsia" w:ascii="宋体" w:hAnsi="宋体" w:cs="宋体"/>
          <w:kern w:val="2"/>
          <w:sz w:val="24"/>
          <w:szCs w:val="24"/>
          <w:highlight w:val="none"/>
          <w:lang w:val="en-US" w:eastAsia="zh-CN"/>
        </w:rPr>
        <w:t>或</w:t>
      </w:r>
      <w:r>
        <w:rPr>
          <w:rFonts w:hint="eastAsia" w:ascii="Times New Roman" w:hAnsi="Times New Roman" w:cs="宋体"/>
          <w:kern w:val="2"/>
          <w:sz w:val="24"/>
          <w:szCs w:val="24"/>
          <w:highlight w:val="none"/>
          <w:lang w:val="en-US" w:eastAsia="zh-CN"/>
        </w:rPr>
        <w:t>企业负责人</w:t>
      </w:r>
      <w:r>
        <w:rPr>
          <w:rFonts w:hint="eastAsia" w:ascii="宋体" w:hAnsi="宋体" w:cs="宋体"/>
          <w:kern w:val="2"/>
          <w:sz w:val="24"/>
          <w:szCs w:val="24"/>
          <w:highlight w:val="none"/>
        </w:rPr>
        <w:t>：（签字或盖章）</w:t>
      </w:r>
    </w:p>
    <w:p w14:paraId="71BDF701">
      <w:pPr>
        <w:snapToGrid w:val="0"/>
        <w:spacing w:line="520" w:lineRule="exact"/>
        <w:jc w:val="right"/>
        <w:rPr>
          <w:rFonts w:ascii="宋体" w:hAnsi="Times New Roman"/>
          <w:kern w:val="2"/>
          <w:sz w:val="24"/>
          <w:szCs w:val="24"/>
        </w:rPr>
      </w:pPr>
      <w:r>
        <w:rPr>
          <w:rFonts w:hint="eastAsia" w:ascii="宋体" w:hAnsi="宋体" w:cs="宋体"/>
          <w:color w:val="000000"/>
          <w:kern w:val="2"/>
          <w:sz w:val="24"/>
          <w:szCs w:val="24"/>
          <w:highlight w:val="none"/>
        </w:rPr>
        <w:t xml:space="preserve">    日期：  年  月 </w:t>
      </w:r>
      <w:r>
        <w:rPr>
          <w:rFonts w:hint="eastAsia" w:ascii="宋体" w:hAnsi="宋体" w:cs="宋体"/>
          <w:color w:val="000000"/>
          <w:kern w:val="2"/>
          <w:sz w:val="24"/>
          <w:szCs w:val="24"/>
        </w:rPr>
        <w:t xml:space="preserve"> 日</w:t>
      </w:r>
    </w:p>
    <w:p w14:paraId="258B1553">
      <w:pPr>
        <w:snapToGrid w:val="0"/>
        <w:spacing w:line="400" w:lineRule="exact"/>
        <w:ind w:firstLine="540" w:firstLineChars="192"/>
        <w:contextualSpacing/>
        <w:rPr>
          <w:rFonts w:ascii="宋体" w:hAnsi="宋体" w:cs="宋体"/>
          <w:b/>
          <w:sz w:val="28"/>
          <w:szCs w:val="28"/>
        </w:rPr>
      </w:pPr>
    </w:p>
    <w:p w14:paraId="2D2D9579">
      <w:pPr>
        <w:snapToGrid w:val="0"/>
        <w:spacing w:line="400" w:lineRule="exact"/>
        <w:ind w:firstLine="540" w:firstLineChars="192"/>
        <w:contextualSpacing/>
        <w:rPr>
          <w:rFonts w:ascii="宋体" w:hAnsi="宋体" w:cs="宋体"/>
          <w:b/>
          <w:sz w:val="28"/>
          <w:szCs w:val="28"/>
        </w:rPr>
      </w:pPr>
    </w:p>
    <w:p w14:paraId="34AEE7F6">
      <w:pPr>
        <w:snapToGrid w:val="0"/>
        <w:spacing w:line="400" w:lineRule="exact"/>
        <w:ind w:firstLine="540" w:firstLineChars="192"/>
        <w:contextualSpacing/>
        <w:rPr>
          <w:rFonts w:ascii="宋体" w:hAnsi="宋体" w:cs="宋体"/>
          <w:b/>
          <w:sz w:val="28"/>
          <w:szCs w:val="28"/>
        </w:rPr>
      </w:pPr>
    </w:p>
    <w:p w14:paraId="2B30E504">
      <w:pPr>
        <w:rPr>
          <w:rFonts w:ascii="宋体" w:hAnsi="宋体" w:cs="宋体"/>
          <w:b/>
          <w:bCs/>
          <w:sz w:val="32"/>
          <w:szCs w:val="32"/>
        </w:rPr>
      </w:pPr>
      <w:r>
        <w:rPr>
          <w:rFonts w:ascii="宋体" w:hAnsi="宋体" w:cs="宋体"/>
          <w:bCs/>
          <w:snapToGrid w:val="0"/>
          <w:sz w:val="24"/>
          <w:szCs w:val="24"/>
        </w:rPr>
        <w:br w:type="page"/>
      </w:r>
    </w:p>
    <w:p w14:paraId="70A4B4C8">
      <w:pPr>
        <w:widowControl/>
        <w:snapToGrid w:val="0"/>
        <w:spacing w:line="360" w:lineRule="auto"/>
        <w:ind w:firstLine="643" w:firstLineChars="200"/>
        <w:contextualSpacing/>
        <w:jc w:val="center"/>
        <w:rPr>
          <w:rFonts w:ascii="宋体" w:hAnsi="宋体" w:cs="宋体"/>
          <w:sz w:val="32"/>
          <w:szCs w:val="32"/>
        </w:rPr>
      </w:pPr>
      <w:r>
        <w:rPr>
          <w:rFonts w:hint="eastAsia" w:ascii="宋体" w:hAnsi="宋体" w:cs="宋体"/>
          <w:b/>
          <w:bCs/>
          <w:sz w:val="32"/>
          <w:szCs w:val="32"/>
        </w:rPr>
        <w:t>报价表</w:t>
      </w:r>
    </w:p>
    <w:p w14:paraId="7E1DF040">
      <w:pPr>
        <w:snapToGrid w:val="0"/>
        <w:textAlignment w:val="baseline"/>
        <w:rPr>
          <w:rFonts w:ascii="Times New Roman" w:hAnsi="Times New Roman"/>
          <w:szCs w:val="21"/>
        </w:rPr>
      </w:pPr>
    </w:p>
    <w:tbl>
      <w:tblPr>
        <w:tblStyle w:val="56"/>
        <w:tblW w:w="9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8"/>
        <w:gridCol w:w="7725"/>
      </w:tblGrid>
      <w:tr w14:paraId="6D254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28" w:type="dxa"/>
            <w:shd w:val="clear" w:color="auto" w:fill="auto"/>
            <w:vAlign w:val="center"/>
          </w:tcPr>
          <w:p w14:paraId="5AE496C3">
            <w:pPr>
              <w:snapToGrid w:val="0"/>
              <w:spacing w:line="480" w:lineRule="exact"/>
              <w:jc w:val="center"/>
              <w:textAlignment w:val="baseline"/>
              <w:rPr>
                <w:rFonts w:ascii="宋体" w:hAnsi="宋体" w:cs="宋体"/>
                <w:color w:val="000000"/>
                <w:kern w:val="2"/>
                <w:sz w:val="24"/>
                <w:szCs w:val="24"/>
              </w:rPr>
            </w:pPr>
            <w:r>
              <w:rPr>
                <w:rFonts w:hint="eastAsia" w:ascii="宋体" w:hAnsi="宋体" w:cs="宋体"/>
                <w:color w:val="000000"/>
                <w:kern w:val="2"/>
                <w:sz w:val="24"/>
                <w:szCs w:val="24"/>
              </w:rPr>
              <w:t>项目名称</w:t>
            </w:r>
          </w:p>
        </w:tc>
        <w:tc>
          <w:tcPr>
            <w:tcW w:w="7725" w:type="dxa"/>
            <w:shd w:val="clear" w:color="auto" w:fill="auto"/>
            <w:vAlign w:val="center"/>
          </w:tcPr>
          <w:p w14:paraId="20188F4D">
            <w:pPr>
              <w:snapToGrid w:val="0"/>
              <w:spacing w:line="480" w:lineRule="exact"/>
              <w:jc w:val="center"/>
              <w:textAlignment w:val="baseline"/>
              <w:rPr>
                <w:rFonts w:ascii="宋体" w:hAnsi="宋体" w:cs="宋体"/>
                <w:color w:val="000000"/>
                <w:kern w:val="2"/>
                <w:sz w:val="24"/>
                <w:szCs w:val="24"/>
              </w:rPr>
            </w:pPr>
            <w:r>
              <w:rPr>
                <w:rFonts w:hint="eastAsia" w:ascii="宋体" w:hAnsi="宋体" w:cs="宋体"/>
                <w:color w:val="000000"/>
                <w:kern w:val="2"/>
                <w:sz w:val="24"/>
                <w:szCs w:val="24"/>
                <w:lang w:eastAsia="zh-CN"/>
              </w:rPr>
              <w:t>南通公安大病特困救助基金会2025民警家庭医疗保险项目（二次）</w:t>
            </w:r>
          </w:p>
        </w:tc>
      </w:tr>
      <w:tr w14:paraId="68ACE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28" w:type="dxa"/>
            <w:shd w:val="clear" w:color="auto" w:fill="auto"/>
            <w:vAlign w:val="center"/>
          </w:tcPr>
          <w:p w14:paraId="271A8E32">
            <w:pPr>
              <w:snapToGrid w:val="0"/>
              <w:spacing w:line="480" w:lineRule="exact"/>
              <w:jc w:val="center"/>
              <w:textAlignment w:val="baseline"/>
              <w:rPr>
                <w:rFonts w:ascii="宋体" w:hAnsi="宋体" w:cs="宋体"/>
                <w:color w:val="000000"/>
                <w:kern w:val="2"/>
                <w:sz w:val="24"/>
                <w:szCs w:val="24"/>
              </w:rPr>
            </w:pPr>
            <w:r>
              <w:rPr>
                <w:rFonts w:hint="eastAsia" w:ascii="宋体" w:hAnsi="宋体" w:cs="宋体"/>
                <w:color w:val="000000"/>
                <w:kern w:val="2"/>
                <w:sz w:val="24"/>
                <w:szCs w:val="24"/>
              </w:rPr>
              <w:t>项目编号</w:t>
            </w:r>
          </w:p>
        </w:tc>
        <w:tc>
          <w:tcPr>
            <w:tcW w:w="7725" w:type="dxa"/>
            <w:shd w:val="clear" w:color="auto" w:fill="auto"/>
            <w:vAlign w:val="center"/>
          </w:tcPr>
          <w:p w14:paraId="051E093C">
            <w:pPr>
              <w:snapToGrid w:val="0"/>
              <w:spacing w:line="480" w:lineRule="exact"/>
              <w:jc w:val="center"/>
              <w:textAlignment w:val="baseline"/>
              <w:rPr>
                <w:rFonts w:ascii="宋体" w:hAnsi="宋体" w:cs="宋体"/>
                <w:color w:val="000000"/>
                <w:kern w:val="2"/>
                <w:sz w:val="24"/>
                <w:szCs w:val="24"/>
              </w:rPr>
            </w:pPr>
          </w:p>
        </w:tc>
      </w:tr>
      <w:tr w14:paraId="687E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2228" w:type="dxa"/>
            <w:shd w:val="clear" w:color="auto" w:fill="auto"/>
            <w:vAlign w:val="center"/>
          </w:tcPr>
          <w:p w14:paraId="50987C57">
            <w:pPr>
              <w:snapToGrid w:val="0"/>
              <w:spacing w:beforeLines="50" w:line="360" w:lineRule="auto"/>
              <w:jc w:val="center"/>
              <w:rPr>
                <w:rFonts w:ascii="宋体" w:hAnsi="宋体" w:cs="宋体"/>
                <w:snapToGrid w:val="0"/>
                <w:color w:val="000000"/>
                <w:sz w:val="24"/>
                <w:szCs w:val="24"/>
              </w:rPr>
            </w:pPr>
            <w:r>
              <w:rPr>
                <w:rFonts w:hint="eastAsia" w:ascii="宋体" w:hAnsi="宋体" w:cs="宋体"/>
                <w:snapToGrid w:val="0"/>
                <w:color w:val="000000"/>
                <w:sz w:val="24"/>
                <w:szCs w:val="24"/>
              </w:rPr>
              <w:t>第1轮报价</w:t>
            </w:r>
          </w:p>
        </w:tc>
        <w:tc>
          <w:tcPr>
            <w:tcW w:w="7725" w:type="dxa"/>
            <w:shd w:val="clear" w:color="auto" w:fill="auto"/>
            <w:vAlign w:val="center"/>
          </w:tcPr>
          <w:p w14:paraId="65D94BFF">
            <w:pPr>
              <w:spacing w:line="360" w:lineRule="auto"/>
              <w:ind w:left="0" w:leftChars="0" w:firstLine="0" w:firstLineChars="0"/>
              <w:jc w:val="left"/>
              <w:rPr>
                <w:rFonts w:hint="eastAsia" w:ascii="宋体" w:hAnsi="宋体" w:eastAsia="宋体" w:cs="Times New Roman"/>
                <w:sz w:val="24"/>
                <w:szCs w:val="24"/>
                <w:highlight w:val="none"/>
                <w:lang w:val="en-US" w:eastAsia="zh-CN"/>
              </w:rPr>
            </w:pPr>
            <w:r>
              <w:rPr>
                <w:rFonts w:hint="eastAsia" w:ascii="宋体" w:hAnsi="宋体" w:eastAsia="宋体"/>
                <w:sz w:val="24"/>
                <w:szCs w:val="24"/>
                <w:highlight w:val="none"/>
              </w:rPr>
              <w:t>报价</w:t>
            </w:r>
            <w:r>
              <w:rPr>
                <w:rFonts w:hint="eastAsia" w:ascii="宋体" w:hAnsi="宋体"/>
                <w:sz w:val="24"/>
                <w:szCs w:val="24"/>
                <w:highlight w:val="none"/>
                <w:lang w:val="en-US" w:eastAsia="zh-CN"/>
              </w:rPr>
              <w:t>单</w:t>
            </w:r>
            <w:r>
              <w:rPr>
                <w:rFonts w:hint="eastAsia" w:ascii="宋体" w:hAnsi="宋体" w:eastAsia="宋体"/>
                <w:sz w:val="24"/>
                <w:szCs w:val="24"/>
                <w:highlight w:val="none"/>
              </w:rPr>
              <w:t>价：</w:t>
            </w:r>
            <w:r>
              <w:rPr>
                <w:rFonts w:hint="eastAsia" w:ascii="宋体" w:hAnsi="宋体" w:eastAsia="宋体" w:cs="Times New Roman"/>
                <w:sz w:val="24"/>
                <w:szCs w:val="24"/>
                <w:highlight w:val="none"/>
                <w:lang w:eastAsia="zh-CN"/>
              </w:rPr>
              <w:t>职民警人均保费</w:t>
            </w:r>
            <w:r>
              <w:rPr>
                <w:rFonts w:hint="eastAsia" w:ascii="宋体" w:hAnsi="宋体" w:eastAsia="宋体"/>
                <w:sz w:val="24"/>
                <w:szCs w:val="24"/>
                <w:highlight w:val="none"/>
                <w:u w:val="single"/>
              </w:rPr>
              <w:t>（大写）</w:t>
            </w:r>
            <w:r>
              <w:rPr>
                <w:rFonts w:hint="eastAsia" w:ascii="宋体" w:hAnsi="宋体" w:cs="Times New Roman"/>
                <w:sz w:val="24"/>
                <w:szCs w:val="24"/>
                <w:highlight w:val="none"/>
                <w:u w:val="single"/>
                <w:lang w:val="en-US" w:eastAsia="zh-CN"/>
              </w:rPr>
              <w:t xml:space="preserve">       </w:t>
            </w:r>
            <w:r>
              <w:rPr>
                <w:rFonts w:hint="eastAsia" w:ascii="宋体" w:hAnsi="宋体" w:eastAsia="宋体" w:cs="Times New Roman"/>
                <w:sz w:val="24"/>
                <w:szCs w:val="24"/>
                <w:highlight w:val="none"/>
                <w:lang w:eastAsia="zh-CN"/>
              </w:rPr>
              <w:t>元</w:t>
            </w:r>
            <w:r>
              <w:rPr>
                <w:rFonts w:hint="eastAsia" w:ascii="宋体" w:hAnsi="宋体" w:eastAsia="宋体" w:cs="Times New Roman"/>
                <w:sz w:val="24"/>
                <w:szCs w:val="24"/>
                <w:highlight w:val="none"/>
                <w:lang w:val="en-US" w:eastAsia="zh-CN"/>
              </w:rPr>
              <w:t>/人</w:t>
            </w:r>
          </w:p>
          <w:p w14:paraId="126F3889">
            <w:pPr>
              <w:spacing w:line="360" w:lineRule="auto"/>
              <w:ind w:left="0" w:leftChars="0" w:firstLine="2880" w:firstLineChars="1200"/>
              <w:jc w:val="left"/>
              <w:rPr>
                <w:rFonts w:hint="eastAsia" w:ascii="宋体" w:hAnsi="宋体" w:eastAsia="宋体" w:cs="Times New Roman"/>
                <w:sz w:val="24"/>
                <w:szCs w:val="24"/>
                <w:highlight w:val="none"/>
                <w:lang w:val="en-US" w:eastAsia="zh-CN"/>
              </w:rPr>
            </w:pPr>
            <w:r>
              <w:rPr>
                <w:rFonts w:hint="eastAsia" w:ascii="宋体" w:hAnsi="宋体" w:eastAsia="宋体"/>
                <w:sz w:val="24"/>
                <w:szCs w:val="24"/>
                <w:highlight w:val="none"/>
                <w:u w:val="single"/>
              </w:rPr>
              <w:t>（</w:t>
            </w:r>
            <w:r>
              <w:rPr>
                <w:rFonts w:hint="eastAsia" w:ascii="宋体" w:hAnsi="宋体" w:eastAsia="宋体"/>
                <w:sz w:val="24"/>
                <w:szCs w:val="24"/>
                <w:highlight w:val="none"/>
                <w:u w:val="single"/>
                <w:lang w:val="en-US" w:eastAsia="zh-CN"/>
              </w:rPr>
              <w:t>小</w:t>
            </w:r>
            <w:r>
              <w:rPr>
                <w:rFonts w:hint="eastAsia" w:ascii="宋体" w:hAnsi="宋体" w:eastAsia="宋体"/>
                <w:sz w:val="24"/>
                <w:szCs w:val="24"/>
                <w:highlight w:val="none"/>
                <w:u w:val="single"/>
              </w:rPr>
              <w:t>写）</w:t>
            </w:r>
            <w:r>
              <w:rPr>
                <w:rFonts w:hint="eastAsia" w:ascii="宋体" w:hAnsi="宋体" w:cs="Times New Roman"/>
                <w:sz w:val="24"/>
                <w:szCs w:val="24"/>
                <w:highlight w:val="none"/>
                <w:u w:val="single"/>
                <w:lang w:val="en-US" w:eastAsia="zh-CN"/>
              </w:rPr>
              <w:t xml:space="preserve">       </w:t>
            </w:r>
            <w:r>
              <w:rPr>
                <w:rFonts w:hint="eastAsia" w:ascii="宋体" w:hAnsi="宋体" w:eastAsia="宋体" w:cs="Times New Roman"/>
                <w:sz w:val="24"/>
                <w:szCs w:val="24"/>
                <w:highlight w:val="none"/>
                <w:lang w:eastAsia="zh-CN"/>
              </w:rPr>
              <w:t>元</w:t>
            </w:r>
            <w:r>
              <w:rPr>
                <w:rFonts w:hint="eastAsia" w:ascii="宋体" w:hAnsi="宋体" w:eastAsia="宋体" w:cs="Times New Roman"/>
                <w:sz w:val="24"/>
                <w:szCs w:val="24"/>
                <w:highlight w:val="none"/>
                <w:lang w:val="en-US" w:eastAsia="zh-CN"/>
              </w:rPr>
              <w:t>/人</w:t>
            </w:r>
          </w:p>
          <w:p w14:paraId="351C2995">
            <w:pPr>
              <w:spacing w:line="360" w:lineRule="auto"/>
              <w:jc w:val="right"/>
              <w:rPr>
                <w:rFonts w:hint="eastAsia" w:ascii="宋体" w:hAnsi="宋体" w:eastAsia="宋体" w:cs="黑体"/>
                <w:sz w:val="24"/>
                <w:szCs w:val="24"/>
                <w:highlight w:val="none"/>
                <w:lang w:val="en-US" w:eastAsia="zh-CN" w:bidi="ar-SA"/>
              </w:rPr>
            </w:pPr>
            <w:r>
              <w:rPr>
                <w:rFonts w:hint="eastAsia" w:ascii="宋体" w:hAnsi="宋体" w:eastAsia="宋体" w:cs="Times New Roman"/>
                <w:sz w:val="24"/>
                <w:szCs w:val="24"/>
                <w:highlight w:val="none"/>
                <w:lang w:eastAsia="zh-CN"/>
              </w:rPr>
              <w:t>在职民警配偶及成年子女和未成年子女人均保费</w:t>
            </w:r>
            <w:r>
              <w:rPr>
                <w:rFonts w:hint="eastAsia" w:ascii="宋体" w:hAnsi="宋体" w:eastAsia="宋体"/>
                <w:sz w:val="24"/>
                <w:szCs w:val="24"/>
                <w:highlight w:val="none"/>
                <w:u w:val="single"/>
              </w:rPr>
              <w:t>（大写）</w:t>
            </w:r>
            <w:r>
              <w:rPr>
                <w:rFonts w:hint="eastAsia" w:ascii="宋体" w:hAnsi="宋体" w:cs="Times New Roman"/>
                <w:sz w:val="24"/>
                <w:szCs w:val="24"/>
                <w:highlight w:val="none"/>
                <w:u w:val="single"/>
                <w:lang w:val="en-US" w:eastAsia="zh-CN"/>
              </w:rPr>
              <w:t xml:space="preserve">     </w:t>
            </w:r>
            <w:r>
              <w:rPr>
                <w:rFonts w:hint="eastAsia" w:ascii="宋体" w:hAnsi="宋体" w:eastAsia="宋体" w:cs="Times New Roman"/>
                <w:sz w:val="24"/>
                <w:szCs w:val="24"/>
                <w:highlight w:val="none"/>
                <w:lang w:eastAsia="zh-CN"/>
              </w:rPr>
              <w:t>元</w:t>
            </w:r>
            <w:r>
              <w:rPr>
                <w:rFonts w:hint="eastAsia" w:ascii="宋体" w:hAnsi="宋体" w:eastAsia="宋体" w:cs="Times New Roman"/>
                <w:sz w:val="24"/>
                <w:szCs w:val="24"/>
                <w:highlight w:val="none"/>
                <w:lang w:val="en-US" w:eastAsia="zh-CN"/>
              </w:rPr>
              <w:t>/人</w:t>
            </w:r>
            <w:r>
              <w:rPr>
                <w:rFonts w:hint="eastAsia" w:ascii="宋体" w:hAnsi="宋体" w:eastAsia="宋体"/>
                <w:sz w:val="24"/>
                <w:szCs w:val="24"/>
                <w:highlight w:val="none"/>
                <w:u w:val="single"/>
              </w:rPr>
              <w:t>（</w:t>
            </w:r>
            <w:r>
              <w:rPr>
                <w:rFonts w:hint="eastAsia" w:ascii="宋体" w:hAnsi="宋体" w:eastAsia="宋体"/>
                <w:sz w:val="24"/>
                <w:szCs w:val="24"/>
                <w:highlight w:val="none"/>
                <w:u w:val="single"/>
                <w:lang w:val="en-US" w:eastAsia="zh-CN"/>
              </w:rPr>
              <w:t>小</w:t>
            </w:r>
            <w:r>
              <w:rPr>
                <w:rFonts w:hint="eastAsia" w:ascii="宋体" w:hAnsi="宋体" w:eastAsia="宋体"/>
                <w:sz w:val="24"/>
                <w:szCs w:val="24"/>
                <w:highlight w:val="none"/>
                <w:u w:val="single"/>
              </w:rPr>
              <w:t>写）</w:t>
            </w:r>
            <w:r>
              <w:rPr>
                <w:rFonts w:hint="eastAsia" w:ascii="宋体" w:hAnsi="宋体" w:cs="Times New Roman"/>
                <w:sz w:val="24"/>
                <w:szCs w:val="24"/>
                <w:highlight w:val="none"/>
                <w:u w:val="single"/>
                <w:lang w:val="en-US" w:eastAsia="zh-CN"/>
              </w:rPr>
              <w:t xml:space="preserve">     </w:t>
            </w:r>
            <w:r>
              <w:rPr>
                <w:rFonts w:hint="eastAsia" w:ascii="宋体" w:hAnsi="宋体" w:eastAsia="宋体" w:cs="Times New Roman"/>
                <w:sz w:val="24"/>
                <w:szCs w:val="24"/>
                <w:highlight w:val="none"/>
                <w:lang w:eastAsia="zh-CN"/>
              </w:rPr>
              <w:t>元</w:t>
            </w:r>
            <w:r>
              <w:rPr>
                <w:rFonts w:hint="eastAsia" w:ascii="宋体" w:hAnsi="宋体" w:eastAsia="宋体" w:cs="Times New Roman"/>
                <w:sz w:val="24"/>
                <w:szCs w:val="24"/>
                <w:highlight w:val="none"/>
                <w:lang w:val="en-US" w:eastAsia="zh-CN"/>
              </w:rPr>
              <w:t>/人</w:t>
            </w:r>
          </w:p>
        </w:tc>
      </w:tr>
      <w:tr w14:paraId="33F61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2228" w:type="dxa"/>
            <w:shd w:val="clear" w:color="auto" w:fill="auto"/>
            <w:vAlign w:val="center"/>
          </w:tcPr>
          <w:p w14:paraId="2E38D0A5">
            <w:pPr>
              <w:snapToGrid w:val="0"/>
              <w:spacing w:line="360" w:lineRule="auto"/>
              <w:jc w:val="center"/>
              <w:rPr>
                <w:rFonts w:ascii="宋体" w:hAnsi="宋体" w:cs="宋体"/>
                <w:snapToGrid w:val="0"/>
                <w:color w:val="000000"/>
                <w:sz w:val="24"/>
                <w:szCs w:val="24"/>
              </w:rPr>
            </w:pPr>
            <w:r>
              <w:rPr>
                <w:rFonts w:hint="eastAsia" w:ascii="宋体" w:hAnsi="宋体" w:cs="宋体"/>
                <w:snapToGrid w:val="0"/>
                <w:color w:val="000000"/>
                <w:sz w:val="24"/>
                <w:szCs w:val="24"/>
              </w:rPr>
              <w:t>第2轮(最终)报价</w:t>
            </w:r>
          </w:p>
          <w:p w14:paraId="6CDA7873">
            <w:pPr>
              <w:pStyle w:val="219"/>
              <w:spacing w:line="360" w:lineRule="auto"/>
              <w:ind w:left="0" w:firstLine="0"/>
              <w:rPr>
                <w:b/>
                <w:bCs/>
              </w:rPr>
            </w:pPr>
            <w:r>
              <w:rPr>
                <w:rFonts w:hint="eastAsia"/>
                <w:b/>
                <w:bCs/>
              </w:rPr>
              <w:t>（供应商现场填写）</w:t>
            </w:r>
          </w:p>
        </w:tc>
        <w:tc>
          <w:tcPr>
            <w:tcW w:w="7725" w:type="dxa"/>
            <w:shd w:val="clear" w:color="auto" w:fill="auto"/>
            <w:vAlign w:val="center"/>
          </w:tcPr>
          <w:p w14:paraId="6F880F01">
            <w:pPr>
              <w:spacing w:line="360" w:lineRule="auto"/>
              <w:ind w:left="0" w:leftChars="0" w:firstLine="0" w:firstLineChars="0"/>
              <w:jc w:val="left"/>
              <w:rPr>
                <w:rFonts w:hint="eastAsia" w:ascii="宋体" w:hAnsi="宋体" w:eastAsia="宋体" w:cs="Times New Roman"/>
                <w:sz w:val="24"/>
                <w:szCs w:val="24"/>
                <w:highlight w:val="none"/>
                <w:lang w:val="en-US" w:eastAsia="zh-CN"/>
              </w:rPr>
            </w:pPr>
            <w:r>
              <w:rPr>
                <w:rFonts w:hint="eastAsia" w:ascii="宋体" w:hAnsi="宋体" w:eastAsia="宋体"/>
                <w:sz w:val="24"/>
                <w:szCs w:val="24"/>
                <w:highlight w:val="none"/>
              </w:rPr>
              <w:t>报价单价：</w:t>
            </w:r>
            <w:r>
              <w:rPr>
                <w:rFonts w:hint="eastAsia" w:ascii="宋体" w:hAnsi="宋体" w:eastAsia="宋体" w:cs="Times New Roman"/>
                <w:sz w:val="24"/>
                <w:szCs w:val="24"/>
                <w:highlight w:val="none"/>
                <w:lang w:eastAsia="zh-CN"/>
              </w:rPr>
              <w:t>职民警人均保费</w:t>
            </w:r>
            <w:r>
              <w:rPr>
                <w:rFonts w:hint="eastAsia" w:ascii="宋体" w:hAnsi="宋体" w:eastAsia="宋体"/>
                <w:sz w:val="24"/>
                <w:szCs w:val="24"/>
                <w:highlight w:val="none"/>
                <w:u w:val="single"/>
              </w:rPr>
              <w:t>（大写）</w:t>
            </w:r>
            <w:r>
              <w:rPr>
                <w:rFonts w:hint="eastAsia" w:ascii="宋体" w:hAnsi="宋体" w:cs="Times New Roman"/>
                <w:sz w:val="24"/>
                <w:szCs w:val="24"/>
                <w:highlight w:val="none"/>
                <w:u w:val="single"/>
                <w:lang w:val="en-US" w:eastAsia="zh-CN"/>
              </w:rPr>
              <w:t xml:space="preserve">       </w:t>
            </w:r>
            <w:r>
              <w:rPr>
                <w:rFonts w:hint="eastAsia" w:ascii="宋体" w:hAnsi="宋体" w:eastAsia="宋体" w:cs="Times New Roman"/>
                <w:sz w:val="24"/>
                <w:szCs w:val="24"/>
                <w:highlight w:val="none"/>
                <w:lang w:eastAsia="zh-CN"/>
              </w:rPr>
              <w:t>元</w:t>
            </w:r>
            <w:r>
              <w:rPr>
                <w:rFonts w:hint="eastAsia" w:ascii="宋体" w:hAnsi="宋体" w:eastAsia="宋体" w:cs="Times New Roman"/>
                <w:sz w:val="24"/>
                <w:szCs w:val="24"/>
                <w:highlight w:val="none"/>
                <w:lang w:val="en-US" w:eastAsia="zh-CN"/>
              </w:rPr>
              <w:t>/人</w:t>
            </w:r>
          </w:p>
          <w:p w14:paraId="130C8B63">
            <w:pPr>
              <w:spacing w:line="360" w:lineRule="auto"/>
              <w:ind w:left="0" w:leftChars="0" w:firstLine="2880" w:firstLineChars="1200"/>
              <w:jc w:val="left"/>
              <w:rPr>
                <w:rFonts w:hint="eastAsia" w:ascii="宋体" w:hAnsi="宋体" w:eastAsia="宋体" w:cs="Times New Roman"/>
                <w:sz w:val="24"/>
                <w:szCs w:val="24"/>
                <w:highlight w:val="none"/>
                <w:lang w:val="en-US" w:eastAsia="zh-CN"/>
              </w:rPr>
            </w:pPr>
            <w:r>
              <w:rPr>
                <w:rFonts w:hint="eastAsia" w:ascii="宋体" w:hAnsi="宋体" w:eastAsia="宋体"/>
                <w:sz w:val="24"/>
                <w:szCs w:val="24"/>
                <w:highlight w:val="none"/>
                <w:u w:val="single"/>
              </w:rPr>
              <w:t>（</w:t>
            </w:r>
            <w:r>
              <w:rPr>
                <w:rFonts w:hint="eastAsia" w:ascii="宋体" w:hAnsi="宋体" w:eastAsia="宋体"/>
                <w:sz w:val="24"/>
                <w:szCs w:val="24"/>
                <w:highlight w:val="none"/>
                <w:u w:val="single"/>
                <w:lang w:val="en-US" w:eastAsia="zh-CN"/>
              </w:rPr>
              <w:t>小</w:t>
            </w:r>
            <w:r>
              <w:rPr>
                <w:rFonts w:hint="eastAsia" w:ascii="宋体" w:hAnsi="宋体" w:eastAsia="宋体"/>
                <w:sz w:val="24"/>
                <w:szCs w:val="24"/>
                <w:highlight w:val="none"/>
                <w:u w:val="single"/>
              </w:rPr>
              <w:t>写）</w:t>
            </w:r>
            <w:r>
              <w:rPr>
                <w:rFonts w:hint="eastAsia" w:ascii="宋体" w:hAnsi="宋体" w:cs="Times New Roman"/>
                <w:sz w:val="24"/>
                <w:szCs w:val="24"/>
                <w:highlight w:val="none"/>
                <w:u w:val="single"/>
                <w:lang w:val="en-US" w:eastAsia="zh-CN"/>
              </w:rPr>
              <w:t xml:space="preserve">       </w:t>
            </w:r>
            <w:r>
              <w:rPr>
                <w:rFonts w:hint="eastAsia" w:ascii="宋体" w:hAnsi="宋体" w:eastAsia="宋体" w:cs="Times New Roman"/>
                <w:sz w:val="24"/>
                <w:szCs w:val="24"/>
                <w:highlight w:val="none"/>
                <w:lang w:eastAsia="zh-CN"/>
              </w:rPr>
              <w:t>元</w:t>
            </w:r>
            <w:r>
              <w:rPr>
                <w:rFonts w:hint="eastAsia" w:ascii="宋体" w:hAnsi="宋体" w:eastAsia="宋体" w:cs="Times New Roman"/>
                <w:sz w:val="24"/>
                <w:szCs w:val="24"/>
                <w:highlight w:val="none"/>
                <w:lang w:val="en-US" w:eastAsia="zh-CN"/>
              </w:rPr>
              <w:t>/人</w:t>
            </w:r>
          </w:p>
          <w:p w14:paraId="66A04346">
            <w:pPr>
              <w:spacing w:line="360" w:lineRule="auto"/>
              <w:jc w:val="right"/>
              <w:rPr>
                <w:rFonts w:hint="eastAsia" w:ascii="宋体" w:hAnsi="宋体" w:eastAsia="宋体" w:cs="黑体"/>
                <w:sz w:val="24"/>
                <w:szCs w:val="24"/>
                <w:highlight w:val="none"/>
                <w:lang w:val="en-US" w:eastAsia="zh-CN" w:bidi="ar-SA"/>
              </w:rPr>
            </w:pPr>
            <w:r>
              <w:rPr>
                <w:rFonts w:hint="eastAsia" w:ascii="宋体" w:hAnsi="宋体" w:eastAsia="宋体" w:cs="Times New Roman"/>
                <w:sz w:val="24"/>
                <w:szCs w:val="24"/>
                <w:highlight w:val="none"/>
                <w:lang w:eastAsia="zh-CN"/>
              </w:rPr>
              <w:t>在职民警配偶及成年子女和未成年子女人均保费</w:t>
            </w:r>
            <w:r>
              <w:rPr>
                <w:rFonts w:hint="eastAsia" w:ascii="宋体" w:hAnsi="宋体" w:eastAsia="宋体"/>
                <w:sz w:val="24"/>
                <w:szCs w:val="24"/>
                <w:highlight w:val="none"/>
                <w:u w:val="single"/>
              </w:rPr>
              <w:t>（大写）</w:t>
            </w:r>
            <w:r>
              <w:rPr>
                <w:rFonts w:hint="eastAsia" w:ascii="宋体" w:hAnsi="宋体" w:cs="Times New Roman"/>
                <w:sz w:val="24"/>
                <w:szCs w:val="24"/>
                <w:highlight w:val="none"/>
                <w:u w:val="single"/>
                <w:lang w:val="en-US" w:eastAsia="zh-CN"/>
              </w:rPr>
              <w:t xml:space="preserve">     </w:t>
            </w:r>
            <w:r>
              <w:rPr>
                <w:rFonts w:hint="eastAsia" w:ascii="宋体" w:hAnsi="宋体" w:eastAsia="宋体" w:cs="Times New Roman"/>
                <w:sz w:val="24"/>
                <w:szCs w:val="24"/>
                <w:highlight w:val="none"/>
                <w:lang w:eastAsia="zh-CN"/>
              </w:rPr>
              <w:t>元</w:t>
            </w:r>
            <w:r>
              <w:rPr>
                <w:rFonts w:hint="eastAsia" w:ascii="宋体" w:hAnsi="宋体" w:eastAsia="宋体" w:cs="Times New Roman"/>
                <w:sz w:val="24"/>
                <w:szCs w:val="24"/>
                <w:highlight w:val="none"/>
                <w:lang w:val="en-US" w:eastAsia="zh-CN"/>
              </w:rPr>
              <w:t>/人</w:t>
            </w:r>
            <w:r>
              <w:rPr>
                <w:rFonts w:hint="eastAsia" w:ascii="宋体" w:hAnsi="宋体" w:eastAsia="宋体"/>
                <w:sz w:val="24"/>
                <w:szCs w:val="24"/>
                <w:highlight w:val="none"/>
                <w:u w:val="single"/>
              </w:rPr>
              <w:t>（</w:t>
            </w:r>
            <w:r>
              <w:rPr>
                <w:rFonts w:hint="eastAsia" w:ascii="宋体" w:hAnsi="宋体" w:eastAsia="宋体"/>
                <w:sz w:val="24"/>
                <w:szCs w:val="24"/>
                <w:highlight w:val="none"/>
                <w:u w:val="single"/>
                <w:lang w:val="en-US" w:eastAsia="zh-CN"/>
              </w:rPr>
              <w:t>小</w:t>
            </w:r>
            <w:r>
              <w:rPr>
                <w:rFonts w:hint="eastAsia" w:ascii="宋体" w:hAnsi="宋体" w:eastAsia="宋体"/>
                <w:sz w:val="24"/>
                <w:szCs w:val="24"/>
                <w:highlight w:val="none"/>
                <w:u w:val="single"/>
              </w:rPr>
              <w:t>写）</w:t>
            </w:r>
            <w:r>
              <w:rPr>
                <w:rFonts w:hint="eastAsia" w:ascii="宋体" w:hAnsi="宋体" w:cs="Times New Roman"/>
                <w:sz w:val="24"/>
                <w:szCs w:val="24"/>
                <w:highlight w:val="none"/>
                <w:u w:val="single"/>
                <w:lang w:val="en-US" w:eastAsia="zh-CN"/>
              </w:rPr>
              <w:t xml:space="preserve">     </w:t>
            </w:r>
            <w:r>
              <w:rPr>
                <w:rFonts w:hint="eastAsia" w:ascii="宋体" w:hAnsi="宋体" w:eastAsia="宋体" w:cs="Times New Roman"/>
                <w:sz w:val="24"/>
                <w:szCs w:val="24"/>
                <w:highlight w:val="none"/>
                <w:lang w:eastAsia="zh-CN"/>
              </w:rPr>
              <w:t>元</w:t>
            </w:r>
            <w:r>
              <w:rPr>
                <w:rFonts w:hint="eastAsia" w:ascii="宋体" w:hAnsi="宋体" w:eastAsia="宋体" w:cs="Times New Roman"/>
                <w:sz w:val="24"/>
                <w:szCs w:val="24"/>
                <w:highlight w:val="none"/>
                <w:lang w:val="en-US" w:eastAsia="zh-CN"/>
              </w:rPr>
              <w:t>/人</w:t>
            </w:r>
          </w:p>
        </w:tc>
      </w:tr>
      <w:tr w14:paraId="2A27F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228" w:type="dxa"/>
            <w:shd w:val="clear" w:color="auto" w:fill="auto"/>
            <w:vAlign w:val="center"/>
          </w:tcPr>
          <w:p w14:paraId="39849FC1">
            <w:pPr>
              <w:snapToGrid w:val="0"/>
              <w:spacing w:line="360" w:lineRule="auto"/>
              <w:jc w:val="center"/>
              <w:textAlignment w:val="baseline"/>
              <w:rPr>
                <w:rFonts w:ascii="宋体" w:hAnsi="宋体" w:cs="宋体"/>
                <w:color w:val="000000"/>
                <w:kern w:val="2"/>
                <w:sz w:val="24"/>
                <w:szCs w:val="24"/>
              </w:rPr>
            </w:pPr>
            <w:r>
              <w:rPr>
                <w:rFonts w:hint="eastAsia" w:ascii="宋体" w:hAnsi="宋体" w:cs="宋体"/>
                <w:color w:val="000000"/>
                <w:kern w:val="2"/>
                <w:sz w:val="24"/>
                <w:szCs w:val="24"/>
              </w:rPr>
              <w:t>付款条件</w:t>
            </w:r>
          </w:p>
        </w:tc>
        <w:tc>
          <w:tcPr>
            <w:tcW w:w="7725" w:type="dxa"/>
            <w:shd w:val="clear" w:color="auto" w:fill="auto"/>
            <w:vAlign w:val="center"/>
          </w:tcPr>
          <w:p w14:paraId="72F4B139">
            <w:pPr>
              <w:snapToGrid w:val="0"/>
              <w:spacing w:line="360" w:lineRule="auto"/>
              <w:jc w:val="center"/>
              <w:textAlignment w:val="baseline"/>
              <w:rPr>
                <w:rFonts w:ascii="宋体" w:hAnsi="宋体" w:cs="宋体"/>
                <w:color w:val="000000"/>
                <w:kern w:val="2"/>
                <w:sz w:val="24"/>
                <w:szCs w:val="24"/>
              </w:rPr>
            </w:pPr>
            <w:r>
              <w:rPr>
                <w:rFonts w:hint="eastAsia" w:ascii="宋体" w:hAnsi="宋体" w:cs="宋体"/>
                <w:color w:val="000000"/>
                <w:kern w:val="2"/>
                <w:sz w:val="24"/>
                <w:szCs w:val="24"/>
              </w:rPr>
              <w:t>完全接受并响应本项目磋商文件的要求。</w:t>
            </w:r>
          </w:p>
        </w:tc>
      </w:tr>
    </w:tbl>
    <w:p w14:paraId="76C53289">
      <w:pPr>
        <w:snapToGrid w:val="0"/>
        <w:spacing w:after="156"/>
        <w:textAlignment w:val="baseline"/>
        <w:rPr>
          <w:rFonts w:ascii="Times New Roman" w:hAnsi="Times New Roman"/>
          <w:kern w:val="2"/>
          <w:szCs w:val="24"/>
        </w:rPr>
      </w:pPr>
    </w:p>
    <w:p w14:paraId="4947C024">
      <w:pPr>
        <w:snapToGrid w:val="0"/>
        <w:spacing w:line="360" w:lineRule="auto"/>
        <w:ind w:firstLine="482" w:firstLineChars="200"/>
        <w:textAlignment w:val="baseline"/>
        <w:rPr>
          <w:rFonts w:ascii="Times New Roman" w:hAnsi="宋体" w:cs="宋体"/>
          <w:b/>
          <w:kern w:val="2"/>
          <w:sz w:val="24"/>
          <w:szCs w:val="28"/>
        </w:rPr>
      </w:pPr>
      <w:r>
        <w:rPr>
          <w:rFonts w:hint="eastAsia" w:ascii="Times New Roman" w:hAnsi="宋体" w:cs="宋体"/>
          <w:b/>
          <w:kern w:val="2"/>
          <w:sz w:val="24"/>
          <w:szCs w:val="28"/>
        </w:rPr>
        <w:t>注：1、本表为格式表，不得自行改动，必须提供，否则视为未实质性响应</w:t>
      </w:r>
      <w:r>
        <w:rPr>
          <w:rFonts w:hint="eastAsia" w:ascii="Times New Roman" w:hAnsi="宋体" w:cs="宋体"/>
          <w:b/>
          <w:kern w:val="2"/>
          <w:sz w:val="24"/>
          <w:szCs w:val="28"/>
          <w:lang w:val="en-US" w:eastAsia="zh-CN"/>
        </w:rPr>
        <w:t>磋商</w:t>
      </w:r>
      <w:r>
        <w:rPr>
          <w:rFonts w:hint="eastAsia" w:ascii="Times New Roman" w:hAnsi="宋体" w:cs="宋体"/>
          <w:b/>
          <w:kern w:val="2"/>
          <w:sz w:val="24"/>
          <w:szCs w:val="28"/>
          <w:lang w:eastAsia="zh-CN"/>
        </w:rPr>
        <w:t>文件</w:t>
      </w:r>
      <w:r>
        <w:rPr>
          <w:rFonts w:hint="eastAsia" w:ascii="Times New Roman" w:hAnsi="宋体" w:cs="宋体"/>
          <w:b/>
          <w:kern w:val="2"/>
          <w:sz w:val="24"/>
          <w:szCs w:val="28"/>
        </w:rPr>
        <w:t>。</w:t>
      </w:r>
    </w:p>
    <w:p w14:paraId="1EE57202">
      <w:pPr>
        <w:snapToGrid w:val="0"/>
        <w:spacing w:line="360" w:lineRule="auto"/>
        <w:ind w:firstLine="482" w:firstLineChars="200"/>
        <w:textAlignment w:val="baseline"/>
        <w:rPr>
          <w:rFonts w:ascii="Times New Roman" w:hAnsi="宋体" w:cs="宋体"/>
          <w:b/>
          <w:kern w:val="2"/>
          <w:sz w:val="24"/>
          <w:szCs w:val="28"/>
        </w:rPr>
      </w:pPr>
      <w:r>
        <w:rPr>
          <w:rFonts w:hint="eastAsia" w:ascii="Times New Roman" w:hAnsi="宋体" w:cs="宋体"/>
          <w:b/>
          <w:kern w:val="2"/>
          <w:sz w:val="24"/>
          <w:szCs w:val="28"/>
        </w:rPr>
        <w:t>2、第2轮(最终)报价将在磋商时填写，响应文件密封提交时只需填写第1轮磋商报价。</w:t>
      </w:r>
    </w:p>
    <w:p w14:paraId="16C475E6">
      <w:pPr>
        <w:snapToGrid w:val="0"/>
        <w:spacing w:line="360" w:lineRule="auto"/>
        <w:ind w:firstLine="482" w:firstLineChars="200"/>
        <w:textAlignment w:val="baseline"/>
        <w:rPr>
          <w:rFonts w:ascii="Times New Roman" w:hAnsi="宋体" w:cs="宋体"/>
          <w:b/>
          <w:kern w:val="2"/>
          <w:sz w:val="24"/>
          <w:szCs w:val="28"/>
          <w:highlight w:val="none"/>
        </w:rPr>
      </w:pPr>
      <w:r>
        <w:rPr>
          <w:rFonts w:hint="eastAsia" w:ascii="Times New Roman" w:hAnsi="宋体" w:cs="宋体"/>
          <w:b/>
          <w:kern w:val="2"/>
          <w:sz w:val="24"/>
          <w:szCs w:val="28"/>
          <w:highlight w:val="none"/>
        </w:rPr>
        <w:t>3、本表式不得自行改动。</w:t>
      </w:r>
    </w:p>
    <w:p w14:paraId="27C7EDF0">
      <w:pPr>
        <w:snapToGrid w:val="0"/>
        <w:spacing w:line="360" w:lineRule="auto"/>
        <w:textAlignment w:val="baseline"/>
        <w:rPr>
          <w:rFonts w:ascii="宋体" w:hAnsi="宋体"/>
          <w:szCs w:val="24"/>
          <w:highlight w:val="none"/>
        </w:rPr>
      </w:pPr>
    </w:p>
    <w:p w14:paraId="32580282">
      <w:pPr>
        <w:tabs>
          <w:tab w:val="left" w:pos="5665"/>
          <w:tab w:val="right" w:pos="8360"/>
        </w:tabs>
        <w:snapToGrid w:val="0"/>
        <w:spacing w:line="360" w:lineRule="auto"/>
        <w:ind w:right="42" w:firstLine="1560" w:firstLineChars="650"/>
        <w:textAlignment w:val="baseline"/>
        <w:rPr>
          <w:rFonts w:ascii="宋体" w:hAnsi="宋体" w:cs="宋体"/>
          <w:kern w:val="2"/>
          <w:sz w:val="24"/>
          <w:szCs w:val="28"/>
          <w:highlight w:val="none"/>
        </w:rPr>
      </w:pPr>
    </w:p>
    <w:p w14:paraId="27871306">
      <w:pPr>
        <w:snapToGrid w:val="0"/>
        <w:spacing w:line="360" w:lineRule="auto"/>
        <w:ind w:right="79"/>
        <w:textAlignment w:val="baseline"/>
        <w:rPr>
          <w:rFonts w:ascii="宋体" w:hAnsi="宋体" w:cs="宋体"/>
          <w:color w:val="000000"/>
          <w:kern w:val="2"/>
          <w:sz w:val="24"/>
          <w:szCs w:val="24"/>
          <w:highlight w:val="none"/>
        </w:rPr>
      </w:pPr>
      <w:r>
        <w:rPr>
          <w:rFonts w:hint="eastAsia" w:ascii="宋体" w:hAnsi="宋体" w:cs="宋体"/>
          <w:kern w:val="2"/>
          <w:sz w:val="24"/>
          <w:szCs w:val="24"/>
          <w:highlight w:val="none"/>
        </w:rPr>
        <w:t>竞争性磋商响应供应商：（单位盖章）</w:t>
      </w:r>
    </w:p>
    <w:p w14:paraId="5AF89BF4">
      <w:pPr>
        <w:tabs>
          <w:tab w:val="left" w:pos="5665"/>
          <w:tab w:val="right" w:pos="8360"/>
        </w:tabs>
        <w:snapToGrid w:val="0"/>
        <w:spacing w:line="360" w:lineRule="auto"/>
        <w:ind w:right="42"/>
        <w:textAlignment w:val="baseline"/>
        <w:rPr>
          <w:rFonts w:ascii="宋体" w:hAnsi="宋体" w:cs="宋体"/>
          <w:kern w:val="2"/>
          <w:sz w:val="24"/>
          <w:szCs w:val="28"/>
          <w:highlight w:val="none"/>
          <w:u w:val="single"/>
        </w:rPr>
      </w:pPr>
      <w:r>
        <w:rPr>
          <w:rFonts w:hint="eastAsia" w:ascii="宋体" w:hAnsi="宋体" w:cs="宋体"/>
          <w:kern w:val="2"/>
          <w:sz w:val="24"/>
          <w:szCs w:val="28"/>
          <w:highlight w:val="none"/>
        </w:rPr>
        <w:t>法定代表人</w:t>
      </w:r>
      <w:r>
        <w:rPr>
          <w:rFonts w:hint="eastAsia" w:ascii="宋体" w:hAnsi="宋体" w:cs="宋体"/>
          <w:kern w:val="2"/>
          <w:sz w:val="24"/>
          <w:szCs w:val="24"/>
          <w:highlight w:val="none"/>
          <w:lang w:val="en-US" w:eastAsia="zh-CN"/>
        </w:rPr>
        <w:t>或</w:t>
      </w:r>
      <w:r>
        <w:rPr>
          <w:rFonts w:hint="eastAsia" w:ascii="Times New Roman" w:hAnsi="Times New Roman" w:cs="宋体"/>
          <w:kern w:val="2"/>
          <w:sz w:val="24"/>
          <w:szCs w:val="24"/>
          <w:highlight w:val="none"/>
          <w:lang w:val="en-US" w:eastAsia="zh-CN"/>
        </w:rPr>
        <w:t>企业负责人</w:t>
      </w:r>
      <w:r>
        <w:rPr>
          <w:rFonts w:hint="eastAsia" w:ascii="宋体" w:hAnsi="宋体" w:cs="宋体"/>
          <w:kern w:val="2"/>
          <w:sz w:val="24"/>
          <w:szCs w:val="28"/>
          <w:highlight w:val="none"/>
        </w:rPr>
        <w:t>或</w:t>
      </w:r>
      <w:r>
        <w:rPr>
          <w:rFonts w:hint="eastAsia" w:ascii="宋体" w:hAnsi="宋体" w:cs="仿宋_GB2312"/>
          <w:kern w:val="2"/>
          <w:sz w:val="24"/>
          <w:szCs w:val="28"/>
          <w:highlight w:val="none"/>
        </w:rPr>
        <w:t>被授权人（签字或盖章）</w:t>
      </w:r>
      <w:r>
        <w:rPr>
          <w:rFonts w:hint="eastAsia" w:ascii="宋体" w:hAnsi="宋体" w:cs="宋体"/>
          <w:kern w:val="2"/>
          <w:sz w:val="24"/>
          <w:szCs w:val="28"/>
          <w:highlight w:val="none"/>
        </w:rPr>
        <w:t>：</w:t>
      </w:r>
    </w:p>
    <w:p w14:paraId="1348945D">
      <w:pPr>
        <w:tabs>
          <w:tab w:val="left" w:pos="5665"/>
          <w:tab w:val="right" w:pos="8360"/>
        </w:tabs>
        <w:snapToGrid w:val="0"/>
        <w:spacing w:line="360" w:lineRule="auto"/>
        <w:ind w:right="42"/>
        <w:textAlignment w:val="baseline"/>
        <w:rPr>
          <w:rFonts w:ascii="宋体" w:hAnsi="宋体" w:cs="宋体"/>
          <w:color w:val="000000"/>
          <w:kern w:val="2"/>
          <w:sz w:val="24"/>
          <w:szCs w:val="28"/>
          <w:highlight w:val="none"/>
          <w:lang w:val="zh-CN"/>
        </w:rPr>
      </w:pPr>
      <w:r>
        <w:rPr>
          <w:rFonts w:hint="eastAsia" w:ascii="宋体" w:hAnsi="宋体" w:cs="宋体"/>
          <w:color w:val="000000"/>
          <w:kern w:val="2"/>
          <w:sz w:val="24"/>
          <w:szCs w:val="28"/>
          <w:highlight w:val="none"/>
          <w:lang w:val="zh-CN"/>
        </w:rPr>
        <w:t>日期：年月日</w:t>
      </w:r>
    </w:p>
    <w:p w14:paraId="2A7BDD64">
      <w:pPr>
        <w:adjustRightInd w:val="0"/>
        <w:snapToGrid w:val="0"/>
        <w:spacing w:line="360" w:lineRule="auto"/>
        <w:ind w:firstLine="494"/>
      </w:pPr>
    </w:p>
    <w:sectPr>
      <w:headerReference r:id="rId4" w:type="first"/>
      <w:footerReference r:id="rId6" w:type="first"/>
      <w:headerReference r:id="rId3" w:type="default"/>
      <w:footerReference r:id="rId5" w:type="default"/>
      <w:pgSz w:w="11906" w:h="16838"/>
      <w:pgMar w:top="1440" w:right="1080" w:bottom="1440" w:left="1080" w:header="851" w:footer="992"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enl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方正仿宋简体">
    <w:altName w:val="微软雅黑"/>
    <w:panose1 w:val="00000000000000000000"/>
    <w:charset w:val="86"/>
    <w:family w:val="auto"/>
    <w:pitch w:val="default"/>
    <w:sig w:usb0="00000000" w:usb1="00000000" w:usb2="00000000" w:usb3="00000000" w:csb0="00040000" w:csb1="00000000"/>
  </w:font>
  <w:font w:name="创艺简仿宋">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C413B">
    <w:pPr>
      <w:pStyle w:val="36"/>
      <w:jc w:val="center"/>
    </w:pPr>
    <w:r>
      <w:fldChar w:fldCharType="begin"/>
    </w:r>
    <w:r>
      <w:instrText xml:space="preserve"> PAGE   \* MERGEFORMAT </w:instrText>
    </w:r>
    <w:r>
      <w:fldChar w:fldCharType="separate"/>
    </w:r>
    <w:r>
      <w:rPr>
        <w:lang w:val="zh-CN"/>
      </w:rPr>
      <w:t>23</w:t>
    </w:r>
    <w:r>
      <w:rPr>
        <w:lang w:val="zh-CN"/>
      </w:rPr>
      <w:fldChar w:fldCharType="end"/>
    </w:r>
  </w:p>
  <w:p w14:paraId="2DF48DC6">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A442A">
    <w:pPr>
      <w:pStyle w:val="36"/>
      <w:jc w:val="center"/>
    </w:pPr>
    <w:r>
      <w:fldChar w:fldCharType="begin"/>
    </w:r>
    <w:r>
      <w:instrText xml:space="preserve"> PAGE   \* MERGEFORMAT </w:instrText>
    </w:r>
    <w:r>
      <w:fldChar w:fldCharType="separate"/>
    </w:r>
    <w:r>
      <w:rPr>
        <w:lang w:val="zh-CN"/>
      </w:rPr>
      <w:t>1</w:t>
    </w:r>
    <w:r>
      <w:rPr>
        <w:lang w:val="zh-CN"/>
      </w:rPr>
      <w:fldChar w:fldCharType="end"/>
    </w:r>
  </w:p>
  <w:p w14:paraId="1D9AF6D8">
    <w:pPr>
      <w:pStyle w:val="3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067C9">
    <w:pPr>
      <w:tabs>
        <w:tab w:val="left" w:pos="6300"/>
      </w:tabs>
      <w:spacing w:line="30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7FE57">
    <w:pPr>
      <w:tabs>
        <w:tab w:val="left" w:pos="6300"/>
      </w:tabs>
      <w:spacing w:line="30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7BC"/>
    <w:rsid w:val="00025167"/>
    <w:rsid w:val="000B6FF1"/>
    <w:rsid w:val="00134DF0"/>
    <w:rsid w:val="00194CCF"/>
    <w:rsid w:val="001A42E9"/>
    <w:rsid w:val="001B3505"/>
    <w:rsid w:val="00213CF6"/>
    <w:rsid w:val="002550E1"/>
    <w:rsid w:val="002B171F"/>
    <w:rsid w:val="002C7681"/>
    <w:rsid w:val="002D5BC7"/>
    <w:rsid w:val="002E1839"/>
    <w:rsid w:val="002F4311"/>
    <w:rsid w:val="00331BAC"/>
    <w:rsid w:val="0039280A"/>
    <w:rsid w:val="003B783F"/>
    <w:rsid w:val="003D0404"/>
    <w:rsid w:val="00442710"/>
    <w:rsid w:val="0048059A"/>
    <w:rsid w:val="00481700"/>
    <w:rsid w:val="0049626B"/>
    <w:rsid w:val="00497EBF"/>
    <w:rsid w:val="004D7D49"/>
    <w:rsid w:val="004E5414"/>
    <w:rsid w:val="00512B04"/>
    <w:rsid w:val="005319D6"/>
    <w:rsid w:val="00566BDD"/>
    <w:rsid w:val="00580F6D"/>
    <w:rsid w:val="005E60BB"/>
    <w:rsid w:val="006279A4"/>
    <w:rsid w:val="00636996"/>
    <w:rsid w:val="006750FC"/>
    <w:rsid w:val="006E73DD"/>
    <w:rsid w:val="007037BC"/>
    <w:rsid w:val="00704B9D"/>
    <w:rsid w:val="00711C88"/>
    <w:rsid w:val="00712A9D"/>
    <w:rsid w:val="00746FC5"/>
    <w:rsid w:val="0078143C"/>
    <w:rsid w:val="0078421A"/>
    <w:rsid w:val="007F3633"/>
    <w:rsid w:val="008322BB"/>
    <w:rsid w:val="0086070F"/>
    <w:rsid w:val="00884CB1"/>
    <w:rsid w:val="008A331B"/>
    <w:rsid w:val="008A7608"/>
    <w:rsid w:val="008D0640"/>
    <w:rsid w:val="00967A2A"/>
    <w:rsid w:val="009B4F28"/>
    <w:rsid w:val="009D662B"/>
    <w:rsid w:val="00A41B79"/>
    <w:rsid w:val="00AB1BBB"/>
    <w:rsid w:val="00AC0FD1"/>
    <w:rsid w:val="00AC1664"/>
    <w:rsid w:val="00AE38E7"/>
    <w:rsid w:val="00B077E4"/>
    <w:rsid w:val="00B363BB"/>
    <w:rsid w:val="00B955AE"/>
    <w:rsid w:val="00BB5650"/>
    <w:rsid w:val="00BE3EE1"/>
    <w:rsid w:val="00BF4161"/>
    <w:rsid w:val="00C040C7"/>
    <w:rsid w:val="00C5260B"/>
    <w:rsid w:val="00C7074E"/>
    <w:rsid w:val="00CD2178"/>
    <w:rsid w:val="00CE1391"/>
    <w:rsid w:val="00CF74DC"/>
    <w:rsid w:val="00D20E10"/>
    <w:rsid w:val="00D754EF"/>
    <w:rsid w:val="00DD27B7"/>
    <w:rsid w:val="00E0372F"/>
    <w:rsid w:val="00E24FE0"/>
    <w:rsid w:val="00E512D6"/>
    <w:rsid w:val="00E72AEB"/>
    <w:rsid w:val="00EA089A"/>
    <w:rsid w:val="00F44A1F"/>
    <w:rsid w:val="00F631CE"/>
    <w:rsid w:val="00F955E1"/>
    <w:rsid w:val="00FA3FCF"/>
    <w:rsid w:val="010D6029"/>
    <w:rsid w:val="011078C7"/>
    <w:rsid w:val="011E0236"/>
    <w:rsid w:val="013E61E2"/>
    <w:rsid w:val="014B08FF"/>
    <w:rsid w:val="0156177E"/>
    <w:rsid w:val="015772A4"/>
    <w:rsid w:val="016245C6"/>
    <w:rsid w:val="01D55B47"/>
    <w:rsid w:val="023B4FA2"/>
    <w:rsid w:val="02976EFE"/>
    <w:rsid w:val="02FE36F7"/>
    <w:rsid w:val="033A0C2B"/>
    <w:rsid w:val="036A7762"/>
    <w:rsid w:val="038F541B"/>
    <w:rsid w:val="039842CF"/>
    <w:rsid w:val="03A8028B"/>
    <w:rsid w:val="03B24C65"/>
    <w:rsid w:val="03C9092D"/>
    <w:rsid w:val="04293179"/>
    <w:rsid w:val="043553B6"/>
    <w:rsid w:val="04431478"/>
    <w:rsid w:val="04645078"/>
    <w:rsid w:val="04846602"/>
    <w:rsid w:val="04AB0032"/>
    <w:rsid w:val="04B2316F"/>
    <w:rsid w:val="04BF588C"/>
    <w:rsid w:val="050339CA"/>
    <w:rsid w:val="05105783"/>
    <w:rsid w:val="05445D91"/>
    <w:rsid w:val="05634469"/>
    <w:rsid w:val="05665CA4"/>
    <w:rsid w:val="05A735B4"/>
    <w:rsid w:val="05AC624D"/>
    <w:rsid w:val="05E27A84"/>
    <w:rsid w:val="05EC0902"/>
    <w:rsid w:val="05F22FFD"/>
    <w:rsid w:val="05F41565"/>
    <w:rsid w:val="05F96B7B"/>
    <w:rsid w:val="06037123"/>
    <w:rsid w:val="062F6A41"/>
    <w:rsid w:val="06A0349B"/>
    <w:rsid w:val="06BA1548"/>
    <w:rsid w:val="06BF1B73"/>
    <w:rsid w:val="06CD689B"/>
    <w:rsid w:val="06CE1DB6"/>
    <w:rsid w:val="06E25862"/>
    <w:rsid w:val="06E5236E"/>
    <w:rsid w:val="06E93094"/>
    <w:rsid w:val="06F061D0"/>
    <w:rsid w:val="06FC1689"/>
    <w:rsid w:val="07114E36"/>
    <w:rsid w:val="072A310F"/>
    <w:rsid w:val="07375BAD"/>
    <w:rsid w:val="07675E1B"/>
    <w:rsid w:val="077E558A"/>
    <w:rsid w:val="079E79DA"/>
    <w:rsid w:val="079F5D2A"/>
    <w:rsid w:val="07C136C9"/>
    <w:rsid w:val="07D4164E"/>
    <w:rsid w:val="07EF0236"/>
    <w:rsid w:val="08400A92"/>
    <w:rsid w:val="08444A26"/>
    <w:rsid w:val="08732C15"/>
    <w:rsid w:val="08DA2C94"/>
    <w:rsid w:val="091436A4"/>
    <w:rsid w:val="091D4253"/>
    <w:rsid w:val="0926412B"/>
    <w:rsid w:val="092E2FE0"/>
    <w:rsid w:val="094E3682"/>
    <w:rsid w:val="09502F56"/>
    <w:rsid w:val="096D1D5A"/>
    <w:rsid w:val="09710FA4"/>
    <w:rsid w:val="09954E0D"/>
    <w:rsid w:val="09D122E9"/>
    <w:rsid w:val="09E11F77"/>
    <w:rsid w:val="09F45FD8"/>
    <w:rsid w:val="09F61AD0"/>
    <w:rsid w:val="0A00672A"/>
    <w:rsid w:val="0A03028E"/>
    <w:rsid w:val="0A081A83"/>
    <w:rsid w:val="0AB45767"/>
    <w:rsid w:val="0ABF0394"/>
    <w:rsid w:val="0ABF65E6"/>
    <w:rsid w:val="0AFC7763"/>
    <w:rsid w:val="0B446AEB"/>
    <w:rsid w:val="0B5D7BAD"/>
    <w:rsid w:val="0B704DF1"/>
    <w:rsid w:val="0BBE689D"/>
    <w:rsid w:val="0BBF6171"/>
    <w:rsid w:val="0BCD2653"/>
    <w:rsid w:val="0BD47E6F"/>
    <w:rsid w:val="0BD87233"/>
    <w:rsid w:val="0BE758FC"/>
    <w:rsid w:val="0BF71DAF"/>
    <w:rsid w:val="0C2B47B0"/>
    <w:rsid w:val="0C6A2581"/>
    <w:rsid w:val="0C6D3E1F"/>
    <w:rsid w:val="0C7C7FF7"/>
    <w:rsid w:val="0C7E2B62"/>
    <w:rsid w:val="0C7E427E"/>
    <w:rsid w:val="0CA75583"/>
    <w:rsid w:val="0CF4009D"/>
    <w:rsid w:val="0CF63E15"/>
    <w:rsid w:val="0D570D57"/>
    <w:rsid w:val="0D7C6A10"/>
    <w:rsid w:val="0DB717F6"/>
    <w:rsid w:val="0E082052"/>
    <w:rsid w:val="0E107388"/>
    <w:rsid w:val="0E125B5B"/>
    <w:rsid w:val="0E3E6E0D"/>
    <w:rsid w:val="0E4137B5"/>
    <w:rsid w:val="0E481CCB"/>
    <w:rsid w:val="0E6E4C3F"/>
    <w:rsid w:val="0E7B0A75"/>
    <w:rsid w:val="0E7C659C"/>
    <w:rsid w:val="0E7F24D9"/>
    <w:rsid w:val="0F026AA1"/>
    <w:rsid w:val="0F1B7B63"/>
    <w:rsid w:val="0FA66E92"/>
    <w:rsid w:val="1081235D"/>
    <w:rsid w:val="108930FB"/>
    <w:rsid w:val="10A735CE"/>
    <w:rsid w:val="10B4201D"/>
    <w:rsid w:val="10DE709A"/>
    <w:rsid w:val="11074842"/>
    <w:rsid w:val="110E0B80"/>
    <w:rsid w:val="11200341"/>
    <w:rsid w:val="11360C84"/>
    <w:rsid w:val="11651569"/>
    <w:rsid w:val="116C28F7"/>
    <w:rsid w:val="118063A3"/>
    <w:rsid w:val="11C049F1"/>
    <w:rsid w:val="11D24E50"/>
    <w:rsid w:val="11E05DD9"/>
    <w:rsid w:val="11E63BAA"/>
    <w:rsid w:val="11F50B3F"/>
    <w:rsid w:val="12353631"/>
    <w:rsid w:val="12380A2C"/>
    <w:rsid w:val="12463DB9"/>
    <w:rsid w:val="12593B48"/>
    <w:rsid w:val="126B7053"/>
    <w:rsid w:val="12A6008B"/>
    <w:rsid w:val="13227CC2"/>
    <w:rsid w:val="132D18DC"/>
    <w:rsid w:val="13315BA7"/>
    <w:rsid w:val="134358DA"/>
    <w:rsid w:val="13806B2E"/>
    <w:rsid w:val="139A16DC"/>
    <w:rsid w:val="13A62514"/>
    <w:rsid w:val="13AD1DFD"/>
    <w:rsid w:val="13BF1404"/>
    <w:rsid w:val="13D32467"/>
    <w:rsid w:val="13E16B2F"/>
    <w:rsid w:val="13E946D3"/>
    <w:rsid w:val="14002981"/>
    <w:rsid w:val="144162BD"/>
    <w:rsid w:val="14506500"/>
    <w:rsid w:val="146B52D8"/>
    <w:rsid w:val="149C34F4"/>
    <w:rsid w:val="149F2FE4"/>
    <w:rsid w:val="14AD3953"/>
    <w:rsid w:val="14B33435"/>
    <w:rsid w:val="14C03686"/>
    <w:rsid w:val="14D7277E"/>
    <w:rsid w:val="15204125"/>
    <w:rsid w:val="154127E9"/>
    <w:rsid w:val="154F67B8"/>
    <w:rsid w:val="15747FCD"/>
    <w:rsid w:val="15783F61"/>
    <w:rsid w:val="15966195"/>
    <w:rsid w:val="15A46B04"/>
    <w:rsid w:val="15F31839"/>
    <w:rsid w:val="163C1B4B"/>
    <w:rsid w:val="16504596"/>
    <w:rsid w:val="166242C9"/>
    <w:rsid w:val="16832BBD"/>
    <w:rsid w:val="16D451C7"/>
    <w:rsid w:val="16F77107"/>
    <w:rsid w:val="16FC296F"/>
    <w:rsid w:val="170535D2"/>
    <w:rsid w:val="17190E2C"/>
    <w:rsid w:val="1739327C"/>
    <w:rsid w:val="17764D97"/>
    <w:rsid w:val="18351C95"/>
    <w:rsid w:val="183D2DA5"/>
    <w:rsid w:val="1844012A"/>
    <w:rsid w:val="186B3909"/>
    <w:rsid w:val="18950986"/>
    <w:rsid w:val="18C179CD"/>
    <w:rsid w:val="19263CD4"/>
    <w:rsid w:val="193B33BD"/>
    <w:rsid w:val="19582273"/>
    <w:rsid w:val="19706CFD"/>
    <w:rsid w:val="197607B7"/>
    <w:rsid w:val="198008CA"/>
    <w:rsid w:val="19893154"/>
    <w:rsid w:val="19A05834"/>
    <w:rsid w:val="19C82A93"/>
    <w:rsid w:val="19E73463"/>
    <w:rsid w:val="19F142E2"/>
    <w:rsid w:val="19FF2B15"/>
    <w:rsid w:val="1A09162B"/>
    <w:rsid w:val="1A295829"/>
    <w:rsid w:val="1A2E4BEE"/>
    <w:rsid w:val="1A304E0A"/>
    <w:rsid w:val="1A367D04"/>
    <w:rsid w:val="1A3D3083"/>
    <w:rsid w:val="1A5605E9"/>
    <w:rsid w:val="1A732F49"/>
    <w:rsid w:val="1A7A42D7"/>
    <w:rsid w:val="1A7C7CA6"/>
    <w:rsid w:val="1A7F5449"/>
    <w:rsid w:val="1B0E4A1F"/>
    <w:rsid w:val="1B1C7DC9"/>
    <w:rsid w:val="1B2D4F21"/>
    <w:rsid w:val="1B46240B"/>
    <w:rsid w:val="1B530684"/>
    <w:rsid w:val="1B707488"/>
    <w:rsid w:val="1B7142D7"/>
    <w:rsid w:val="1B9F7CA6"/>
    <w:rsid w:val="1BAF61A1"/>
    <w:rsid w:val="1BB235FD"/>
    <w:rsid w:val="1BB43819"/>
    <w:rsid w:val="1BBE1FA1"/>
    <w:rsid w:val="1BCA4DEA"/>
    <w:rsid w:val="1BE22134"/>
    <w:rsid w:val="1C4032FE"/>
    <w:rsid w:val="1C416EF8"/>
    <w:rsid w:val="1C5020B1"/>
    <w:rsid w:val="1C5446B4"/>
    <w:rsid w:val="1C5823F6"/>
    <w:rsid w:val="1C62060E"/>
    <w:rsid w:val="1CA32066"/>
    <w:rsid w:val="1CC57360"/>
    <w:rsid w:val="1D0F7001"/>
    <w:rsid w:val="1D2642A2"/>
    <w:rsid w:val="1D40236B"/>
    <w:rsid w:val="1D532BBD"/>
    <w:rsid w:val="1D5B2BE4"/>
    <w:rsid w:val="1DB96EC4"/>
    <w:rsid w:val="1DC00253"/>
    <w:rsid w:val="1DCF0496"/>
    <w:rsid w:val="1DE0617B"/>
    <w:rsid w:val="1DF779ED"/>
    <w:rsid w:val="1E450758"/>
    <w:rsid w:val="1E560BB7"/>
    <w:rsid w:val="1E5614CA"/>
    <w:rsid w:val="1E62130A"/>
    <w:rsid w:val="1E8A18BA"/>
    <w:rsid w:val="1E967206"/>
    <w:rsid w:val="1E9D2342"/>
    <w:rsid w:val="1EB3600A"/>
    <w:rsid w:val="1EC91389"/>
    <w:rsid w:val="1ECC2C27"/>
    <w:rsid w:val="1EE937D9"/>
    <w:rsid w:val="1F244811"/>
    <w:rsid w:val="1F2C72E7"/>
    <w:rsid w:val="1F3507CD"/>
    <w:rsid w:val="1F417171"/>
    <w:rsid w:val="1F444EB4"/>
    <w:rsid w:val="1F464788"/>
    <w:rsid w:val="1F7E2174"/>
    <w:rsid w:val="1FE97E8D"/>
    <w:rsid w:val="1FEA15B7"/>
    <w:rsid w:val="20125CE3"/>
    <w:rsid w:val="20214956"/>
    <w:rsid w:val="20232D1B"/>
    <w:rsid w:val="206C021E"/>
    <w:rsid w:val="207B4905"/>
    <w:rsid w:val="207E61A3"/>
    <w:rsid w:val="20B83463"/>
    <w:rsid w:val="20DA5ACF"/>
    <w:rsid w:val="21063081"/>
    <w:rsid w:val="212E3725"/>
    <w:rsid w:val="21514020"/>
    <w:rsid w:val="21556F04"/>
    <w:rsid w:val="21842B2E"/>
    <w:rsid w:val="219A04CF"/>
    <w:rsid w:val="21AD635B"/>
    <w:rsid w:val="21DC13D3"/>
    <w:rsid w:val="220426D8"/>
    <w:rsid w:val="220A23E4"/>
    <w:rsid w:val="220D1865"/>
    <w:rsid w:val="22160D89"/>
    <w:rsid w:val="22347461"/>
    <w:rsid w:val="22A87507"/>
    <w:rsid w:val="22B8515B"/>
    <w:rsid w:val="22C2681B"/>
    <w:rsid w:val="22CC31F6"/>
    <w:rsid w:val="22E744D4"/>
    <w:rsid w:val="231A4415"/>
    <w:rsid w:val="231A6F78"/>
    <w:rsid w:val="2342795C"/>
    <w:rsid w:val="23586F64"/>
    <w:rsid w:val="2358717F"/>
    <w:rsid w:val="2369313B"/>
    <w:rsid w:val="236E0751"/>
    <w:rsid w:val="23841370"/>
    <w:rsid w:val="238B30B1"/>
    <w:rsid w:val="238E494F"/>
    <w:rsid w:val="23A45F21"/>
    <w:rsid w:val="23E17FBE"/>
    <w:rsid w:val="24101808"/>
    <w:rsid w:val="241A75B5"/>
    <w:rsid w:val="24561D87"/>
    <w:rsid w:val="24613E12"/>
    <w:rsid w:val="246F29D3"/>
    <w:rsid w:val="248875F1"/>
    <w:rsid w:val="248F6BD1"/>
    <w:rsid w:val="249146F7"/>
    <w:rsid w:val="249840F4"/>
    <w:rsid w:val="24E36DCF"/>
    <w:rsid w:val="24FD1D8D"/>
    <w:rsid w:val="250824DF"/>
    <w:rsid w:val="250F386E"/>
    <w:rsid w:val="252235A1"/>
    <w:rsid w:val="25276E09"/>
    <w:rsid w:val="252C4420"/>
    <w:rsid w:val="254E083A"/>
    <w:rsid w:val="2584399A"/>
    <w:rsid w:val="25D86356"/>
    <w:rsid w:val="25EB7E37"/>
    <w:rsid w:val="264A1001"/>
    <w:rsid w:val="264F486A"/>
    <w:rsid w:val="268D7140"/>
    <w:rsid w:val="26AD1590"/>
    <w:rsid w:val="26E256DE"/>
    <w:rsid w:val="2705317A"/>
    <w:rsid w:val="27147861"/>
    <w:rsid w:val="2720475B"/>
    <w:rsid w:val="273F0604"/>
    <w:rsid w:val="274C6FFB"/>
    <w:rsid w:val="2758774E"/>
    <w:rsid w:val="281C3BC3"/>
    <w:rsid w:val="282D0BDB"/>
    <w:rsid w:val="287D18DA"/>
    <w:rsid w:val="287D5350"/>
    <w:rsid w:val="289E73E3"/>
    <w:rsid w:val="28BD7C51"/>
    <w:rsid w:val="28C50E13"/>
    <w:rsid w:val="28D14EE0"/>
    <w:rsid w:val="29115E06"/>
    <w:rsid w:val="29437F8A"/>
    <w:rsid w:val="294B487E"/>
    <w:rsid w:val="29583A35"/>
    <w:rsid w:val="295D729E"/>
    <w:rsid w:val="29631B1C"/>
    <w:rsid w:val="29820AB2"/>
    <w:rsid w:val="298A7967"/>
    <w:rsid w:val="2996630C"/>
    <w:rsid w:val="299F6168"/>
    <w:rsid w:val="29E74DB9"/>
    <w:rsid w:val="2A0C4820"/>
    <w:rsid w:val="2A0E67EA"/>
    <w:rsid w:val="2A0F5E0A"/>
    <w:rsid w:val="2A202079"/>
    <w:rsid w:val="2A2A5326"/>
    <w:rsid w:val="2A834AE2"/>
    <w:rsid w:val="2A895E70"/>
    <w:rsid w:val="2A9A1E2C"/>
    <w:rsid w:val="2AA42CAA"/>
    <w:rsid w:val="2AA9206F"/>
    <w:rsid w:val="2AAD1B5F"/>
    <w:rsid w:val="2AB47391"/>
    <w:rsid w:val="2AED28A3"/>
    <w:rsid w:val="2AED63FF"/>
    <w:rsid w:val="2B624CD3"/>
    <w:rsid w:val="2B6A3EF4"/>
    <w:rsid w:val="2B9D6077"/>
    <w:rsid w:val="2BB2610A"/>
    <w:rsid w:val="2BBD4024"/>
    <w:rsid w:val="2BCB1F87"/>
    <w:rsid w:val="2C237ADB"/>
    <w:rsid w:val="2C3B319A"/>
    <w:rsid w:val="2C4D4F76"/>
    <w:rsid w:val="2C500A96"/>
    <w:rsid w:val="2C644CEB"/>
    <w:rsid w:val="2C7E3C95"/>
    <w:rsid w:val="2C9C0C93"/>
    <w:rsid w:val="2C9C1E8B"/>
    <w:rsid w:val="2CA12159"/>
    <w:rsid w:val="2CA86A82"/>
    <w:rsid w:val="2CAB2CBB"/>
    <w:rsid w:val="2CB903E0"/>
    <w:rsid w:val="2CBF201D"/>
    <w:rsid w:val="2CC31B0E"/>
    <w:rsid w:val="2CD474A0"/>
    <w:rsid w:val="2CEA709A"/>
    <w:rsid w:val="2CEC1AA6"/>
    <w:rsid w:val="2D2500D2"/>
    <w:rsid w:val="2D2D51D9"/>
    <w:rsid w:val="2D320A41"/>
    <w:rsid w:val="2D46629B"/>
    <w:rsid w:val="2D4744ED"/>
    <w:rsid w:val="2D621327"/>
    <w:rsid w:val="2D687FBF"/>
    <w:rsid w:val="2D71156A"/>
    <w:rsid w:val="2D8D3ECA"/>
    <w:rsid w:val="2DCA2A28"/>
    <w:rsid w:val="2DD71EA4"/>
    <w:rsid w:val="2DF857E7"/>
    <w:rsid w:val="2E3A13E1"/>
    <w:rsid w:val="2E8D005E"/>
    <w:rsid w:val="2EAB2859"/>
    <w:rsid w:val="2EDA313F"/>
    <w:rsid w:val="2EE1627B"/>
    <w:rsid w:val="2EF75A9F"/>
    <w:rsid w:val="2F0F103A"/>
    <w:rsid w:val="2F210D6D"/>
    <w:rsid w:val="2F2A7C22"/>
    <w:rsid w:val="2F2B74F6"/>
    <w:rsid w:val="2FB83480"/>
    <w:rsid w:val="2FBB6ACC"/>
    <w:rsid w:val="2FC33BD3"/>
    <w:rsid w:val="2FCA4F61"/>
    <w:rsid w:val="30055F99"/>
    <w:rsid w:val="30087837"/>
    <w:rsid w:val="303074BA"/>
    <w:rsid w:val="309D1F14"/>
    <w:rsid w:val="30B045BA"/>
    <w:rsid w:val="30EE230F"/>
    <w:rsid w:val="312B1A2F"/>
    <w:rsid w:val="3143321D"/>
    <w:rsid w:val="314F1BC2"/>
    <w:rsid w:val="3162636F"/>
    <w:rsid w:val="318555E4"/>
    <w:rsid w:val="31C63E9A"/>
    <w:rsid w:val="31DC0F7C"/>
    <w:rsid w:val="321C75CA"/>
    <w:rsid w:val="32225A8D"/>
    <w:rsid w:val="323243B7"/>
    <w:rsid w:val="324F1E45"/>
    <w:rsid w:val="325D030E"/>
    <w:rsid w:val="327E5E4D"/>
    <w:rsid w:val="32821B23"/>
    <w:rsid w:val="32867865"/>
    <w:rsid w:val="32AD1D1E"/>
    <w:rsid w:val="32C51A10"/>
    <w:rsid w:val="32D63C1D"/>
    <w:rsid w:val="32F72511"/>
    <w:rsid w:val="33186790"/>
    <w:rsid w:val="33572FB0"/>
    <w:rsid w:val="3377156E"/>
    <w:rsid w:val="338813BB"/>
    <w:rsid w:val="33F86541"/>
    <w:rsid w:val="340C3D9A"/>
    <w:rsid w:val="342950FC"/>
    <w:rsid w:val="34663484"/>
    <w:rsid w:val="348558FB"/>
    <w:rsid w:val="34AC5BDC"/>
    <w:rsid w:val="34D15006"/>
    <w:rsid w:val="34EC597A"/>
    <w:rsid w:val="34FF745B"/>
    <w:rsid w:val="350A5F9E"/>
    <w:rsid w:val="350E3B42"/>
    <w:rsid w:val="35131158"/>
    <w:rsid w:val="35134CB4"/>
    <w:rsid w:val="35546B2F"/>
    <w:rsid w:val="35725E7F"/>
    <w:rsid w:val="35773495"/>
    <w:rsid w:val="35AB1391"/>
    <w:rsid w:val="35BA0B37"/>
    <w:rsid w:val="35DE52C2"/>
    <w:rsid w:val="35E054DE"/>
    <w:rsid w:val="36080591"/>
    <w:rsid w:val="36782179"/>
    <w:rsid w:val="36794FEB"/>
    <w:rsid w:val="36C22E36"/>
    <w:rsid w:val="36CC530B"/>
    <w:rsid w:val="36D410BA"/>
    <w:rsid w:val="37357164"/>
    <w:rsid w:val="37485765"/>
    <w:rsid w:val="375A6BCB"/>
    <w:rsid w:val="37620175"/>
    <w:rsid w:val="376B702A"/>
    <w:rsid w:val="3776777C"/>
    <w:rsid w:val="37893954"/>
    <w:rsid w:val="379522F8"/>
    <w:rsid w:val="37CB3035"/>
    <w:rsid w:val="37D20E57"/>
    <w:rsid w:val="37F76B0F"/>
    <w:rsid w:val="37FC11D6"/>
    <w:rsid w:val="38003C16"/>
    <w:rsid w:val="381A771B"/>
    <w:rsid w:val="381E409C"/>
    <w:rsid w:val="38431D54"/>
    <w:rsid w:val="386E213C"/>
    <w:rsid w:val="3872263A"/>
    <w:rsid w:val="38B92017"/>
    <w:rsid w:val="39194C1E"/>
    <w:rsid w:val="393E01A9"/>
    <w:rsid w:val="396379DA"/>
    <w:rsid w:val="39BA1BA2"/>
    <w:rsid w:val="39EA6B1D"/>
    <w:rsid w:val="3A296D28"/>
    <w:rsid w:val="3A306308"/>
    <w:rsid w:val="3A7B3A28"/>
    <w:rsid w:val="3AB51493"/>
    <w:rsid w:val="3AE72E6B"/>
    <w:rsid w:val="3AF835D9"/>
    <w:rsid w:val="3B0A4DAB"/>
    <w:rsid w:val="3B0A4EFB"/>
    <w:rsid w:val="3B3836C7"/>
    <w:rsid w:val="3B455DE4"/>
    <w:rsid w:val="3B4958D4"/>
    <w:rsid w:val="3B673FAC"/>
    <w:rsid w:val="3BAF46A3"/>
    <w:rsid w:val="3BD11425"/>
    <w:rsid w:val="3BDF1D94"/>
    <w:rsid w:val="3BE86E9B"/>
    <w:rsid w:val="3C0D06AF"/>
    <w:rsid w:val="3C145EE2"/>
    <w:rsid w:val="3C1732DC"/>
    <w:rsid w:val="3C2B6D87"/>
    <w:rsid w:val="3C2E57B8"/>
    <w:rsid w:val="3C406CD7"/>
    <w:rsid w:val="3C6B187A"/>
    <w:rsid w:val="3C7B7D0F"/>
    <w:rsid w:val="3C8D6458"/>
    <w:rsid w:val="3C9708C1"/>
    <w:rsid w:val="3CA37521"/>
    <w:rsid w:val="3CD1792F"/>
    <w:rsid w:val="3CF03B2D"/>
    <w:rsid w:val="3CFB6142"/>
    <w:rsid w:val="3D281519"/>
    <w:rsid w:val="3D94095C"/>
    <w:rsid w:val="3DA23079"/>
    <w:rsid w:val="3DAD20DD"/>
    <w:rsid w:val="3DB8289D"/>
    <w:rsid w:val="3DBA4867"/>
    <w:rsid w:val="3DEA3FF8"/>
    <w:rsid w:val="3DEB4A20"/>
    <w:rsid w:val="3DF17B5D"/>
    <w:rsid w:val="3DFD4754"/>
    <w:rsid w:val="3E012496"/>
    <w:rsid w:val="3E047890"/>
    <w:rsid w:val="3E195671"/>
    <w:rsid w:val="3E3C262A"/>
    <w:rsid w:val="3E5325C6"/>
    <w:rsid w:val="3E860BED"/>
    <w:rsid w:val="3E892452"/>
    <w:rsid w:val="3E90381A"/>
    <w:rsid w:val="3E923119"/>
    <w:rsid w:val="3EA60AF7"/>
    <w:rsid w:val="3ECC2AA4"/>
    <w:rsid w:val="3EDB2CE7"/>
    <w:rsid w:val="3EDE199E"/>
    <w:rsid w:val="3EFE4C27"/>
    <w:rsid w:val="3F1104B7"/>
    <w:rsid w:val="3F1B7587"/>
    <w:rsid w:val="3F562D65"/>
    <w:rsid w:val="3F6F78D3"/>
    <w:rsid w:val="3F7E3672"/>
    <w:rsid w:val="3F872DE1"/>
    <w:rsid w:val="3FD414E4"/>
    <w:rsid w:val="3FEC2CD2"/>
    <w:rsid w:val="3FFD4EDF"/>
    <w:rsid w:val="401F3597"/>
    <w:rsid w:val="404D19C2"/>
    <w:rsid w:val="40520D87"/>
    <w:rsid w:val="40A67324"/>
    <w:rsid w:val="40AB0497"/>
    <w:rsid w:val="40BD6D76"/>
    <w:rsid w:val="40D50BD5"/>
    <w:rsid w:val="40DA6FCE"/>
    <w:rsid w:val="40E045E4"/>
    <w:rsid w:val="40EB2F89"/>
    <w:rsid w:val="40FA10F3"/>
    <w:rsid w:val="410A78B3"/>
    <w:rsid w:val="41320BB8"/>
    <w:rsid w:val="414D3274"/>
    <w:rsid w:val="414D59F2"/>
    <w:rsid w:val="41774922"/>
    <w:rsid w:val="41A05B22"/>
    <w:rsid w:val="41CD5879"/>
    <w:rsid w:val="423D15C3"/>
    <w:rsid w:val="42594B93"/>
    <w:rsid w:val="427D25EE"/>
    <w:rsid w:val="429E4757"/>
    <w:rsid w:val="42CD0B98"/>
    <w:rsid w:val="42DA1507"/>
    <w:rsid w:val="42F8373B"/>
    <w:rsid w:val="42F904F0"/>
    <w:rsid w:val="431C38CE"/>
    <w:rsid w:val="43362BE2"/>
    <w:rsid w:val="43A17351"/>
    <w:rsid w:val="43C62D7F"/>
    <w:rsid w:val="43EE7018"/>
    <w:rsid w:val="43FD1DA6"/>
    <w:rsid w:val="44112D07"/>
    <w:rsid w:val="4488686A"/>
    <w:rsid w:val="448E25A9"/>
    <w:rsid w:val="449B0BEE"/>
    <w:rsid w:val="44B26298"/>
    <w:rsid w:val="44B6565C"/>
    <w:rsid w:val="44CE2F62"/>
    <w:rsid w:val="44D83825"/>
    <w:rsid w:val="44F763A1"/>
    <w:rsid w:val="4545710C"/>
    <w:rsid w:val="454A0C8D"/>
    <w:rsid w:val="45611A6C"/>
    <w:rsid w:val="4577303D"/>
    <w:rsid w:val="45815C6A"/>
    <w:rsid w:val="45912351"/>
    <w:rsid w:val="45E30ABA"/>
    <w:rsid w:val="45F20916"/>
    <w:rsid w:val="45F97EF6"/>
    <w:rsid w:val="45FB2391"/>
    <w:rsid w:val="45FB7884"/>
    <w:rsid w:val="46040D75"/>
    <w:rsid w:val="46144D30"/>
    <w:rsid w:val="461E157D"/>
    <w:rsid w:val="465A6BE7"/>
    <w:rsid w:val="46601D24"/>
    <w:rsid w:val="466E2692"/>
    <w:rsid w:val="468A03EE"/>
    <w:rsid w:val="46B8390E"/>
    <w:rsid w:val="46CE3131"/>
    <w:rsid w:val="46DC584E"/>
    <w:rsid w:val="46E316D5"/>
    <w:rsid w:val="46E42955"/>
    <w:rsid w:val="46F506BE"/>
    <w:rsid w:val="46F56910"/>
    <w:rsid w:val="47081626"/>
    <w:rsid w:val="472D60AA"/>
    <w:rsid w:val="4732546E"/>
    <w:rsid w:val="473531B0"/>
    <w:rsid w:val="47533103"/>
    <w:rsid w:val="477E06B3"/>
    <w:rsid w:val="47C42849"/>
    <w:rsid w:val="47FC782A"/>
    <w:rsid w:val="480C5CBF"/>
    <w:rsid w:val="48117779"/>
    <w:rsid w:val="48164D90"/>
    <w:rsid w:val="4820176A"/>
    <w:rsid w:val="482F19AD"/>
    <w:rsid w:val="4854780C"/>
    <w:rsid w:val="486D24D6"/>
    <w:rsid w:val="487D4E0F"/>
    <w:rsid w:val="48DD58AD"/>
    <w:rsid w:val="48EB3B64"/>
    <w:rsid w:val="491237A9"/>
    <w:rsid w:val="4929464F"/>
    <w:rsid w:val="495F62C2"/>
    <w:rsid w:val="498E0956"/>
    <w:rsid w:val="498F4DFA"/>
    <w:rsid w:val="499E6DEB"/>
    <w:rsid w:val="49A07007"/>
    <w:rsid w:val="49BE748D"/>
    <w:rsid w:val="49E65525"/>
    <w:rsid w:val="49F22ADE"/>
    <w:rsid w:val="49F92273"/>
    <w:rsid w:val="4A105A82"/>
    <w:rsid w:val="4A1277D9"/>
    <w:rsid w:val="4A2117CA"/>
    <w:rsid w:val="4A2B4A1C"/>
    <w:rsid w:val="4A2F038B"/>
    <w:rsid w:val="4A370FED"/>
    <w:rsid w:val="4A767D68"/>
    <w:rsid w:val="4A7838D6"/>
    <w:rsid w:val="4A987CDE"/>
    <w:rsid w:val="4AB663B6"/>
    <w:rsid w:val="4AC62A9D"/>
    <w:rsid w:val="4AE50A49"/>
    <w:rsid w:val="4B005883"/>
    <w:rsid w:val="4B0233A9"/>
    <w:rsid w:val="4B3C3DE5"/>
    <w:rsid w:val="4B8E2E8F"/>
    <w:rsid w:val="4B985ABC"/>
    <w:rsid w:val="4BA542EC"/>
    <w:rsid w:val="4BBE3774"/>
    <w:rsid w:val="4BC35DAF"/>
    <w:rsid w:val="4BD44D46"/>
    <w:rsid w:val="4BD54289"/>
    <w:rsid w:val="4BF058F8"/>
    <w:rsid w:val="4C261319"/>
    <w:rsid w:val="4C35316B"/>
    <w:rsid w:val="4C934C01"/>
    <w:rsid w:val="4C9D5A7F"/>
    <w:rsid w:val="4CEC4311"/>
    <w:rsid w:val="4CFD02CC"/>
    <w:rsid w:val="4D4C735D"/>
    <w:rsid w:val="4D5F2D35"/>
    <w:rsid w:val="4D754306"/>
    <w:rsid w:val="4D7F6F33"/>
    <w:rsid w:val="4DA10F2C"/>
    <w:rsid w:val="4DB017E2"/>
    <w:rsid w:val="4DB622F0"/>
    <w:rsid w:val="4DD454D1"/>
    <w:rsid w:val="4DF23BA9"/>
    <w:rsid w:val="4E451F2B"/>
    <w:rsid w:val="4E492C51"/>
    <w:rsid w:val="4E4A5793"/>
    <w:rsid w:val="4E5C1022"/>
    <w:rsid w:val="4E7E71EB"/>
    <w:rsid w:val="4E81093F"/>
    <w:rsid w:val="4EA053B3"/>
    <w:rsid w:val="4EA76741"/>
    <w:rsid w:val="4EBD41B7"/>
    <w:rsid w:val="4EC414C8"/>
    <w:rsid w:val="4EE80B08"/>
    <w:rsid w:val="4F2C4E99"/>
    <w:rsid w:val="4F332EB2"/>
    <w:rsid w:val="4F33356C"/>
    <w:rsid w:val="4F45079D"/>
    <w:rsid w:val="4F471CD3"/>
    <w:rsid w:val="4F6208BA"/>
    <w:rsid w:val="4F9842DC"/>
    <w:rsid w:val="4FA64C4B"/>
    <w:rsid w:val="4FBD1F95"/>
    <w:rsid w:val="4FE63299"/>
    <w:rsid w:val="500C5C5D"/>
    <w:rsid w:val="503A35E5"/>
    <w:rsid w:val="50447FC0"/>
    <w:rsid w:val="50566671"/>
    <w:rsid w:val="505F4DFA"/>
    <w:rsid w:val="508D5E0B"/>
    <w:rsid w:val="50942CF5"/>
    <w:rsid w:val="50AF5D81"/>
    <w:rsid w:val="50C7131D"/>
    <w:rsid w:val="50D21A70"/>
    <w:rsid w:val="50EA500B"/>
    <w:rsid w:val="50FA0E62"/>
    <w:rsid w:val="50FB4B23"/>
    <w:rsid w:val="50FC5468"/>
    <w:rsid w:val="51045D31"/>
    <w:rsid w:val="51121B77"/>
    <w:rsid w:val="5119236A"/>
    <w:rsid w:val="512F5063"/>
    <w:rsid w:val="51426BF5"/>
    <w:rsid w:val="51491D32"/>
    <w:rsid w:val="514C537E"/>
    <w:rsid w:val="515B1A65"/>
    <w:rsid w:val="518D035D"/>
    <w:rsid w:val="51B36B20"/>
    <w:rsid w:val="51B64EEE"/>
    <w:rsid w:val="51BC0756"/>
    <w:rsid w:val="51BD002A"/>
    <w:rsid w:val="51C4760A"/>
    <w:rsid w:val="51D81308"/>
    <w:rsid w:val="51DD247A"/>
    <w:rsid w:val="51DF4444"/>
    <w:rsid w:val="520774F7"/>
    <w:rsid w:val="521F2A93"/>
    <w:rsid w:val="522E6D7E"/>
    <w:rsid w:val="52303F7A"/>
    <w:rsid w:val="526A70ED"/>
    <w:rsid w:val="5278770A"/>
    <w:rsid w:val="527903F5"/>
    <w:rsid w:val="52860D64"/>
    <w:rsid w:val="52BC6534"/>
    <w:rsid w:val="52C11D9C"/>
    <w:rsid w:val="52C35B14"/>
    <w:rsid w:val="52EA3926"/>
    <w:rsid w:val="52ED493F"/>
    <w:rsid w:val="52F61A46"/>
    <w:rsid w:val="530E480C"/>
    <w:rsid w:val="53146370"/>
    <w:rsid w:val="53255A89"/>
    <w:rsid w:val="532F31A9"/>
    <w:rsid w:val="53346859"/>
    <w:rsid w:val="534E1882"/>
    <w:rsid w:val="535B7AFB"/>
    <w:rsid w:val="53760DD8"/>
    <w:rsid w:val="53937282"/>
    <w:rsid w:val="53967073"/>
    <w:rsid w:val="539B439B"/>
    <w:rsid w:val="53AC0356"/>
    <w:rsid w:val="53C211FA"/>
    <w:rsid w:val="53FC0BBB"/>
    <w:rsid w:val="53FD5056"/>
    <w:rsid w:val="540D028D"/>
    <w:rsid w:val="54316AC5"/>
    <w:rsid w:val="54436F0C"/>
    <w:rsid w:val="545D78A2"/>
    <w:rsid w:val="54AF45A2"/>
    <w:rsid w:val="55023D73"/>
    <w:rsid w:val="550A5C7C"/>
    <w:rsid w:val="550F5041"/>
    <w:rsid w:val="55191A1B"/>
    <w:rsid w:val="554271C4"/>
    <w:rsid w:val="55551C7E"/>
    <w:rsid w:val="558477DD"/>
    <w:rsid w:val="55CF47D0"/>
    <w:rsid w:val="55F11D7B"/>
    <w:rsid w:val="55FC68E1"/>
    <w:rsid w:val="56004989"/>
    <w:rsid w:val="560E70A6"/>
    <w:rsid w:val="56112C65"/>
    <w:rsid w:val="56313D89"/>
    <w:rsid w:val="5632548A"/>
    <w:rsid w:val="56582A17"/>
    <w:rsid w:val="56715C20"/>
    <w:rsid w:val="56C16DC1"/>
    <w:rsid w:val="56CD5913"/>
    <w:rsid w:val="56E61DD1"/>
    <w:rsid w:val="57256D9D"/>
    <w:rsid w:val="574A6804"/>
    <w:rsid w:val="575136EE"/>
    <w:rsid w:val="575B456D"/>
    <w:rsid w:val="5784604E"/>
    <w:rsid w:val="579161E1"/>
    <w:rsid w:val="57AD28EF"/>
    <w:rsid w:val="57CA16F3"/>
    <w:rsid w:val="57FB7AFE"/>
    <w:rsid w:val="58062D10"/>
    <w:rsid w:val="582901C7"/>
    <w:rsid w:val="58366D88"/>
    <w:rsid w:val="585B1212"/>
    <w:rsid w:val="587578B0"/>
    <w:rsid w:val="587D49B7"/>
    <w:rsid w:val="58CB5722"/>
    <w:rsid w:val="58DF11CE"/>
    <w:rsid w:val="58F06F37"/>
    <w:rsid w:val="590B5B1F"/>
    <w:rsid w:val="591C5F7E"/>
    <w:rsid w:val="59374B66"/>
    <w:rsid w:val="5976568E"/>
    <w:rsid w:val="598633F7"/>
    <w:rsid w:val="59937B23"/>
    <w:rsid w:val="59A939BA"/>
    <w:rsid w:val="59B4129B"/>
    <w:rsid w:val="59E36A9C"/>
    <w:rsid w:val="5A160C1F"/>
    <w:rsid w:val="5A3D7F5A"/>
    <w:rsid w:val="5A83754C"/>
    <w:rsid w:val="5AA955EF"/>
    <w:rsid w:val="5AF80325"/>
    <w:rsid w:val="5B0942E0"/>
    <w:rsid w:val="5B1A64ED"/>
    <w:rsid w:val="5B242EC8"/>
    <w:rsid w:val="5B3441F1"/>
    <w:rsid w:val="5B5C6B06"/>
    <w:rsid w:val="5B5F2152"/>
    <w:rsid w:val="5BB406F0"/>
    <w:rsid w:val="5BD14DFE"/>
    <w:rsid w:val="5BD62414"/>
    <w:rsid w:val="5BE36C26"/>
    <w:rsid w:val="5BF22FC6"/>
    <w:rsid w:val="5C013209"/>
    <w:rsid w:val="5C381321"/>
    <w:rsid w:val="5C3929A3"/>
    <w:rsid w:val="5C91458D"/>
    <w:rsid w:val="5C9B1857"/>
    <w:rsid w:val="5CAC586B"/>
    <w:rsid w:val="5CAC7619"/>
    <w:rsid w:val="5CB951BF"/>
    <w:rsid w:val="5CC10F05"/>
    <w:rsid w:val="5CEC5C67"/>
    <w:rsid w:val="5CF07506"/>
    <w:rsid w:val="5D0E3E30"/>
    <w:rsid w:val="5D12084D"/>
    <w:rsid w:val="5D203B71"/>
    <w:rsid w:val="5D543F38"/>
    <w:rsid w:val="5D587CCB"/>
    <w:rsid w:val="5D61318B"/>
    <w:rsid w:val="5D704AEA"/>
    <w:rsid w:val="5E0E058B"/>
    <w:rsid w:val="5E211941"/>
    <w:rsid w:val="5E3E5F21"/>
    <w:rsid w:val="5E46735B"/>
    <w:rsid w:val="5E5B48D9"/>
    <w:rsid w:val="5E677C9B"/>
    <w:rsid w:val="5E7F4FE5"/>
    <w:rsid w:val="5E9860A7"/>
    <w:rsid w:val="5E9B16F3"/>
    <w:rsid w:val="5EB629D1"/>
    <w:rsid w:val="5ED05841"/>
    <w:rsid w:val="5EE4163F"/>
    <w:rsid w:val="5EF016A4"/>
    <w:rsid w:val="5F196F61"/>
    <w:rsid w:val="5F3A715E"/>
    <w:rsid w:val="5F4F0E5B"/>
    <w:rsid w:val="5F530220"/>
    <w:rsid w:val="5F5715A6"/>
    <w:rsid w:val="5F5C53FD"/>
    <w:rsid w:val="5F7165CC"/>
    <w:rsid w:val="5F79590E"/>
    <w:rsid w:val="5F93061C"/>
    <w:rsid w:val="5FED2422"/>
    <w:rsid w:val="5FFC31F6"/>
    <w:rsid w:val="600C0AFA"/>
    <w:rsid w:val="60173C02"/>
    <w:rsid w:val="604F0C57"/>
    <w:rsid w:val="605B738C"/>
    <w:rsid w:val="60B116A2"/>
    <w:rsid w:val="60E530F9"/>
    <w:rsid w:val="60E90E3C"/>
    <w:rsid w:val="60E94998"/>
    <w:rsid w:val="612105D5"/>
    <w:rsid w:val="614C3178"/>
    <w:rsid w:val="61700C15"/>
    <w:rsid w:val="61891CD7"/>
    <w:rsid w:val="61957C8B"/>
    <w:rsid w:val="61CD250B"/>
    <w:rsid w:val="61CD42B9"/>
    <w:rsid w:val="61D45648"/>
    <w:rsid w:val="62201384"/>
    <w:rsid w:val="624A3B5C"/>
    <w:rsid w:val="626C655C"/>
    <w:rsid w:val="62764951"/>
    <w:rsid w:val="6299419B"/>
    <w:rsid w:val="62A96AD4"/>
    <w:rsid w:val="62AA0157"/>
    <w:rsid w:val="62CC27C3"/>
    <w:rsid w:val="62CF7BBD"/>
    <w:rsid w:val="62E80C7F"/>
    <w:rsid w:val="63076078"/>
    <w:rsid w:val="630E685B"/>
    <w:rsid w:val="63220635"/>
    <w:rsid w:val="632D5246"/>
    <w:rsid w:val="632F7830"/>
    <w:rsid w:val="63304B00"/>
    <w:rsid w:val="63367C3C"/>
    <w:rsid w:val="633B327E"/>
    <w:rsid w:val="633F4D43"/>
    <w:rsid w:val="635D1376"/>
    <w:rsid w:val="63892462"/>
    <w:rsid w:val="639826A5"/>
    <w:rsid w:val="63A159FD"/>
    <w:rsid w:val="63BA261B"/>
    <w:rsid w:val="63C57BBC"/>
    <w:rsid w:val="63C90AB0"/>
    <w:rsid w:val="63D0686F"/>
    <w:rsid w:val="641A3B34"/>
    <w:rsid w:val="648632F2"/>
    <w:rsid w:val="64AB5175"/>
    <w:rsid w:val="64CD45D0"/>
    <w:rsid w:val="64E04304"/>
    <w:rsid w:val="64E5191A"/>
    <w:rsid w:val="64F47DAF"/>
    <w:rsid w:val="64FE478A"/>
    <w:rsid w:val="65314B5F"/>
    <w:rsid w:val="65336B29"/>
    <w:rsid w:val="653A1C66"/>
    <w:rsid w:val="65605444"/>
    <w:rsid w:val="65660CAD"/>
    <w:rsid w:val="658253BB"/>
    <w:rsid w:val="659F31C5"/>
    <w:rsid w:val="65A93470"/>
    <w:rsid w:val="65AB66C0"/>
    <w:rsid w:val="65B85280"/>
    <w:rsid w:val="65CD2ADA"/>
    <w:rsid w:val="65D966CF"/>
    <w:rsid w:val="65F75DA9"/>
    <w:rsid w:val="66186012"/>
    <w:rsid w:val="66286A3B"/>
    <w:rsid w:val="663F505A"/>
    <w:rsid w:val="666A159C"/>
    <w:rsid w:val="667967BE"/>
    <w:rsid w:val="667C005C"/>
    <w:rsid w:val="66981DCA"/>
    <w:rsid w:val="66A23F66"/>
    <w:rsid w:val="66A3383B"/>
    <w:rsid w:val="66D3039B"/>
    <w:rsid w:val="670324CB"/>
    <w:rsid w:val="673A7C98"/>
    <w:rsid w:val="6740552D"/>
    <w:rsid w:val="676034DA"/>
    <w:rsid w:val="677C0008"/>
    <w:rsid w:val="68000819"/>
    <w:rsid w:val="680652E3"/>
    <w:rsid w:val="680A383B"/>
    <w:rsid w:val="680C5410"/>
    <w:rsid w:val="68336E40"/>
    <w:rsid w:val="6874548F"/>
    <w:rsid w:val="688651C2"/>
    <w:rsid w:val="68CD6E3C"/>
    <w:rsid w:val="68E048D2"/>
    <w:rsid w:val="68FE2FAA"/>
    <w:rsid w:val="694C640B"/>
    <w:rsid w:val="695B664F"/>
    <w:rsid w:val="69606A27"/>
    <w:rsid w:val="696A2302"/>
    <w:rsid w:val="696A584E"/>
    <w:rsid w:val="69945B39"/>
    <w:rsid w:val="69F60125"/>
    <w:rsid w:val="6A184540"/>
    <w:rsid w:val="6A244106"/>
    <w:rsid w:val="6A2904FB"/>
    <w:rsid w:val="6A325601"/>
    <w:rsid w:val="6A462E5B"/>
    <w:rsid w:val="6A4D243B"/>
    <w:rsid w:val="6A6908F7"/>
    <w:rsid w:val="6A7C062B"/>
    <w:rsid w:val="6A7C4ACE"/>
    <w:rsid w:val="6A835E5D"/>
    <w:rsid w:val="6AC67AF8"/>
    <w:rsid w:val="6ADB7A47"/>
    <w:rsid w:val="6AE224D9"/>
    <w:rsid w:val="6B064398"/>
    <w:rsid w:val="6B097A71"/>
    <w:rsid w:val="6B16219E"/>
    <w:rsid w:val="6B364C7D"/>
    <w:rsid w:val="6B3D7A8A"/>
    <w:rsid w:val="6B7834E8"/>
    <w:rsid w:val="6B985938"/>
    <w:rsid w:val="6BAE2C05"/>
    <w:rsid w:val="6BC30A2F"/>
    <w:rsid w:val="6BC658F4"/>
    <w:rsid w:val="6BC73B27"/>
    <w:rsid w:val="6BDF5315"/>
    <w:rsid w:val="6C417D7E"/>
    <w:rsid w:val="6C47110C"/>
    <w:rsid w:val="6C477800"/>
    <w:rsid w:val="6C815EBC"/>
    <w:rsid w:val="6C922387"/>
    <w:rsid w:val="6CA1081C"/>
    <w:rsid w:val="6CB467A2"/>
    <w:rsid w:val="6CC30321"/>
    <w:rsid w:val="6CC81CC5"/>
    <w:rsid w:val="6CFA7F2C"/>
    <w:rsid w:val="6D400035"/>
    <w:rsid w:val="6D5B643F"/>
    <w:rsid w:val="6D997745"/>
    <w:rsid w:val="6DA87344"/>
    <w:rsid w:val="6DF37C5A"/>
    <w:rsid w:val="6E1112D9"/>
    <w:rsid w:val="6E2C680B"/>
    <w:rsid w:val="6E7206C2"/>
    <w:rsid w:val="6E8421A4"/>
    <w:rsid w:val="6EFC4430"/>
    <w:rsid w:val="6F0532E4"/>
    <w:rsid w:val="6F086931"/>
    <w:rsid w:val="6F1A6664"/>
    <w:rsid w:val="6F213E96"/>
    <w:rsid w:val="6F3E67F6"/>
    <w:rsid w:val="6F7A7103"/>
    <w:rsid w:val="6F857F81"/>
    <w:rsid w:val="6F887A72"/>
    <w:rsid w:val="6FAA5C3A"/>
    <w:rsid w:val="6FC10021"/>
    <w:rsid w:val="6FED5B27"/>
    <w:rsid w:val="6FF341FB"/>
    <w:rsid w:val="700370F8"/>
    <w:rsid w:val="701F43B3"/>
    <w:rsid w:val="70231548"/>
    <w:rsid w:val="706109EE"/>
    <w:rsid w:val="70816D99"/>
    <w:rsid w:val="70860455"/>
    <w:rsid w:val="70891CF3"/>
    <w:rsid w:val="70D311C0"/>
    <w:rsid w:val="70D56CE6"/>
    <w:rsid w:val="70E707C8"/>
    <w:rsid w:val="71127683"/>
    <w:rsid w:val="712D08D1"/>
    <w:rsid w:val="71542056"/>
    <w:rsid w:val="715776FB"/>
    <w:rsid w:val="71726E84"/>
    <w:rsid w:val="71844269"/>
    <w:rsid w:val="719B1CDE"/>
    <w:rsid w:val="71A87636"/>
    <w:rsid w:val="71B26DAE"/>
    <w:rsid w:val="71DB20DB"/>
    <w:rsid w:val="721C216D"/>
    <w:rsid w:val="722C6DDA"/>
    <w:rsid w:val="723E08BB"/>
    <w:rsid w:val="726E11A1"/>
    <w:rsid w:val="726F4F19"/>
    <w:rsid w:val="72733637"/>
    <w:rsid w:val="727D7636"/>
    <w:rsid w:val="72E15E16"/>
    <w:rsid w:val="72FA0C86"/>
    <w:rsid w:val="72FE220B"/>
    <w:rsid w:val="73092C77"/>
    <w:rsid w:val="73431AED"/>
    <w:rsid w:val="73465C7A"/>
    <w:rsid w:val="734E2D80"/>
    <w:rsid w:val="735F6D3B"/>
    <w:rsid w:val="737A1DC7"/>
    <w:rsid w:val="737A3B75"/>
    <w:rsid w:val="73865B1B"/>
    <w:rsid w:val="73A3131E"/>
    <w:rsid w:val="73BB0416"/>
    <w:rsid w:val="73C179F6"/>
    <w:rsid w:val="73E536E4"/>
    <w:rsid w:val="73F531FC"/>
    <w:rsid w:val="73FA56D2"/>
    <w:rsid w:val="741E6BF6"/>
    <w:rsid w:val="742C30C1"/>
    <w:rsid w:val="742F2BB2"/>
    <w:rsid w:val="74675EA7"/>
    <w:rsid w:val="74806F69"/>
    <w:rsid w:val="749E5641"/>
    <w:rsid w:val="74AC7D5E"/>
    <w:rsid w:val="74B3733F"/>
    <w:rsid w:val="74E97204"/>
    <w:rsid w:val="74F52F7C"/>
    <w:rsid w:val="74FB2A94"/>
    <w:rsid w:val="75275A87"/>
    <w:rsid w:val="752D5343"/>
    <w:rsid w:val="755A1EB0"/>
    <w:rsid w:val="755F3023"/>
    <w:rsid w:val="7565053D"/>
    <w:rsid w:val="757A1C0A"/>
    <w:rsid w:val="758E3908"/>
    <w:rsid w:val="75D752AF"/>
    <w:rsid w:val="75E33C54"/>
    <w:rsid w:val="75F419BD"/>
    <w:rsid w:val="75FB6795"/>
    <w:rsid w:val="76037E52"/>
    <w:rsid w:val="760A5684"/>
    <w:rsid w:val="762F6E99"/>
    <w:rsid w:val="76360227"/>
    <w:rsid w:val="76361FD5"/>
    <w:rsid w:val="76472434"/>
    <w:rsid w:val="7657019E"/>
    <w:rsid w:val="76571F4C"/>
    <w:rsid w:val="767B20DE"/>
    <w:rsid w:val="768014A2"/>
    <w:rsid w:val="76A01B45"/>
    <w:rsid w:val="76C515AB"/>
    <w:rsid w:val="76D4359C"/>
    <w:rsid w:val="76DF266D"/>
    <w:rsid w:val="76FD2AF3"/>
    <w:rsid w:val="770C2C76"/>
    <w:rsid w:val="771B4A37"/>
    <w:rsid w:val="778C41B1"/>
    <w:rsid w:val="77BA4E88"/>
    <w:rsid w:val="77BF5FFA"/>
    <w:rsid w:val="77C41863"/>
    <w:rsid w:val="77DA1086"/>
    <w:rsid w:val="77E65C7D"/>
    <w:rsid w:val="77E75D90"/>
    <w:rsid w:val="77F96B1C"/>
    <w:rsid w:val="78216CB5"/>
    <w:rsid w:val="788B412F"/>
    <w:rsid w:val="78992D7B"/>
    <w:rsid w:val="78B6564F"/>
    <w:rsid w:val="79856DD0"/>
    <w:rsid w:val="799F60E4"/>
    <w:rsid w:val="79CE0777"/>
    <w:rsid w:val="79D62A71"/>
    <w:rsid w:val="7A545120"/>
    <w:rsid w:val="7A6D1D3E"/>
    <w:rsid w:val="7A8C54D7"/>
    <w:rsid w:val="7AAD2A50"/>
    <w:rsid w:val="7ABD2CC5"/>
    <w:rsid w:val="7ADC6EC3"/>
    <w:rsid w:val="7AF16E13"/>
    <w:rsid w:val="7AF20495"/>
    <w:rsid w:val="7B0869BE"/>
    <w:rsid w:val="7B1D19B6"/>
    <w:rsid w:val="7B29035B"/>
    <w:rsid w:val="7B2F3497"/>
    <w:rsid w:val="7B3B62E0"/>
    <w:rsid w:val="7B3E36DA"/>
    <w:rsid w:val="7B427F3E"/>
    <w:rsid w:val="7BA93249"/>
    <w:rsid w:val="7BB340C8"/>
    <w:rsid w:val="7BBD4F47"/>
    <w:rsid w:val="7BC77B74"/>
    <w:rsid w:val="7BE97AEA"/>
    <w:rsid w:val="7BEE6EAE"/>
    <w:rsid w:val="7C176405"/>
    <w:rsid w:val="7C222C7E"/>
    <w:rsid w:val="7C2A135B"/>
    <w:rsid w:val="7C63164A"/>
    <w:rsid w:val="7C6453C2"/>
    <w:rsid w:val="7C6B6751"/>
    <w:rsid w:val="7C725D31"/>
    <w:rsid w:val="7CD12A58"/>
    <w:rsid w:val="7CE87DA1"/>
    <w:rsid w:val="7CFD1A9F"/>
    <w:rsid w:val="7D140B97"/>
    <w:rsid w:val="7D5471E5"/>
    <w:rsid w:val="7D6733BC"/>
    <w:rsid w:val="7D847ACA"/>
    <w:rsid w:val="7D891584"/>
    <w:rsid w:val="7DC46119"/>
    <w:rsid w:val="7E096221"/>
    <w:rsid w:val="7E221091"/>
    <w:rsid w:val="7E3F7E95"/>
    <w:rsid w:val="7E696CC0"/>
    <w:rsid w:val="7E786F03"/>
    <w:rsid w:val="7E8D404B"/>
    <w:rsid w:val="7E9F26E2"/>
    <w:rsid w:val="7EA14E3E"/>
    <w:rsid w:val="7EF15EFA"/>
    <w:rsid w:val="7F364DF4"/>
    <w:rsid w:val="7F995383"/>
    <w:rsid w:val="7FD60385"/>
    <w:rsid w:val="7FD95146"/>
    <w:rsid w:val="7FE743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35" w:semiHidden="0"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iPriority="0" w:semiHidden="0" w:name="annotation reference"/>
    <w:lsdException w:qFormat="1" w:unhideWhenUsed="0" w:uiPriority="0" w:semiHidden="0"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sz w:val="21"/>
      <w:szCs w:val="22"/>
      <w:lang w:val="en-US" w:eastAsia="zh-CN" w:bidi="ar-SA"/>
    </w:rPr>
  </w:style>
  <w:style w:type="paragraph" w:styleId="6">
    <w:name w:val="heading 1"/>
    <w:basedOn w:val="1"/>
    <w:next w:val="1"/>
    <w:link w:val="222"/>
    <w:qFormat/>
    <w:uiPriority w:val="0"/>
    <w:pPr>
      <w:keepNext/>
      <w:keepLines/>
      <w:spacing w:before="340" w:after="330" w:line="578" w:lineRule="auto"/>
      <w:outlineLvl w:val="0"/>
    </w:pPr>
    <w:rPr>
      <w:rFonts w:eastAsia="楷体_GB2312"/>
      <w:b/>
      <w:sz w:val="44"/>
      <w:szCs w:val="20"/>
    </w:rPr>
  </w:style>
  <w:style w:type="paragraph" w:styleId="7">
    <w:name w:val="heading 2"/>
    <w:basedOn w:val="1"/>
    <w:next w:val="1"/>
    <w:link w:val="223"/>
    <w:qFormat/>
    <w:uiPriority w:val="0"/>
    <w:pPr>
      <w:keepNext/>
      <w:keepLines/>
      <w:spacing w:line="360" w:lineRule="auto"/>
      <w:outlineLvl w:val="1"/>
    </w:pPr>
    <w:rPr>
      <w:rFonts w:ascii="Cambria" w:hAnsi="Cambria"/>
      <w:b/>
      <w:bCs/>
      <w:sz w:val="32"/>
      <w:szCs w:val="32"/>
    </w:rPr>
  </w:style>
  <w:style w:type="paragraph" w:styleId="8">
    <w:name w:val="heading 3"/>
    <w:basedOn w:val="1"/>
    <w:next w:val="9"/>
    <w:link w:val="224"/>
    <w:qFormat/>
    <w:uiPriority w:val="99"/>
    <w:pPr>
      <w:widowControl/>
      <w:spacing w:before="100" w:beforeAutospacing="1" w:after="100" w:afterAutospacing="1"/>
      <w:jc w:val="left"/>
      <w:outlineLvl w:val="2"/>
    </w:pPr>
    <w:rPr>
      <w:rFonts w:ascii="宋体" w:hAnsi="宋体"/>
      <w:b/>
      <w:bCs/>
      <w:sz w:val="27"/>
      <w:szCs w:val="27"/>
      <w:lang w:eastAsia="en-US"/>
    </w:rPr>
  </w:style>
  <w:style w:type="paragraph" w:styleId="9">
    <w:name w:val="heading 4"/>
    <w:basedOn w:val="1"/>
    <w:next w:val="1"/>
    <w:link w:val="225"/>
    <w:qFormat/>
    <w:uiPriority w:val="0"/>
    <w:pPr>
      <w:keepNext/>
      <w:keepLines/>
      <w:spacing w:before="280" w:after="290" w:line="376" w:lineRule="auto"/>
      <w:outlineLvl w:val="3"/>
    </w:pPr>
    <w:rPr>
      <w:rFonts w:ascii="Arial" w:hAnsi="Arial" w:eastAsia="黑体"/>
      <w:b/>
      <w:bCs/>
      <w:sz w:val="28"/>
      <w:szCs w:val="28"/>
      <w:lang w:eastAsia="en-US"/>
    </w:rPr>
  </w:style>
  <w:style w:type="paragraph" w:styleId="10">
    <w:name w:val="heading 5"/>
    <w:basedOn w:val="1"/>
    <w:next w:val="11"/>
    <w:link w:val="226"/>
    <w:qFormat/>
    <w:uiPriority w:val="0"/>
    <w:pPr>
      <w:keepNext/>
      <w:keepLines/>
      <w:tabs>
        <w:tab w:val="left" w:pos="1008"/>
      </w:tabs>
      <w:spacing w:before="280" w:after="290" w:line="376" w:lineRule="auto"/>
      <w:outlineLvl w:val="4"/>
    </w:pPr>
    <w:rPr>
      <w:rFonts w:ascii="宋体"/>
      <w:b/>
      <w:spacing w:val="-2"/>
      <w:position w:val="-6"/>
      <w:sz w:val="28"/>
      <w:szCs w:val="20"/>
    </w:rPr>
  </w:style>
  <w:style w:type="paragraph" w:styleId="12">
    <w:name w:val="heading 6"/>
    <w:basedOn w:val="1"/>
    <w:next w:val="11"/>
    <w:link w:val="228"/>
    <w:qFormat/>
    <w:uiPriority w:val="0"/>
    <w:pPr>
      <w:keepNext/>
      <w:keepLines/>
      <w:tabs>
        <w:tab w:val="left" w:pos="1152"/>
      </w:tabs>
      <w:spacing w:before="240" w:after="64" w:line="320" w:lineRule="auto"/>
      <w:outlineLvl w:val="5"/>
    </w:pPr>
    <w:rPr>
      <w:rFonts w:ascii="Arial" w:hAnsi="Arial" w:eastAsia="黑体"/>
      <w:b/>
      <w:spacing w:val="-2"/>
      <w:position w:val="-6"/>
      <w:sz w:val="24"/>
      <w:szCs w:val="20"/>
    </w:rPr>
  </w:style>
  <w:style w:type="paragraph" w:styleId="13">
    <w:name w:val="heading 7"/>
    <w:basedOn w:val="1"/>
    <w:next w:val="11"/>
    <w:link w:val="229"/>
    <w:qFormat/>
    <w:uiPriority w:val="0"/>
    <w:pPr>
      <w:keepNext/>
      <w:keepLines/>
      <w:tabs>
        <w:tab w:val="left" w:pos="1296"/>
      </w:tabs>
      <w:spacing w:before="240" w:after="64" w:line="320" w:lineRule="auto"/>
      <w:outlineLvl w:val="6"/>
    </w:pPr>
    <w:rPr>
      <w:rFonts w:ascii="宋体"/>
      <w:b/>
      <w:spacing w:val="-2"/>
      <w:position w:val="-6"/>
      <w:sz w:val="24"/>
      <w:szCs w:val="20"/>
    </w:rPr>
  </w:style>
  <w:style w:type="paragraph" w:styleId="14">
    <w:name w:val="heading 8"/>
    <w:basedOn w:val="1"/>
    <w:next w:val="11"/>
    <w:link w:val="230"/>
    <w:qFormat/>
    <w:uiPriority w:val="0"/>
    <w:pPr>
      <w:keepNext/>
      <w:keepLines/>
      <w:tabs>
        <w:tab w:val="left" w:pos="1440"/>
      </w:tabs>
      <w:spacing w:before="240" w:after="64" w:line="320" w:lineRule="auto"/>
      <w:outlineLvl w:val="7"/>
    </w:pPr>
    <w:rPr>
      <w:rFonts w:ascii="Arial" w:hAnsi="Arial" w:eastAsia="黑体"/>
      <w:spacing w:val="-2"/>
      <w:position w:val="-6"/>
      <w:sz w:val="24"/>
      <w:szCs w:val="20"/>
    </w:rPr>
  </w:style>
  <w:style w:type="paragraph" w:styleId="15">
    <w:name w:val="heading 9"/>
    <w:basedOn w:val="1"/>
    <w:next w:val="11"/>
    <w:link w:val="231"/>
    <w:qFormat/>
    <w:uiPriority w:val="0"/>
    <w:pPr>
      <w:keepNext/>
      <w:keepLines/>
      <w:tabs>
        <w:tab w:val="left" w:pos="1584"/>
      </w:tabs>
      <w:spacing w:before="240" w:after="64" w:line="320" w:lineRule="auto"/>
      <w:outlineLvl w:val="8"/>
    </w:pPr>
    <w:rPr>
      <w:rFonts w:ascii="Arial" w:hAnsi="Arial" w:eastAsia="黑体"/>
      <w:spacing w:val="-2"/>
      <w:position w:val="-6"/>
      <w:sz w:val="28"/>
      <w:szCs w:val="20"/>
    </w:rPr>
  </w:style>
  <w:style w:type="character" w:default="1" w:styleId="58">
    <w:name w:val="Default Paragraph Font"/>
    <w:semiHidden/>
    <w:unhideWhenUsed/>
    <w:qFormat/>
    <w:uiPriority w:val="1"/>
  </w:style>
  <w:style w:type="table" w:default="1" w:styleId="5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link w:val="416"/>
    <w:unhideWhenUsed/>
    <w:qFormat/>
    <w:uiPriority w:val="99"/>
    <w:pPr>
      <w:ind w:left="200" w:leftChars="200" w:firstLine="420" w:firstLineChars="200"/>
    </w:pPr>
  </w:style>
  <w:style w:type="paragraph" w:styleId="3">
    <w:name w:val="Body Text Indent"/>
    <w:basedOn w:val="1"/>
    <w:next w:val="4"/>
    <w:link w:val="220"/>
    <w:unhideWhenUsed/>
    <w:qFormat/>
    <w:uiPriority w:val="0"/>
    <w:pPr>
      <w:spacing w:after="120"/>
      <w:ind w:left="420"/>
    </w:pPr>
  </w:style>
  <w:style w:type="paragraph" w:styleId="4">
    <w:name w:val="envelope return"/>
    <w:basedOn w:val="1"/>
    <w:unhideWhenUsed/>
    <w:qFormat/>
    <w:uiPriority w:val="99"/>
    <w:rPr>
      <w:rFonts w:ascii="Arial" w:hAnsi="Arial" w:eastAsia="楷体_GB2312"/>
      <w:sz w:val="26"/>
      <w:szCs w:val="20"/>
    </w:rPr>
  </w:style>
  <w:style w:type="paragraph" w:styleId="5">
    <w:name w:val="Body Text Indent 3"/>
    <w:basedOn w:val="1"/>
    <w:link w:val="251"/>
    <w:qFormat/>
    <w:uiPriority w:val="0"/>
    <w:pPr>
      <w:spacing w:line="360" w:lineRule="auto"/>
      <w:ind w:firstLine="617"/>
    </w:pPr>
    <w:rPr>
      <w:sz w:val="24"/>
      <w:szCs w:val="24"/>
    </w:rPr>
  </w:style>
  <w:style w:type="paragraph" w:styleId="11">
    <w:name w:val="Normal Indent"/>
    <w:basedOn w:val="1"/>
    <w:link w:val="227"/>
    <w:qFormat/>
    <w:uiPriority w:val="0"/>
    <w:pPr>
      <w:ind w:firstLine="420"/>
      <w:jc w:val="left"/>
    </w:pPr>
    <w:rPr>
      <w:rFonts w:eastAsia="楷体_GB2312"/>
      <w:sz w:val="24"/>
      <w:szCs w:val="20"/>
      <w:lang w:eastAsia="en-US"/>
    </w:rPr>
  </w:style>
  <w:style w:type="paragraph" w:styleId="16">
    <w:name w:val="toc 7"/>
    <w:basedOn w:val="1"/>
    <w:next w:val="1"/>
    <w:unhideWhenUsed/>
    <w:qFormat/>
    <w:uiPriority w:val="39"/>
    <w:pPr>
      <w:spacing w:after="57"/>
      <w:ind w:left="1701"/>
    </w:pPr>
  </w:style>
  <w:style w:type="paragraph" w:styleId="17">
    <w:name w:val="index 8"/>
    <w:basedOn w:val="1"/>
    <w:next w:val="1"/>
    <w:qFormat/>
    <w:uiPriority w:val="0"/>
    <w:pPr>
      <w:ind w:left="2940"/>
    </w:pPr>
    <w:rPr>
      <w:rFonts w:eastAsia="楷体_GB2312"/>
      <w:sz w:val="26"/>
      <w:szCs w:val="20"/>
    </w:rPr>
  </w:style>
  <w:style w:type="paragraph" w:styleId="18">
    <w:name w:val="caption"/>
    <w:basedOn w:val="1"/>
    <w:next w:val="1"/>
    <w:unhideWhenUsed/>
    <w:qFormat/>
    <w:uiPriority w:val="35"/>
    <w:pPr>
      <w:spacing w:line="276" w:lineRule="auto"/>
    </w:pPr>
    <w:rPr>
      <w:b/>
      <w:bCs/>
      <w:color w:val="4F81BD"/>
      <w:sz w:val="18"/>
      <w:szCs w:val="18"/>
    </w:rPr>
  </w:style>
  <w:style w:type="paragraph" w:styleId="19">
    <w:name w:val="index 5"/>
    <w:basedOn w:val="1"/>
    <w:next w:val="1"/>
    <w:qFormat/>
    <w:uiPriority w:val="0"/>
    <w:pPr>
      <w:ind w:left="1680"/>
    </w:pPr>
    <w:rPr>
      <w:rFonts w:eastAsia="楷体_GB2312"/>
      <w:sz w:val="26"/>
      <w:szCs w:val="20"/>
    </w:rPr>
  </w:style>
  <w:style w:type="paragraph" w:styleId="20">
    <w:name w:val="Document Map"/>
    <w:basedOn w:val="1"/>
    <w:link w:val="233"/>
    <w:unhideWhenUsed/>
    <w:qFormat/>
    <w:uiPriority w:val="0"/>
    <w:rPr>
      <w:rFonts w:ascii="宋体"/>
      <w:sz w:val="18"/>
      <w:szCs w:val="18"/>
    </w:rPr>
  </w:style>
  <w:style w:type="paragraph" w:styleId="21">
    <w:name w:val="annotation text"/>
    <w:basedOn w:val="1"/>
    <w:link w:val="234"/>
    <w:unhideWhenUsed/>
    <w:qFormat/>
    <w:uiPriority w:val="0"/>
    <w:pPr>
      <w:jc w:val="left"/>
    </w:pPr>
  </w:style>
  <w:style w:type="paragraph" w:styleId="22">
    <w:name w:val="index 6"/>
    <w:basedOn w:val="1"/>
    <w:next w:val="1"/>
    <w:qFormat/>
    <w:uiPriority w:val="0"/>
    <w:pPr>
      <w:ind w:left="2100"/>
    </w:pPr>
    <w:rPr>
      <w:rFonts w:eastAsia="楷体_GB2312"/>
      <w:sz w:val="26"/>
      <w:szCs w:val="20"/>
    </w:rPr>
  </w:style>
  <w:style w:type="paragraph" w:styleId="23">
    <w:name w:val="Body Text"/>
    <w:basedOn w:val="1"/>
    <w:next w:val="1"/>
    <w:link w:val="235"/>
    <w:qFormat/>
    <w:uiPriority w:val="0"/>
    <w:pPr>
      <w:spacing w:after="120"/>
    </w:pPr>
    <w:rPr>
      <w:rFonts w:ascii="Times New Roman" w:hAnsi="Times New Roman"/>
    </w:rPr>
  </w:style>
  <w:style w:type="paragraph" w:styleId="24">
    <w:name w:val="List 2"/>
    <w:basedOn w:val="1"/>
    <w:qFormat/>
    <w:uiPriority w:val="0"/>
    <w:pPr>
      <w:ind w:left="100" w:hanging="200"/>
    </w:pPr>
  </w:style>
  <w:style w:type="paragraph" w:styleId="25">
    <w:name w:val="Block Text"/>
    <w:basedOn w:val="1"/>
    <w:qFormat/>
    <w:uiPriority w:val="0"/>
    <w:pPr>
      <w:spacing w:line="360" w:lineRule="auto"/>
      <w:ind w:firstLine="640"/>
      <w:jc w:val="left"/>
    </w:pPr>
    <w:rPr>
      <w:rFonts w:ascii="Times New Roman" w:hAnsi="Times New Roman"/>
      <w:sz w:val="24"/>
    </w:rPr>
  </w:style>
  <w:style w:type="paragraph" w:styleId="26">
    <w:name w:val="index 4"/>
    <w:basedOn w:val="1"/>
    <w:next w:val="1"/>
    <w:qFormat/>
    <w:uiPriority w:val="0"/>
    <w:pPr>
      <w:ind w:left="1260"/>
    </w:pPr>
    <w:rPr>
      <w:szCs w:val="20"/>
    </w:rPr>
  </w:style>
  <w:style w:type="paragraph" w:styleId="27">
    <w:name w:val="toc 5"/>
    <w:basedOn w:val="1"/>
    <w:next w:val="1"/>
    <w:unhideWhenUsed/>
    <w:qFormat/>
    <w:uiPriority w:val="39"/>
    <w:pPr>
      <w:spacing w:after="57"/>
      <w:ind w:left="1134"/>
    </w:pPr>
  </w:style>
  <w:style w:type="paragraph" w:styleId="28">
    <w:name w:val="toc 3"/>
    <w:basedOn w:val="1"/>
    <w:next w:val="1"/>
    <w:unhideWhenUsed/>
    <w:qFormat/>
    <w:uiPriority w:val="39"/>
    <w:pPr>
      <w:spacing w:after="57"/>
      <w:ind w:left="567"/>
    </w:pPr>
  </w:style>
  <w:style w:type="paragraph" w:styleId="29">
    <w:name w:val="Plain Text"/>
    <w:basedOn w:val="1"/>
    <w:next w:val="1"/>
    <w:link w:val="239"/>
    <w:qFormat/>
    <w:uiPriority w:val="0"/>
    <w:rPr>
      <w:rFonts w:ascii="宋体" w:hAnsi="Courier New"/>
      <w:szCs w:val="20"/>
      <w:lang w:eastAsia="en-US"/>
    </w:rPr>
  </w:style>
  <w:style w:type="paragraph" w:styleId="30">
    <w:name w:val="toc 8"/>
    <w:basedOn w:val="1"/>
    <w:next w:val="1"/>
    <w:unhideWhenUsed/>
    <w:qFormat/>
    <w:uiPriority w:val="39"/>
    <w:pPr>
      <w:spacing w:after="57"/>
      <w:ind w:left="1984"/>
    </w:pPr>
  </w:style>
  <w:style w:type="paragraph" w:styleId="31">
    <w:name w:val="index 3"/>
    <w:basedOn w:val="1"/>
    <w:next w:val="1"/>
    <w:qFormat/>
    <w:uiPriority w:val="0"/>
    <w:pPr>
      <w:ind w:left="840"/>
    </w:pPr>
    <w:rPr>
      <w:rFonts w:eastAsia="楷体_GB2312"/>
      <w:sz w:val="26"/>
      <w:szCs w:val="20"/>
    </w:rPr>
  </w:style>
  <w:style w:type="paragraph" w:styleId="32">
    <w:name w:val="Date"/>
    <w:basedOn w:val="1"/>
    <w:next w:val="1"/>
    <w:link w:val="241"/>
    <w:qFormat/>
    <w:uiPriority w:val="0"/>
    <w:rPr>
      <w:rFonts w:ascii="宋体" w:hAnsi="宋体" w:eastAsia="楷体_GB2312"/>
      <w:sz w:val="24"/>
      <w:szCs w:val="20"/>
    </w:rPr>
  </w:style>
  <w:style w:type="paragraph" w:styleId="33">
    <w:name w:val="Body Text Indent 2"/>
    <w:basedOn w:val="1"/>
    <w:link w:val="242"/>
    <w:qFormat/>
    <w:uiPriority w:val="0"/>
    <w:pPr>
      <w:tabs>
        <w:tab w:val="left" w:pos="0"/>
      </w:tabs>
      <w:spacing w:line="360" w:lineRule="auto"/>
      <w:ind w:firstLine="502"/>
    </w:pPr>
    <w:rPr>
      <w:rFonts w:ascii="宋体"/>
      <w:b/>
      <w:bCs/>
      <w:sz w:val="24"/>
      <w:szCs w:val="20"/>
    </w:rPr>
  </w:style>
  <w:style w:type="paragraph" w:styleId="34">
    <w:name w:val="endnote text"/>
    <w:basedOn w:val="1"/>
    <w:link w:val="217"/>
    <w:unhideWhenUsed/>
    <w:qFormat/>
    <w:uiPriority w:val="99"/>
    <w:rPr>
      <w:sz w:val="20"/>
    </w:rPr>
  </w:style>
  <w:style w:type="paragraph" w:styleId="35">
    <w:name w:val="Balloon Text"/>
    <w:basedOn w:val="1"/>
    <w:link w:val="243"/>
    <w:unhideWhenUsed/>
    <w:qFormat/>
    <w:uiPriority w:val="0"/>
    <w:rPr>
      <w:sz w:val="18"/>
      <w:szCs w:val="18"/>
    </w:rPr>
  </w:style>
  <w:style w:type="paragraph" w:styleId="36">
    <w:name w:val="footer"/>
    <w:basedOn w:val="1"/>
    <w:link w:val="244"/>
    <w:unhideWhenUsed/>
    <w:qFormat/>
    <w:uiPriority w:val="99"/>
    <w:pPr>
      <w:tabs>
        <w:tab w:val="center" w:pos="4153"/>
        <w:tab w:val="right" w:pos="8306"/>
      </w:tabs>
      <w:jc w:val="left"/>
    </w:pPr>
    <w:rPr>
      <w:sz w:val="18"/>
      <w:szCs w:val="18"/>
    </w:rPr>
  </w:style>
  <w:style w:type="paragraph" w:styleId="37">
    <w:name w:val="header"/>
    <w:basedOn w:val="1"/>
    <w:link w:val="245"/>
    <w:unhideWhenUsed/>
    <w:qFormat/>
    <w:uiPriority w:val="99"/>
    <w:pPr>
      <w:pBdr>
        <w:bottom w:val="single" w:color="000000" w:sz="6" w:space="1"/>
      </w:pBdr>
      <w:tabs>
        <w:tab w:val="center" w:pos="4153"/>
        <w:tab w:val="right" w:pos="8306"/>
      </w:tabs>
      <w:jc w:val="center"/>
    </w:pPr>
    <w:rPr>
      <w:sz w:val="18"/>
      <w:szCs w:val="18"/>
    </w:rPr>
  </w:style>
  <w:style w:type="paragraph" w:styleId="38">
    <w:name w:val="Signature"/>
    <w:basedOn w:val="1"/>
    <w:link w:val="246"/>
    <w:qFormat/>
    <w:uiPriority w:val="0"/>
    <w:pPr>
      <w:spacing w:after="600" w:line="312" w:lineRule="atLeast"/>
      <w:jc w:val="center"/>
    </w:pPr>
    <w:rPr>
      <w:rFonts w:eastAsia="仿宋_GB2312"/>
      <w:sz w:val="24"/>
      <w:szCs w:val="20"/>
    </w:rPr>
  </w:style>
  <w:style w:type="paragraph" w:styleId="39">
    <w:name w:val="toc 1"/>
    <w:basedOn w:val="1"/>
    <w:next w:val="1"/>
    <w:unhideWhenUsed/>
    <w:qFormat/>
    <w:uiPriority w:val="39"/>
    <w:pPr>
      <w:spacing w:after="57"/>
    </w:pPr>
  </w:style>
  <w:style w:type="paragraph" w:styleId="40">
    <w:name w:val="toc 4"/>
    <w:basedOn w:val="1"/>
    <w:next w:val="1"/>
    <w:unhideWhenUsed/>
    <w:qFormat/>
    <w:uiPriority w:val="39"/>
    <w:pPr>
      <w:spacing w:after="57"/>
      <w:ind w:left="850"/>
    </w:pPr>
  </w:style>
  <w:style w:type="paragraph" w:styleId="41">
    <w:name w:val="index heading"/>
    <w:basedOn w:val="1"/>
    <w:next w:val="42"/>
    <w:qFormat/>
    <w:uiPriority w:val="0"/>
    <w:rPr>
      <w:rFonts w:eastAsia="楷体_GB2312"/>
      <w:sz w:val="26"/>
      <w:szCs w:val="20"/>
    </w:rPr>
  </w:style>
  <w:style w:type="paragraph" w:styleId="42">
    <w:name w:val="index 1"/>
    <w:basedOn w:val="1"/>
    <w:next w:val="1"/>
    <w:unhideWhenUsed/>
    <w:qFormat/>
    <w:uiPriority w:val="0"/>
  </w:style>
  <w:style w:type="paragraph" w:styleId="43">
    <w:name w:val="Subtitle"/>
    <w:basedOn w:val="1"/>
    <w:next w:val="1"/>
    <w:link w:val="84"/>
    <w:qFormat/>
    <w:uiPriority w:val="11"/>
    <w:pPr>
      <w:spacing w:before="200" w:after="200"/>
    </w:pPr>
    <w:rPr>
      <w:sz w:val="24"/>
      <w:szCs w:val="24"/>
    </w:rPr>
  </w:style>
  <w:style w:type="paragraph" w:styleId="44">
    <w:name w:val="footnote text"/>
    <w:basedOn w:val="1"/>
    <w:link w:val="249"/>
    <w:qFormat/>
    <w:uiPriority w:val="0"/>
    <w:pPr>
      <w:jc w:val="left"/>
    </w:pPr>
    <w:rPr>
      <w:rFonts w:eastAsia="楷体_GB2312"/>
      <w:sz w:val="18"/>
      <w:szCs w:val="20"/>
    </w:rPr>
  </w:style>
  <w:style w:type="paragraph" w:styleId="45">
    <w:name w:val="toc 6"/>
    <w:basedOn w:val="1"/>
    <w:next w:val="1"/>
    <w:unhideWhenUsed/>
    <w:qFormat/>
    <w:uiPriority w:val="39"/>
    <w:pPr>
      <w:spacing w:after="57"/>
      <w:ind w:left="1417"/>
    </w:pPr>
  </w:style>
  <w:style w:type="paragraph" w:styleId="46">
    <w:name w:val="index 7"/>
    <w:basedOn w:val="1"/>
    <w:next w:val="1"/>
    <w:qFormat/>
    <w:uiPriority w:val="0"/>
    <w:pPr>
      <w:ind w:left="2520"/>
    </w:pPr>
    <w:rPr>
      <w:rFonts w:eastAsia="楷体_GB2312"/>
      <w:sz w:val="26"/>
      <w:szCs w:val="20"/>
    </w:rPr>
  </w:style>
  <w:style w:type="paragraph" w:styleId="47">
    <w:name w:val="index 9"/>
    <w:basedOn w:val="1"/>
    <w:next w:val="1"/>
    <w:qFormat/>
    <w:uiPriority w:val="0"/>
    <w:pPr>
      <w:ind w:left="3360"/>
    </w:pPr>
    <w:rPr>
      <w:rFonts w:eastAsia="楷体_GB2312"/>
      <w:sz w:val="26"/>
      <w:szCs w:val="20"/>
    </w:rPr>
  </w:style>
  <w:style w:type="paragraph" w:styleId="48">
    <w:name w:val="table of figures"/>
    <w:basedOn w:val="1"/>
    <w:next w:val="1"/>
    <w:qFormat/>
    <w:uiPriority w:val="0"/>
    <w:pPr>
      <w:ind w:left="420" w:hanging="420"/>
      <w:jc w:val="left"/>
    </w:pPr>
    <w:rPr>
      <w:rFonts w:eastAsia="楷体_GB2312"/>
      <w:smallCaps/>
      <w:sz w:val="24"/>
      <w:szCs w:val="20"/>
    </w:rPr>
  </w:style>
  <w:style w:type="paragraph" w:styleId="49">
    <w:name w:val="toc 2"/>
    <w:basedOn w:val="1"/>
    <w:next w:val="1"/>
    <w:unhideWhenUsed/>
    <w:qFormat/>
    <w:uiPriority w:val="39"/>
    <w:pPr>
      <w:spacing w:after="57"/>
      <w:ind w:left="283"/>
    </w:pPr>
  </w:style>
  <w:style w:type="paragraph" w:styleId="50">
    <w:name w:val="toc 9"/>
    <w:basedOn w:val="1"/>
    <w:next w:val="1"/>
    <w:unhideWhenUsed/>
    <w:qFormat/>
    <w:uiPriority w:val="39"/>
    <w:pPr>
      <w:spacing w:after="57"/>
      <w:ind w:left="2268"/>
    </w:pPr>
  </w:style>
  <w:style w:type="paragraph" w:styleId="51">
    <w:name w:val="HTML Preformatted"/>
    <w:basedOn w:val="1"/>
    <w:link w:val="25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楷体_GB2312"/>
      <w:sz w:val="20"/>
      <w:szCs w:val="20"/>
    </w:rPr>
  </w:style>
  <w:style w:type="paragraph" w:styleId="52">
    <w:name w:val="Normal (Web)"/>
    <w:basedOn w:val="1"/>
    <w:link w:val="255"/>
    <w:unhideWhenUsed/>
    <w:qFormat/>
    <w:uiPriority w:val="0"/>
    <w:pPr>
      <w:spacing w:before="100" w:beforeAutospacing="1" w:after="100" w:afterAutospacing="1"/>
      <w:jc w:val="left"/>
    </w:pPr>
    <w:rPr>
      <w:sz w:val="24"/>
      <w:szCs w:val="20"/>
      <w:lang w:eastAsia="en-US"/>
    </w:rPr>
  </w:style>
  <w:style w:type="paragraph" w:styleId="53">
    <w:name w:val="index 2"/>
    <w:basedOn w:val="1"/>
    <w:next w:val="1"/>
    <w:qFormat/>
    <w:uiPriority w:val="0"/>
    <w:pPr>
      <w:ind w:left="420"/>
    </w:pPr>
    <w:rPr>
      <w:rFonts w:eastAsia="楷体_GB2312"/>
      <w:sz w:val="26"/>
      <w:szCs w:val="20"/>
    </w:rPr>
  </w:style>
  <w:style w:type="paragraph" w:styleId="54">
    <w:name w:val="Title"/>
    <w:basedOn w:val="1"/>
    <w:next w:val="1"/>
    <w:link w:val="83"/>
    <w:qFormat/>
    <w:uiPriority w:val="10"/>
    <w:pPr>
      <w:spacing w:before="300" w:after="200"/>
      <w:contextualSpacing/>
    </w:pPr>
    <w:rPr>
      <w:sz w:val="48"/>
      <w:szCs w:val="48"/>
    </w:rPr>
  </w:style>
  <w:style w:type="paragraph" w:styleId="55">
    <w:name w:val="annotation subject"/>
    <w:basedOn w:val="21"/>
    <w:next w:val="21"/>
    <w:link w:val="256"/>
    <w:unhideWhenUsed/>
    <w:qFormat/>
    <w:uiPriority w:val="0"/>
    <w:rPr>
      <w:b/>
      <w:bCs/>
    </w:rPr>
  </w:style>
  <w:style w:type="table" w:styleId="57">
    <w:name w:val="Table Grid"/>
    <w:basedOn w:val="56"/>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9">
    <w:name w:val="Strong"/>
    <w:qFormat/>
    <w:uiPriority w:val="22"/>
    <w:rPr>
      <w:b/>
    </w:rPr>
  </w:style>
  <w:style w:type="character" w:styleId="60">
    <w:name w:val="endnote reference"/>
    <w:unhideWhenUsed/>
    <w:qFormat/>
    <w:uiPriority w:val="99"/>
    <w:rPr>
      <w:vertAlign w:val="superscript"/>
    </w:rPr>
  </w:style>
  <w:style w:type="character" w:styleId="61">
    <w:name w:val="page number"/>
    <w:qFormat/>
    <w:uiPriority w:val="0"/>
  </w:style>
  <w:style w:type="character" w:styleId="62">
    <w:name w:val="Emphasis"/>
    <w:qFormat/>
    <w:uiPriority w:val="0"/>
    <w:rPr>
      <w:i/>
      <w:iCs/>
    </w:rPr>
  </w:style>
  <w:style w:type="character" w:styleId="63">
    <w:name w:val="line number"/>
    <w:qFormat/>
    <w:uiPriority w:val="0"/>
  </w:style>
  <w:style w:type="character" w:styleId="64">
    <w:name w:val="HTML Definition"/>
    <w:qFormat/>
    <w:uiPriority w:val="0"/>
    <w:rPr>
      <w:i/>
    </w:rPr>
  </w:style>
  <w:style w:type="character" w:styleId="65">
    <w:name w:val="Hyperlink"/>
    <w:unhideWhenUsed/>
    <w:qFormat/>
    <w:uiPriority w:val="99"/>
    <w:rPr>
      <w:color w:val="0000FF"/>
      <w:u w:val="single"/>
    </w:rPr>
  </w:style>
  <w:style w:type="character" w:styleId="66">
    <w:name w:val="HTML Code"/>
    <w:qFormat/>
    <w:uiPriority w:val="0"/>
    <w:rPr>
      <w:rFonts w:ascii="Menlo" w:hAnsi="Menlo" w:eastAsia="Menlo" w:cs="Menlo"/>
      <w:color w:val="C7254E"/>
      <w:sz w:val="21"/>
      <w:szCs w:val="21"/>
      <w:shd w:val="clear" w:color="auto" w:fill="F9F2F4"/>
    </w:rPr>
  </w:style>
  <w:style w:type="character" w:styleId="67">
    <w:name w:val="annotation reference"/>
    <w:unhideWhenUsed/>
    <w:qFormat/>
    <w:uiPriority w:val="0"/>
    <w:rPr>
      <w:sz w:val="21"/>
      <w:szCs w:val="21"/>
    </w:rPr>
  </w:style>
  <w:style w:type="character" w:styleId="68">
    <w:name w:val="HTML Cite"/>
    <w:qFormat/>
    <w:uiPriority w:val="0"/>
  </w:style>
  <w:style w:type="character" w:styleId="69">
    <w:name w:val="footnote reference"/>
    <w:qFormat/>
    <w:uiPriority w:val="0"/>
    <w:rPr>
      <w:vertAlign w:val="superscript"/>
    </w:rPr>
  </w:style>
  <w:style w:type="character" w:styleId="70">
    <w:name w:val="HTML Keyboard"/>
    <w:qFormat/>
    <w:uiPriority w:val="0"/>
    <w:rPr>
      <w:rFonts w:ascii="Menlo" w:hAnsi="Menlo" w:eastAsia="Menlo" w:cs="Menlo"/>
      <w:sz w:val="21"/>
      <w:szCs w:val="21"/>
    </w:rPr>
  </w:style>
  <w:style w:type="character" w:styleId="71">
    <w:name w:val="HTML Sample"/>
    <w:qFormat/>
    <w:uiPriority w:val="0"/>
    <w:rPr>
      <w:rFonts w:ascii="Menlo" w:hAnsi="Menlo" w:eastAsia="Menlo" w:cs="Menlo"/>
      <w:sz w:val="21"/>
      <w:szCs w:val="21"/>
    </w:rPr>
  </w:style>
  <w:style w:type="character" w:customStyle="1" w:styleId="72">
    <w:name w:val="Heading 1 Char"/>
    <w:qFormat/>
    <w:uiPriority w:val="9"/>
    <w:rPr>
      <w:rFonts w:ascii="Arial" w:hAnsi="Arial" w:eastAsia="Arial" w:cs="Arial"/>
      <w:sz w:val="40"/>
      <w:szCs w:val="40"/>
    </w:rPr>
  </w:style>
  <w:style w:type="character" w:customStyle="1" w:styleId="73">
    <w:name w:val="Heading 2 Char"/>
    <w:qFormat/>
    <w:uiPriority w:val="9"/>
    <w:rPr>
      <w:rFonts w:ascii="Arial" w:hAnsi="Arial" w:eastAsia="Arial" w:cs="Arial"/>
      <w:sz w:val="34"/>
    </w:rPr>
  </w:style>
  <w:style w:type="character" w:customStyle="1" w:styleId="74">
    <w:name w:val="Heading 3 Char"/>
    <w:qFormat/>
    <w:uiPriority w:val="9"/>
    <w:rPr>
      <w:rFonts w:ascii="Arial" w:hAnsi="Arial" w:eastAsia="Arial" w:cs="Arial"/>
      <w:sz w:val="30"/>
      <w:szCs w:val="30"/>
    </w:rPr>
  </w:style>
  <w:style w:type="character" w:customStyle="1" w:styleId="75">
    <w:name w:val="Heading 4 Char"/>
    <w:qFormat/>
    <w:uiPriority w:val="9"/>
    <w:rPr>
      <w:rFonts w:ascii="Arial" w:hAnsi="Arial" w:eastAsia="Arial" w:cs="Arial"/>
      <w:b/>
      <w:bCs/>
      <w:sz w:val="26"/>
      <w:szCs w:val="26"/>
    </w:rPr>
  </w:style>
  <w:style w:type="character" w:customStyle="1" w:styleId="76">
    <w:name w:val="Heading 5 Char"/>
    <w:qFormat/>
    <w:uiPriority w:val="9"/>
    <w:rPr>
      <w:rFonts w:ascii="Arial" w:hAnsi="Arial" w:eastAsia="Arial" w:cs="Arial"/>
      <w:b/>
      <w:bCs/>
      <w:sz w:val="24"/>
      <w:szCs w:val="24"/>
    </w:rPr>
  </w:style>
  <w:style w:type="character" w:customStyle="1" w:styleId="77">
    <w:name w:val="Heading 6 Char"/>
    <w:qFormat/>
    <w:uiPriority w:val="9"/>
    <w:rPr>
      <w:rFonts w:ascii="Arial" w:hAnsi="Arial" w:eastAsia="Arial" w:cs="Arial"/>
      <w:b/>
      <w:bCs/>
      <w:sz w:val="22"/>
      <w:szCs w:val="22"/>
    </w:rPr>
  </w:style>
  <w:style w:type="character" w:customStyle="1" w:styleId="78">
    <w:name w:val="Heading 7 Char"/>
    <w:qFormat/>
    <w:uiPriority w:val="9"/>
    <w:rPr>
      <w:rFonts w:ascii="Arial" w:hAnsi="Arial" w:eastAsia="Arial" w:cs="Arial"/>
      <w:b/>
      <w:bCs/>
      <w:i/>
      <w:iCs/>
      <w:sz w:val="22"/>
      <w:szCs w:val="22"/>
    </w:rPr>
  </w:style>
  <w:style w:type="character" w:customStyle="1" w:styleId="79">
    <w:name w:val="Heading 8 Char"/>
    <w:qFormat/>
    <w:uiPriority w:val="9"/>
    <w:rPr>
      <w:rFonts w:ascii="Arial" w:hAnsi="Arial" w:eastAsia="Arial" w:cs="Arial"/>
      <w:i/>
      <w:iCs/>
      <w:sz w:val="22"/>
      <w:szCs w:val="22"/>
    </w:rPr>
  </w:style>
  <w:style w:type="character" w:customStyle="1" w:styleId="80">
    <w:name w:val="Heading 9 Char"/>
    <w:qFormat/>
    <w:uiPriority w:val="9"/>
    <w:rPr>
      <w:rFonts w:ascii="Arial" w:hAnsi="Arial" w:eastAsia="Arial" w:cs="Arial"/>
      <w:i/>
      <w:iCs/>
      <w:sz w:val="21"/>
      <w:szCs w:val="21"/>
    </w:rPr>
  </w:style>
  <w:style w:type="paragraph" w:customStyle="1" w:styleId="81">
    <w:name w:val="列表段落1"/>
    <w:basedOn w:val="1"/>
    <w:qFormat/>
    <w:uiPriority w:val="34"/>
    <w:pPr>
      <w:ind w:left="720"/>
      <w:contextualSpacing/>
    </w:pPr>
  </w:style>
  <w:style w:type="paragraph" w:customStyle="1" w:styleId="82">
    <w:name w:val="无间隔1"/>
    <w:qFormat/>
    <w:uiPriority w:val="99"/>
    <w:pPr>
      <w:widowControl w:val="0"/>
      <w:jc w:val="both"/>
    </w:pPr>
    <w:rPr>
      <w:rFonts w:ascii="Calibri" w:hAnsi="Calibri" w:eastAsia="楷体_GB2312" w:cs="Times New Roman"/>
      <w:sz w:val="26"/>
      <w:lang w:val="en-US" w:eastAsia="zh-CN" w:bidi="ar-SA"/>
    </w:rPr>
  </w:style>
  <w:style w:type="character" w:customStyle="1" w:styleId="83">
    <w:name w:val="标题 Char"/>
    <w:link w:val="54"/>
    <w:qFormat/>
    <w:uiPriority w:val="10"/>
    <w:rPr>
      <w:sz w:val="48"/>
      <w:szCs w:val="48"/>
    </w:rPr>
  </w:style>
  <w:style w:type="character" w:customStyle="1" w:styleId="84">
    <w:name w:val="副标题 Char"/>
    <w:link w:val="43"/>
    <w:qFormat/>
    <w:uiPriority w:val="11"/>
    <w:rPr>
      <w:sz w:val="24"/>
      <w:szCs w:val="24"/>
    </w:rPr>
  </w:style>
  <w:style w:type="paragraph" w:customStyle="1" w:styleId="85">
    <w:name w:val="引用1"/>
    <w:basedOn w:val="1"/>
    <w:next w:val="1"/>
    <w:link w:val="86"/>
    <w:qFormat/>
    <w:uiPriority w:val="29"/>
    <w:pPr>
      <w:ind w:left="720" w:right="720"/>
    </w:pPr>
    <w:rPr>
      <w:i/>
    </w:rPr>
  </w:style>
  <w:style w:type="character" w:customStyle="1" w:styleId="86">
    <w:name w:val="引用 字符"/>
    <w:link w:val="85"/>
    <w:qFormat/>
    <w:uiPriority w:val="29"/>
    <w:rPr>
      <w:i/>
    </w:rPr>
  </w:style>
  <w:style w:type="paragraph" w:customStyle="1" w:styleId="87">
    <w:name w:val="明显引用1"/>
    <w:basedOn w:val="1"/>
    <w:next w:val="1"/>
    <w:link w:val="88"/>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88">
    <w:name w:val="明显引用 字符"/>
    <w:link w:val="87"/>
    <w:qFormat/>
    <w:uiPriority w:val="30"/>
    <w:rPr>
      <w:i/>
    </w:rPr>
  </w:style>
  <w:style w:type="character" w:customStyle="1" w:styleId="89">
    <w:name w:val="Footer Char"/>
    <w:qFormat/>
    <w:uiPriority w:val="99"/>
  </w:style>
  <w:style w:type="character" w:customStyle="1" w:styleId="90">
    <w:name w:val="Caption Char"/>
    <w:qFormat/>
    <w:uiPriority w:val="99"/>
  </w:style>
  <w:style w:type="table" w:customStyle="1" w:styleId="91">
    <w:name w:val="Table Grid Light"/>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92">
    <w:name w:val="无格式表格 11"/>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93">
    <w:name w:val="无格式表格 21"/>
    <w:qFormat/>
    <w:uiPriority w:val="59"/>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style>
  <w:style w:type="table" w:customStyle="1" w:styleId="94">
    <w:name w:val="无格式表格 31"/>
    <w:qFormat/>
    <w:uiPriority w:val="99"/>
    <w:tblPr>
      <w:tblCellMar>
        <w:top w:w="0" w:type="dxa"/>
        <w:left w:w="0" w:type="dxa"/>
        <w:bottom w:w="0" w:type="dxa"/>
        <w:right w:w="0" w:type="dxa"/>
      </w:tblCellMar>
    </w:tblPr>
  </w:style>
  <w:style w:type="table" w:customStyle="1" w:styleId="95">
    <w:name w:val="无格式表格 41"/>
    <w:qFormat/>
    <w:uiPriority w:val="99"/>
    <w:tblPr>
      <w:tblCellMar>
        <w:top w:w="0" w:type="dxa"/>
        <w:left w:w="0" w:type="dxa"/>
        <w:bottom w:w="0" w:type="dxa"/>
        <w:right w:w="0" w:type="dxa"/>
      </w:tblCellMar>
    </w:tblPr>
  </w:style>
  <w:style w:type="table" w:customStyle="1" w:styleId="96">
    <w:name w:val="无格式表格 51"/>
    <w:qFormat/>
    <w:uiPriority w:val="99"/>
    <w:tblPr>
      <w:tblCellMar>
        <w:top w:w="0" w:type="dxa"/>
        <w:left w:w="0" w:type="dxa"/>
        <w:bottom w:w="0" w:type="dxa"/>
        <w:right w:w="0" w:type="dxa"/>
      </w:tblCellMar>
    </w:tblPr>
  </w:style>
  <w:style w:type="table" w:customStyle="1" w:styleId="97">
    <w:name w:val="网格表 1 浅色1"/>
    <w:qFormat/>
    <w:uiPriority w:val="99"/>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top w:w="0" w:type="dxa"/>
        <w:left w:w="0" w:type="dxa"/>
        <w:bottom w:w="0" w:type="dxa"/>
        <w:right w:w="0" w:type="dxa"/>
      </w:tblCellMar>
    </w:tblPr>
  </w:style>
  <w:style w:type="table" w:customStyle="1" w:styleId="98">
    <w:name w:val="Grid Table 1 Light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99">
    <w:name w:val="Grid Table 1 Light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100">
    <w:name w:val="Grid Table 1 Light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101">
    <w:name w:val="Grid Table 1 Light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102">
    <w:name w:val="Grid Table 1 Light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103">
    <w:name w:val="Grid Table 1 Light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table" w:customStyle="1" w:styleId="104">
    <w:name w:val="网格表 21"/>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105">
    <w:name w:val="Grid Table 2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106">
    <w:name w:val="Grid Table 2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07">
    <w:name w:val="Grid Table 2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08">
    <w:name w:val="Grid Table 2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09">
    <w:name w:val="Grid Table 2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10">
    <w:name w:val="Grid Table 2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11">
    <w:name w:val="网格表 31"/>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112">
    <w:name w:val="Grid Table 3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113">
    <w:name w:val="Grid Table 3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14">
    <w:name w:val="Grid Table 3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15">
    <w:name w:val="Grid Table 3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16">
    <w:name w:val="Grid Table 3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17">
    <w:name w:val="Grid Table 3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18">
    <w:name w:val="网格表 41"/>
    <w:qFormat/>
    <w:uiPriority w:val="59"/>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0" w:type="dxa"/>
        <w:bottom w:w="0" w:type="dxa"/>
        <w:right w:w="0" w:type="dxa"/>
      </w:tblCellMar>
    </w:tblPr>
  </w:style>
  <w:style w:type="table" w:customStyle="1" w:styleId="119">
    <w:name w:val="Grid Table 4 - Accent 1"/>
    <w:qFormat/>
    <w:uiPriority w:val="59"/>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0" w:type="dxa"/>
        <w:bottom w:w="0" w:type="dxa"/>
        <w:right w:w="0" w:type="dxa"/>
      </w:tblCellMar>
    </w:tblPr>
  </w:style>
  <w:style w:type="table" w:customStyle="1" w:styleId="120">
    <w:name w:val="Grid Table 4 - Accent 2"/>
    <w:qFormat/>
    <w:uiPriority w:val="59"/>
    <w:tblPr>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top w:w="0" w:type="dxa"/>
        <w:left w:w="0" w:type="dxa"/>
        <w:bottom w:w="0" w:type="dxa"/>
        <w:right w:w="0" w:type="dxa"/>
      </w:tblCellMar>
    </w:tblPr>
  </w:style>
  <w:style w:type="table" w:customStyle="1" w:styleId="121">
    <w:name w:val="Grid Table 4 - Accent 3"/>
    <w:qFormat/>
    <w:uiPriority w:val="59"/>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0" w:type="dxa"/>
        <w:bottom w:w="0" w:type="dxa"/>
        <w:right w:w="0" w:type="dxa"/>
      </w:tblCellMar>
    </w:tblPr>
  </w:style>
  <w:style w:type="table" w:customStyle="1" w:styleId="122">
    <w:name w:val="Grid Table 4 - Accent 4"/>
    <w:qFormat/>
    <w:uiPriority w:val="59"/>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0" w:type="dxa"/>
        <w:bottom w:w="0" w:type="dxa"/>
        <w:right w:w="0" w:type="dxa"/>
      </w:tblCellMar>
    </w:tblPr>
  </w:style>
  <w:style w:type="table" w:customStyle="1" w:styleId="123">
    <w:name w:val="Grid Table 4 - Accent 5"/>
    <w:qFormat/>
    <w:uiPriority w:val="59"/>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24">
    <w:name w:val="Grid Table 4 - Accent 6"/>
    <w:qFormat/>
    <w:uiPriority w:val="59"/>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25">
    <w:name w:val="网格表 5 深色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6">
    <w:name w:val="Grid Table 5 Dark- Accent 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7">
    <w:name w:val="Grid Table 5 Dark - Accent 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8">
    <w:name w:val="Grid Table 5 Dark - Accent 3"/>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9">
    <w:name w:val="Grid Table 5 Dark- Accent 4"/>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30">
    <w:name w:val="Grid Table 5 Dark - Accent 5"/>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31">
    <w:name w:val="Grid Table 5 Dark - Accent 6"/>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32">
    <w:name w:val="网格表 6 彩色1"/>
    <w:qFormat/>
    <w:uiPriority w:val="99"/>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33">
    <w:name w:val="Grid Table 6 Colorful - Accent 1"/>
    <w:qFormat/>
    <w:uiPriority w:val="99"/>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34">
    <w:name w:val="Grid Table 6 Colorful - Accent 2"/>
    <w:qFormat/>
    <w:uiPriority w:val="99"/>
    <w:tblPr>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35">
    <w:name w:val="Grid Table 6 Colorful - Accent 3"/>
    <w:qFormat/>
    <w:uiPriority w:val="99"/>
    <w:tblPr>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36">
    <w:name w:val="Grid Table 6 Colorful - Accent 4"/>
    <w:qFormat/>
    <w:uiPriority w:val="99"/>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37">
    <w:name w:val="Grid Table 6 Colorful - Accent 5"/>
    <w:qFormat/>
    <w:uiPriority w:val="99"/>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38">
    <w:name w:val="Grid Table 6 Colorful - Accent 6"/>
    <w:qFormat/>
    <w:uiPriority w:val="99"/>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39">
    <w:name w:val="网格表 7 彩色1"/>
    <w:qFormat/>
    <w:uiPriority w:val="99"/>
    <w:tblPr>
      <w:tblBorders>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40">
    <w:name w:val="Grid Table 7 Colorful - Accent 1"/>
    <w:qFormat/>
    <w:uiPriority w:val="99"/>
    <w:tblPr>
      <w:tblBorders>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41">
    <w:name w:val="Grid Table 7 Colorful - Accent 2"/>
    <w:qFormat/>
    <w:uiPriority w:val="99"/>
    <w:tblPr>
      <w:tblBorders>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42">
    <w:name w:val="Grid Table 7 Colorful - Accent 3"/>
    <w:qFormat/>
    <w:uiPriority w:val="99"/>
    <w:tblPr>
      <w:tblBorders>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43">
    <w:name w:val="Grid Table 7 Colorful - Accent 4"/>
    <w:qFormat/>
    <w:uiPriority w:val="99"/>
    <w:tblPr>
      <w:tblBorders>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44">
    <w:name w:val="Grid Table 7 Colorful - Accent 5"/>
    <w:qFormat/>
    <w:uiPriority w:val="99"/>
    <w:tblPr>
      <w:tblBorders>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45">
    <w:name w:val="Grid Table 7 Colorful - Accent 6"/>
    <w:qFormat/>
    <w:uiPriority w:val="99"/>
    <w:tblPr>
      <w:tblBorders>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46">
    <w:name w:val="清单表 1 浅色1"/>
    <w:qFormat/>
    <w:uiPriority w:val="99"/>
    <w:tblPr>
      <w:tblCellMar>
        <w:top w:w="0" w:type="dxa"/>
        <w:left w:w="0" w:type="dxa"/>
        <w:bottom w:w="0" w:type="dxa"/>
        <w:right w:w="0" w:type="dxa"/>
      </w:tblCellMar>
    </w:tblPr>
  </w:style>
  <w:style w:type="table" w:customStyle="1" w:styleId="147">
    <w:name w:val="List Table 1 Light - Accent 1"/>
    <w:qFormat/>
    <w:uiPriority w:val="99"/>
    <w:tblPr>
      <w:tblCellMar>
        <w:top w:w="0" w:type="dxa"/>
        <w:left w:w="0" w:type="dxa"/>
        <w:bottom w:w="0" w:type="dxa"/>
        <w:right w:w="0" w:type="dxa"/>
      </w:tblCellMar>
    </w:tblPr>
  </w:style>
  <w:style w:type="table" w:customStyle="1" w:styleId="148">
    <w:name w:val="List Table 1 Light - Accent 2"/>
    <w:qFormat/>
    <w:uiPriority w:val="99"/>
    <w:tblPr>
      <w:tblCellMar>
        <w:top w:w="0" w:type="dxa"/>
        <w:left w:w="0" w:type="dxa"/>
        <w:bottom w:w="0" w:type="dxa"/>
        <w:right w:w="0" w:type="dxa"/>
      </w:tblCellMar>
    </w:tblPr>
  </w:style>
  <w:style w:type="table" w:customStyle="1" w:styleId="149">
    <w:name w:val="List Table 1 Light - Accent 3"/>
    <w:qFormat/>
    <w:uiPriority w:val="99"/>
    <w:tblPr>
      <w:tblCellMar>
        <w:top w:w="0" w:type="dxa"/>
        <w:left w:w="0" w:type="dxa"/>
        <w:bottom w:w="0" w:type="dxa"/>
        <w:right w:w="0" w:type="dxa"/>
      </w:tblCellMar>
    </w:tblPr>
  </w:style>
  <w:style w:type="table" w:customStyle="1" w:styleId="150">
    <w:name w:val="List Table 1 Light - Accent 4"/>
    <w:qFormat/>
    <w:uiPriority w:val="99"/>
    <w:tblPr>
      <w:tblCellMar>
        <w:top w:w="0" w:type="dxa"/>
        <w:left w:w="0" w:type="dxa"/>
        <w:bottom w:w="0" w:type="dxa"/>
        <w:right w:w="0" w:type="dxa"/>
      </w:tblCellMar>
    </w:tblPr>
  </w:style>
  <w:style w:type="table" w:customStyle="1" w:styleId="151">
    <w:name w:val="List Table 1 Light - Accent 5"/>
    <w:qFormat/>
    <w:uiPriority w:val="99"/>
    <w:tblPr>
      <w:tblCellMar>
        <w:top w:w="0" w:type="dxa"/>
        <w:left w:w="0" w:type="dxa"/>
        <w:bottom w:w="0" w:type="dxa"/>
        <w:right w:w="0" w:type="dxa"/>
      </w:tblCellMar>
    </w:tblPr>
  </w:style>
  <w:style w:type="table" w:customStyle="1" w:styleId="152">
    <w:name w:val="List Table 1 Light - Accent 6"/>
    <w:qFormat/>
    <w:uiPriority w:val="99"/>
    <w:tblPr>
      <w:tblCellMar>
        <w:top w:w="0" w:type="dxa"/>
        <w:left w:w="0" w:type="dxa"/>
        <w:bottom w:w="0" w:type="dxa"/>
        <w:right w:w="0" w:type="dxa"/>
      </w:tblCellMar>
    </w:tblPr>
  </w:style>
  <w:style w:type="table" w:customStyle="1" w:styleId="153">
    <w:name w:val="清单表 21"/>
    <w:qFormat/>
    <w:uiPriority w:val="99"/>
    <w:tblPr>
      <w:tblBorders>
        <w:top w:val="single" w:color="6F6F6F" w:sz="4" w:space="0"/>
        <w:bottom w:val="single" w:color="6F6F6F" w:sz="4" w:space="0"/>
        <w:insideH w:val="single" w:color="6F6F6F" w:sz="4" w:space="0"/>
      </w:tblBorders>
      <w:tblCellMar>
        <w:top w:w="0" w:type="dxa"/>
        <w:left w:w="0" w:type="dxa"/>
        <w:bottom w:w="0" w:type="dxa"/>
        <w:right w:w="0" w:type="dxa"/>
      </w:tblCellMar>
    </w:tblPr>
  </w:style>
  <w:style w:type="table" w:customStyle="1" w:styleId="154">
    <w:name w:val="List Table 2 - Accent 1"/>
    <w:qFormat/>
    <w:uiPriority w:val="99"/>
    <w:tblPr>
      <w:tblBorders>
        <w:top w:val="single" w:color="9BB7D9" w:sz="4" w:space="0"/>
        <w:bottom w:val="single" w:color="9BB7D9" w:sz="4" w:space="0"/>
        <w:insideH w:val="single" w:color="9BB7D9" w:sz="4" w:space="0"/>
      </w:tblBorders>
      <w:tblCellMar>
        <w:top w:w="0" w:type="dxa"/>
        <w:left w:w="0" w:type="dxa"/>
        <w:bottom w:w="0" w:type="dxa"/>
        <w:right w:w="0" w:type="dxa"/>
      </w:tblCellMar>
    </w:tblPr>
  </w:style>
  <w:style w:type="table" w:customStyle="1" w:styleId="155">
    <w:name w:val="List Table 2 - Accent 2"/>
    <w:qFormat/>
    <w:uiPriority w:val="99"/>
    <w:tblPr>
      <w:tblBorders>
        <w:top w:val="single" w:color="DB9B9A" w:sz="4" w:space="0"/>
        <w:bottom w:val="single" w:color="DB9B9A" w:sz="4" w:space="0"/>
        <w:insideH w:val="single" w:color="DB9B9A" w:sz="4" w:space="0"/>
      </w:tblBorders>
      <w:tblCellMar>
        <w:top w:w="0" w:type="dxa"/>
        <w:left w:w="0" w:type="dxa"/>
        <w:bottom w:w="0" w:type="dxa"/>
        <w:right w:w="0" w:type="dxa"/>
      </w:tblCellMar>
    </w:tblPr>
  </w:style>
  <w:style w:type="table" w:customStyle="1" w:styleId="156">
    <w:name w:val="List Table 2 - Accent 3"/>
    <w:qFormat/>
    <w:uiPriority w:val="99"/>
    <w:tblPr>
      <w:tblBorders>
        <w:top w:val="single" w:color="C6D8A1" w:sz="4" w:space="0"/>
        <w:bottom w:val="single" w:color="C6D8A1" w:sz="4" w:space="0"/>
        <w:insideH w:val="single" w:color="C6D8A1" w:sz="4" w:space="0"/>
      </w:tblBorders>
      <w:tblCellMar>
        <w:top w:w="0" w:type="dxa"/>
        <w:left w:w="0" w:type="dxa"/>
        <w:bottom w:w="0" w:type="dxa"/>
        <w:right w:w="0" w:type="dxa"/>
      </w:tblCellMar>
    </w:tblPr>
  </w:style>
  <w:style w:type="table" w:customStyle="1" w:styleId="157">
    <w:name w:val="List Table 2 - Accent 4"/>
    <w:qFormat/>
    <w:uiPriority w:val="99"/>
    <w:tblPr>
      <w:tblBorders>
        <w:top w:val="single" w:color="B7A7CA" w:sz="4" w:space="0"/>
        <w:bottom w:val="single" w:color="B7A7CA" w:sz="4" w:space="0"/>
        <w:insideH w:val="single" w:color="B7A7CA" w:sz="4" w:space="0"/>
      </w:tblBorders>
      <w:tblCellMar>
        <w:top w:w="0" w:type="dxa"/>
        <w:left w:w="0" w:type="dxa"/>
        <w:bottom w:w="0" w:type="dxa"/>
        <w:right w:w="0" w:type="dxa"/>
      </w:tblCellMar>
    </w:tblPr>
  </w:style>
  <w:style w:type="table" w:customStyle="1" w:styleId="158">
    <w:name w:val="List Table 2 - Accent 5"/>
    <w:qFormat/>
    <w:uiPriority w:val="99"/>
    <w:tblPr>
      <w:tblBorders>
        <w:top w:val="single" w:color="99D0DE" w:sz="4" w:space="0"/>
        <w:bottom w:val="single" w:color="99D0DE" w:sz="4" w:space="0"/>
        <w:insideH w:val="single" w:color="99D0DE" w:sz="4" w:space="0"/>
      </w:tblBorders>
      <w:tblCellMar>
        <w:top w:w="0" w:type="dxa"/>
        <w:left w:w="0" w:type="dxa"/>
        <w:bottom w:w="0" w:type="dxa"/>
        <w:right w:w="0" w:type="dxa"/>
      </w:tblCellMar>
    </w:tblPr>
  </w:style>
  <w:style w:type="table" w:customStyle="1" w:styleId="159">
    <w:name w:val="List Table 2 - Accent 6"/>
    <w:qFormat/>
    <w:uiPriority w:val="99"/>
    <w:tblPr>
      <w:tblBorders>
        <w:top w:val="single" w:color="FAC396" w:sz="4" w:space="0"/>
        <w:bottom w:val="single" w:color="FAC396" w:sz="4" w:space="0"/>
        <w:insideH w:val="single" w:color="FAC396" w:sz="4" w:space="0"/>
      </w:tblBorders>
      <w:tblCellMar>
        <w:top w:w="0" w:type="dxa"/>
        <w:left w:w="0" w:type="dxa"/>
        <w:bottom w:w="0" w:type="dxa"/>
        <w:right w:w="0" w:type="dxa"/>
      </w:tblCellMar>
    </w:tblPr>
  </w:style>
  <w:style w:type="table" w:customStyle="1" w:styleId="160">
    <w:name w:val="清单表 31"/>
    <w:qFormat/>
    <w:uiPriority w:val="99"/>
    <w:tblPr>
      <w:tblBorders>
        <w:top w:val="single" w:color="000000" w:sz="4" w:space="0"/>
        <w:left w:val="single" w:color="000000" w:sz="4" w:space="0"/>
        <w:bottom w:val="single" w:color="000000" w:sz="4" w:space="0"/>
        <w:right w:val="single" w:color="000000" w:sz="4" w:space="0"/>
      </w:tblBorders>
      <w:tblCellMar>
        <w:top w:w="0" w:type="dxa"/>
        <w:left w:w="0" w:type="dxa"/>
        <w:bottom w:w="0" w:type="dxa"/>
        <w:right w:w="0" w:type="dxa"/>
      </w:tblCellMar>
    </w:tblPr>
  </w:style>
  <w:style w:type="table" w:customStyle="1" w:styleId="161">
    <w:name w:val="List Table 3 - Accent 1"/>
    <w:qFormat/>
    <w:uiPriority w:val="99"/>
    <w:tblPr>
      <w:tblBorders>
        <w:top w:val="single" w:color="4F81BD" w:sz="4" w:space="0"/>
        <w:left w:val="single" w:color="4F81BD" w:sz="4" w:space="0"/>
        <w:bottom w:val="single" w:color="4F81BD" w:sz="4" w:space="0"/>
        <w:right w:val="single" w:color="4F81BD" w:sz="4" w:space="0"/>
      </w:tblBorders>
      <w:tblCellMar>
        <w:top w:w="0" w:type="dxa"/>
        <w:left w:w="0" w:type="dxa"/>
        <w:bottom w:w="0" w:type="dxa"/>
        <w:right w:w="0" w:type="dxa"/>
      </w:tblCellMar>
    </w:tblPr>
  </w:style>
  <w:style w:type="table" w:customStyle="1" w:styleId="162">
    <w:name w:val="List Table 3 - Accent 2"/>
    <w:qFormat/>
    <w:uiPriority w:val="99"/>
    <w:tblPr>
      <w:tblBorders>
        <w:top w:val="single" w:color="D99695" w:sz="4" w:space="0"/>
        <w:left w:val="single" w:color="D99695" w:sz="4" w:space="0"/>
        <w:bottom w:val="single" w:color="D99695" w:sz="4" w:space="0"/>
        <w:right w:val="single" w:color="D99695" w:sz="4" w:space="0"/>
      </w:tblBorders>
      <w:tblCellMar>
        <w:top w:w="0" w:type="dxa"/>
        <w:left w:w="0" w:type="dxa"/>
        <w:bottom w:w="0" w:type="dxa"/>
        <w:right w:w="0" w:type="dxa"/>
      </w:tblCellMar>
    </w:tblPr>
  </w:style>
  <w:style w:type="table" w:customStyle="1" w:styleId="163">
    <w:name w:val="List Table 3 - Accent 3"/>
    <w:qFormat/>
    <w:uiPriority w:val="99"/>
    <w:tblPr>
      <w:tblBorders>
        <w:top w:val="single" w:color="C3D69B" w:sz="4" w:space="0"/>
        <w:left w:val="single" w:color="C3D69B" w:sz="4" w:space="0"/>
        <w:bottom w:val="single" w:color="C3D69B" w:sz="4" w:space="0"/>
        <w:right w:val="single" w:color="C3D69B" w:sz="4" w:space="0"/>
      </w:tblBorders>
      <w:tblCellMar>
        <w:top w:w="0" w:type="dxa"/>
        <w:left w:w="0" w:type="dxa"/>
        <w:bottom w:w="0" w:type="dxa"/>
        <w:right w:w="0" w:type="dxa"/>
      </w:tblCellMar>
    </w:tblPr>
  </w:style>
  <w:style w:type="table" w:customStyle="1" w:styleId="164">
    <w:name w:val="List Table 3 - Accent 4"/>
    <w:qFormat/>
    <w:uiPriority w:val="99"/>
    <w:tblPr>
      <w:tblBorders>
        <w:top w:val="single" w:color="B2A1C6" w:sz="4" w:space="0"/>
        <w:left w:val="single" w:color="B2A1C6" w:sz="4" w:space="0"/>
        <w:bottom w:val="single" w:color="B2A1C6" w:sz="4" w:space="0"/>
        <w:right w:val="single" w:color="B2A1C6" w:sz="4" w:space="0"/>
      </w:tblBorders>
      <w:tblCellMar>
        <w:top w:w="0" w:type="dxa"/>
        <w:left w:w="0" w:type="dxa"/>
        <w:bottom w:w="0" w:type="dxa"/>
        <w:right w:w="0" w:type="dxa"/>
      </w:tblCellMar>
    </w:tblPr>
  </w:style>
  <w:style w:type="table" w:customStyle="1" w:styleId="165">
    <w:name w:val="List Table 3 - Accent 5"/>
    <w:qFormat/>
    <w:uiPriority w:val="99"/>
    <w:tblPr>
      <w:tblBorders>
        <w:top w:val="single" w:color="92CCDC" w:sz="4" w:space="0"/>
        <w:left w:val="single" w:color="92CCDC" w:sz="4" w:space="0"/>
        <w:bottom w:val="single" w:color="92CCDC" w:sz="4" w:space="0"/>
        <w:right w:val="single" w:color="92CCDC" w:sz="4" w:space="0"/>
      </w:tblBorders>
      <w:tblCellMar>
        <w:top w:w="0" w:type="dxa"/>
        <w:left w:w="0" w:type="dxa"/>
        <w:bottom w:w="0" w:type="dxa"/>
        <w:right w:w="0" w:type="dxa"/>
      </w:tblCellMar>
    </w:tblPr>
  </w:style>
  <w:style w:type="table" w:customStyle="1" w:styleId="166">
    <w:name w:val="List Table 3 - Accent 6"/>
    <w:qFormat/>
    <w:uiPriority w:val="99"/>
    <w:tblPr>
      <w:tblBorders>
        <w:top w:val="single" w:color="FAC090" w:sz="4" w:space="0"/>
        <w:left w:val="single" w:color="FAC090" w:sz="4" w:space="0"/>
        <w:bottom w:val="single" w:color="FAC090" w:sz="4" w:space="0"/>
        <w:right w:val="single" w:color="FAC090" w:sz="4" w:space="0"/>
      </w:tblBorders>
      <w:tblCellMar>
        <w:top w:w="0" w:type="dxa"/>
        <w:left w:w="0" w:type="dxa"/>
        <w:bottom w:w="0" w:type="dxa"/>
        <w:right w:w="0" w:type="dxa"/>
      </w:tblCellMar>
    </w:tblPr>
  </w:style>
  <w:style w:type="table" w:customStyle="1" w:styleId="167">
    <w:name w:val="清单表 41"/>
    <w:qFormat/>
    <w:uiPriority w:val="99"/>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0" w:type="dxa"/>
        <w:bottom w:w="0" w:type="dxa"/>
        <w:right w:w="0" w:type="dxa"/>
      </w:tblCellMar>
    </w:tblPr>
  </w:style>
  <w:style w:type="table" w:customStyle="1" w:styleId="168">
    <w:name w:val="List Table 4 - Accent 1"/>
    <w:qFormat/>
    <w:uiPriority w:val="99"/>
    <w:tblPr>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0" w:type="dxa"/>
        <w:bottom w:w="0" w:type="dxa"/>
        <w:right w:w="0" w:type="dxa"/>
      </w:tblCellMar>
    </w:tblPr>
  </w:style>
  <w:style w:type="table" w:customStyle="1" w:styleId="169">
    <w:name w:val="List Table 4 - Accent 2"/>
    <w:qFormat/>
    <w:uiPriority w:val="99"/>
    <w:tblPr>
      <w:tblBorders>
        <w:top w:val="single" w:color="DB9B9A" w:sz="4" w:space="0"/>
        <w:left w:val="single" w:color="DB9B9A" w:sz="4" w:space="0"/>
        <w:bottom w:val="single" w:color="DB9B9A" w:sz="4" w:space="0"/>
        <w:right w:val="single" w:color="DB9B9A" w:sz="4" w:space="0"/>
        <w:insideH w:val="single" w:color="DB9B9A" w:sz="4" w:space="0"/>
      </w:tblBorders>
      <w:tblCellMar>
        <w:top w:w="0" w:type="dxa"/>
        <w:left w:w="0" w:type="dxa"/>
        <w:bottom w:w="0" w:type="dxa"/>
        <w:right w:w="0" w:type="dxa"/>
      </w:tblCellMar>
    </w:tblPr>
  </w:style>
  <w:style w:type="table" w:customStyle="1" w:styleId="170">
    <w:name w:val="List Table 4 - Accent 3"/>
    <w:qFormat/>
    <w:uiPriority w:val="99"/>
    <w:tblPr>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0" w:type="dxa"/>
        <w:bottom w:w="0" w:type="dxa"/>
        <w:right w:w="0" w:type="dxa"/>
      </w:tblCellMar>
    </w:tblPr>
  </w:style>
  <w:style w:type="table" w:customStyle="1" w:styleId="171">
    <w:name w:val="List Table 4 - Accent 4"/>
    <w:qFormat/>
    <w:uiPriority w:val="99"/>
    <w:tblPr>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0" w:type="dxa"/>
        <w:bottom w:w="0" w:type="dxa"/>
        <w:right w:w="0" w:type="dxa"/>
      </w:tblCellMar>
    </w:tblPr>
  </w:style>
  <w:style w:type="table" w:customStyle="1" w:styleId="172">
    <w:name w:val="List Table 4 - Accent 5"/>
    <w:qFormat/>
    <w:uiPriority w:val="99"/>
    <w:tblPr>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0" w:type="dxa"/>
        <w:bottom w:w="0" w:type="dxa"/>
        <w:right w:w="0" w:type="dxa"/>
      </w:tblCellMar>
    </w:tblPr>
  </w:style>
  <w:style w:type="table" w:customStyle="1" w:styleId="173">
    <w:name w:val="List Table 4 - Accent 6"/>
    <w:qFormat/>
    <w:uiPriority w:val="99"/>
    <w:tblPr>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0" w:type="dxa"/>
        <w:bottom w:w="0" w:type="dxa"/>
        <w:right w:w="0" w:type="dxa"/>
      </w:tblCellMar>
    </w:tblPr>
  </w:style>
  <w:style w:type="table" w:customStyle="1" w:styleId="174">
    <w:name w:val="清单表 5 深色1"/>
    <w:qFormat/>
    <w:uiPriority w:val="99"/>
    <w:tblPr>
      <w:tblBorders>
        <w:top w:val="single" w:color="7F7F7F" w:sz="32" w:space="0"/>
        <w:left w:val="single" w:color="7F7F7F" w:sz="32" w:space="0"/>
        <w:bottom w:val="single" w:color="7F7F7F" w:sz="32" w:space="0"/>
        <w:right w:val="single" w:color="7F7F7F" w:sz="32" w:space="0"/>
      </w:tblBorders>
      <w:tblCellMar>
        <w:top w:w="0" w:type="dxa"/>
        <w:left w:w="0" w:type="dxa"/>
        <w:bottom w:w="0" w:type="dxa"/>
        <w:right w:w="0" w:type="dxa"/>
      </w:tblCellMar>
    </w:tblPr>
  </w:style>
  <w:style w:type="table" w:customStyle="1" w:styleId="175">
    <w:name w:val="List Table 5 Dark - Accent 1"/>
    <w:qFormat/>
    <w:uiPriority w:val="99"/>
    <w:tblPr>
      <w:tblBorders>
        <w:top w:val="single" w:color="4F81BD" w:sz="32" w:space="0"/>
        <w:left w:val="single" w:color="4F81BD" w:sz="32" w:space="0"/>
        <w:bottom w:val="single" w:color="4F81BD" w:sz="32" w:space="0"/>
        <w:right w:val="single" w:color="4F81BD" w:sz="32" w:space="0"/>
      </w:tblBorders>
      <w:tblCellMar>
        <w:top w:w="0" w:type="dxa"/>
        <w:left w:w="0" w:type="dxa"/>
        <w:bottom w:w="0" w:type="dxa"/>
        <w:right w:w="0" w:type="dxa"/>
      </w:tblCellMar>
    </w:tblPr>
  </w:style>
  <w:style w:type="table" w:customStyle="1" w:styleId="176">
    <w:name w:val="List Table 5 Dark - Accent 2"/>
    <w:qFormat/>
    <w:uiPriority w:val="99"/>
    <w:tblPr>
      <w:tblBorders>
        <w:top w:val="single" w:color="D99695" w:sz="32" w:space="0"/>
        <w:left w:val="single" w:color="D99695" w:sz="32" w:space="0"/>
        <w:bottom w:val="single" w:color="D99695" w:sz="32" w:space="0"/>
        <w:right w:val="single" w:color="D99695" w:sz="32" w:space="0"/>
      </w:tblBorders>
      <w:tblCellMar>
        <w:top w:w="0" w:type="dxa"/>
        <w:left w:w="0" w:type="dxa"/>
        <w:bottom w:w="0" w:type="dxa"/>
        <w:right w:w="0" w:type="dxa"/>
      </w:tblCellMar>
    </w:tblPr>
  </w:style>
  <w:style w:type="table" w:customStyle="1" w:styleId="177">
    <w:name w:val="List Table 5 Dark - Accent 3"/>
    <w:qFormat/>
    <w:uiPriority w:val="99"/>
    <w:tblPr>
      <w:tblBorders>
        <w:top w:val="single" w:color="C3D69B" w:sz="32" w:space="0"/>
        <w:left w:val="single" w:color="C3D69B" w:sz="32" w:space="0"/>
        <w:bottom w:val="single" w:color="C3D69B" w:sz="32" w:space="0"/>
        <w:right w:val="single" w:color="C3D69B" w:sz="32" w:space="0"/>
      </w:tblBorders>
      <w:tblCellMar>
        <w:top w:w="0" w:type="dxa"/>
        <w:left w:w="0" w:type="dxa"/>
        <w:bottom w:w="0" w:type="dxa"/>
        <w:right w:w="0" w:type="dxa"/>
      </w:tblCellMar>
    </w:tblPr>
  </w:style>
  <w:style w:type="table" w:customStyle="1" w:styleId="178">
    <w:name w:val="List Table 5 Dark - Accent 4"/>
    <w:qFormat/>
    <w:uiPriority w:val="99"/>
    <w:tblPr>
      <w:tblBorders>
        <w:top w:val="single" w:color="B2A1C6" w:sz="32" w:space="0"/>
        <w:left w:val="single" w:color="B2A1C6" w:sz="32" w:space="0"/>
        <w:bottom w:val="single" w:color="B2A1C6" w:sz="32" w:space="0"/>
        <w:right w:val="single" w:color="B2A1C6" w:sz="32" w:space="0"/>
      </w:tblBorders>
      <w:tblCellMar>
        <w:top w:w="0" w:type="dxa"/>
        <w:left w:w="0" w:type="dxa"/>
        <w:bottom w:w="0" w:type="dxa"/>
        <w:right w:w="0" w:type="dxa"/>
      </w:tblCellMar>
    </w:tblPr>
  </w:style>
  <w:style w:type="table" w:customStyle="1" w:styleId="179">
    <w:name w:val="List Table 5 Dark - Accent 5"/>
    <w:qFormat/>
    <w:uiPriority w:val="99"/>
    <w:tblPr>
      <w:tblBorders>
        <w:top w:val="single" w:color="92CCDC" w:sz="32" w:space="0"/>
        <w:left w:val="single" w:color="92CCDC" w:sz="32" w:space="0"/>
        <w:bottom w:val="single" w:color="92CCDC" w:sz="32" w:space="0"/>
        <w:right w:val="single" w:color="92CCDC" w:sz="32" w:space="0"/>
      </w:tblBorders>
      <w:tblCellMar>
        <w:top w:w="0" w:type="dxa"/>
        <w:left w:w="0" w:type="dxa"/>
        <w:bottom w:w="0" w:type="dxa"/>
        <w:right w:w="0" w:type="dxa"/>
      </w:tblCellMar>
    </w:tblPr>
  </w:style>
  <w:style w:type="table" w:customStyle="1" w:styleId="180">
    <w:name w:val="List Table 5 Dark - Accent 6"/>
    <w:qFormat/>
    <w:uiPriority w:val="99"/>
    <w:tblPr>
      <w:tblBorders>
        <w:top w:val="single" w:color="FAC090" w:sz="32" w:space="0"/>
        <w:left w:val="single" w:color="FAC090" w:sz="32" w:space="0"/>
        <w:bottom w:val="single" w:color="FAC090" w:sz="32" w:space="0"/>
        <w:right w:val="single" w:color="FAC090" w:sz="32" w:space="0"/>
      </w:tblBorders>
      <w:tblCellMar>
        <w:top w:w="0" w:type="dxa"/>
        <w:left w:w="0" w:type="dxa"/>
        <w:bottom w:w="0" w:type="dxa"/>
        <w:right w:w="0" w:type="dxa"/>
      </w:tblCellMar>
    </w:tblPr>
  </w:style>
  <w:style w:type="table" w:customStyle="1" w:styleId="181">
    <w:name w:val="清单表 6 彩色1"/>
    <w:qFormat/>
    <w:uiPriority w:val="99"/>
    <w:tblPr>
      <w:tblBorders>
        <w:top w:val="single" w:color="7F7F7F" w:sz="4" w:space="0"/>
        <w:bottom w:val="single" w:color="7F7F7F" w:sz="4" w:space="0"/>
      </w:tblBorders>
      <w:tblCellMar>
        <w:top w:w="0" w:type="dxa"/>
        <w:left w:w="0" w:type="dxa"/>
        <w:bottom w:w="0" w:type="dxa"/>
        <w:right w:w="0" w:type="dxa"/>
      </w:tblCellMar>
    </w:tblPr>
  </w:style>
  <w:style w:type="table" w:customStyle="1" w:styleId="182">
    <w:name w:val="List Table 6 Colorful - Accent 1"/>
    <w:qFormat/>
    <w:uiPriority w:val="99"/>
    <w:tblPr>
      <w:tblBorders>
        <w:top w:val="single" w:color="4F81BD" w:sz="4" w:space="0"/>
        <w:bottom w:val="single" w:color="4F81BD" w:sz="4" w:space="0"/>
      </w:tblBorders>
      <w:tblCellMar>
        <w:top w:w="0" w:type="dxa"/>
        <w:left w:w="0" w:type="dxa"/>
        <w:bottom w:w="0" w:type="dxa"/>
        <w:right w:w="0" w:type="dxa"/>
      </w:tblCellMar>
    </w:tblPr>
  </w:style>
  <w:style w:type="table" w:customStyle="1" w:styleId="183">
    <w:name w:val="List Table 6 Colorful - Accent 2"/>
    <w:qFormat/>
    <w:uiPriority w:val="99"/>
    <w:tblPr>
      <w:tblBorders>
        <w:top w:val="single" w:color="D99695" w:sz="4" w:space="0"/>
        <w:bottom w:val="single" w:color="D99695" w:sz="4" w:space="0"/>
      </w:tblBorders>
      <w:tblCellMar>
        <w:top w:w="0" w:type="dxa"/>
        <w:left w:w="0" w:type="dxa"/>
        <w:bottom w:w="0" w:type="dxa"/>
        <w:right w:w="0" w:type="dxa"/>
      </w:tblCellMar>
    </w:tblPr>
  </w:style>
  <w:style w:type="table" w:customStyle="1" w:styleId="184">
    <w:name w:val="List Table 6 Colorful - Accent 3"/>
    <w:qFormat/>
    <w:uiPriority w:val="99"/>
    <w:tblPr>
      <w:tblBorders>
        <w:top w:val="single" w:color="C3D69B" w:sz="4" w:space="0"/>
        <w:bottom w:val="single" w:color="C3D69B" w:sz="4" w:space="0"/>
      </w:tblBorders>
      <w:tblCellMar>
        <w:top w:w="0" w:type="dxa"/>
        <w:left w:w="0" w:type="dxa"/>
        <w:bottom w:w="0" w:type="dxa"/>
        <w:right w:w="0" w:type="dxa"/>
      </w:tblCellMar>
    </w:tblPr>
  </w:style>
  <w:style w:type="table" w:customStyle="1" w:styleId="185">
    <w:name w:val="List Table 6 Colorful - Accent 4"/>
    <w:qFormat/>
    <w:uiPriority w:val="99"/>
    <w:tblPr>
      <w:tblBorders>
        <w:top w:val="single" w:color="B2A1C6" w:sz="4" w:space="0"/>
        <w:bottom w:val="single" w:color="B2A1C6" w:sz="4" w:space="0"/>
      </w:tblBorders>
      <w:tblCellMar>
        <w:top w:w="0" w:type="dxa"/>
        <w:left w:w="0" w:type="dxa"/>
        <w:bottom w:w="0" w:type="dxa"/>
        <w:right w:w="0" w:type="dxa"/>
      </w:tblCellMar>
    </w:tblPr>
  </w:style>
  <w:style w:type="table" w:customStyle="1" w:styleId="186">
    <w:name w:val="List Table 6 Colorful - Accent 5"/>
    <w:qFormat/>
    <w:uiPriority w:val="99"/>
    <w:tblPr>
      <w:tblBorders>
        <w:top w:val="single" w:color="92CCDC" w:sz="4" w:space="0"/>
        <w:bottom w:val="single" w:color="92CCDC" w:sz="4" w:space="0"/>
      </w:tblBorders>
      <w:tblCellMar>
        <w:top w:w="0" w:type="dxa"/>
        <w:left w:w="0" w:type="dxa"/>
        <w:bottom w:w="0" w:type="dxa"/>
        <w:right w:w="0" w:type="dxa"/>
      </w:tblCellMar>
    </w:tblPr>
  </w:style>
  <w:style w:type="table" w:customStyle="1" w:styleId="187">
    <w:name w:val="List Table 6 Colorful - Accent 6"/>
    <w:qFormat/>
    <w:uiPriority w:val="99"/>
    <w:tblPr>
      <w:tblBorders>
        <w:top w:val="single" w:color="FAC090" w:sz="4" w:space="0"/>
        <w:bottom w:val="single" w:color="FAC090" w:sz="4" w:space="0"/>
      </w:tblBorders>
      <w:tblCellMar>
        <w:top w:w="0" w:type="dxa"/>
        <w:left w:w="0" w:type="dxa"/>
        <w:bottom w:w="0" w:type="dxa"/>
        <w:right w:w="0" w:type="dxa"/>
      </w:tblCellMar>
    </w:tblPr>
  </w:style>
  <w:style w:type="table" w:customStyle="1" w:styleId="188">
    <w:name w:val="清单表 7 彩色1"/>
    <w:qFormat/>
    <w:uiPriority w:val="99"/>
    <w:tblPr>
      <w:tblBorders>
        <w:right w:val="single" w:color="7F7F7F" w:sz="4" w:space="0"/>
      </w:tblBorders>
      <w:tblCellMar>
        <w:top w:w="0" w:type="dxa"/>
        <w:left w:w="0" w:type="dxa"/>
        <w:bottom w:w="0" w:type="dxa"/>
        <w:right w:w="0" w:type="dxa"/>
      </w:tblCellMar>
    </w:tblPr>
  </w:style>
  <w:style w:type="table" w:customStyle="1" w:styleId="189">
    <w:name w:val="List Table 7 Colorful - Accent 1"/>
    <w:qFormat/>
    <w:uiPriority w:val="99"/>
    <w:tblPr>
      <w:tblBorders>
        <w:right w:val="single" w:color="4F81BD" w:sz="4" w:space="0"/>
      </w:tblBorders>
      <w:tblCellMar>
        <w:top w:w="0" w:type="dxa"/>
        <w:left w:w="0" w:type="dxa"/>
        <w:bottom w:w="0" w:type="dxa"/>
        <w:right w:w="0" w:type="dxa"/>
      </w:tblCellMar>
    </w:tblPr>
  </w:style>
  <w:style w:type="table" w:customStyle="1" w:styleId="190">
    <w:name w:val="List Table 7 Colorful - Accent 2"/>
    <w:qFormat/>
    <w:uiPriority w:val="99"/>
    <w:tblPr>
      <w:tblBorders>
        <w:right w:val="single" w:color="D99695" w:sz="4" w:space="0"/>
      </w:tblBorders>
      <w:tblCellMar>
        <w:top w:w="0" w:type="dxa"/>
        <w:left w:w="0" w:type="dxa"/>
        <w:bottom w:w="0" w:type="dxa"/>
        <w:right w:w="0" w:type="dxa"/>
      </w:tblCellMar>
    </w:tblPr>
  </w:style>
  <w:style w:type="table" w:customStyle="1" w:styleId="191">
    <w:name w:val="List Table 7 Colorful - Accent 3"/>
    <w:qFormat/>
    <w:uiPriority w:val="99"/>
    <w:tblPr>
      <w:tblBorders>
        <w:right w:val="single" w:color="C3D69B" w:sz="4" w:space="0"/>
      </w:tblBorders>
      <w:tblCellMar>
        <w:top w:w="0" w:type="dxa"/>
        <w:left w:w="0" w:type="dxa"/>
        <w:bottom w:w="0" w:type="dxa"/>
        <w:right w:w="0" w:type="dxa"/>
      </w:tblCellMar>
    </w:tblPr>
  </w:style>
  <w:style w:type="table" w:customStyle="1" w:styleId="192">
    <w:name w:val="List Table 7 Colorful - Accent 4"/>
    <w:qFormat/>
    <w:uiPriority w:val="99"/>
    <w:tblPr>
      <w:tblBorders>
        <w:right w:val="single" w:color="B2A1C6" w:sz="4" w:space="0"/>
      </w:tblBorders>
      <w:tblCellMar>
        <w:top w:w="0" w:type="dxa"/>
        <w:left w:w="0" w:type="dxa"/>
        <w:bottom w:w="0" w:type="dxa"/>
        <w:right w:w="0" w:type="dxa"/>
      </w:tblCellMar>
    </w:tblPr>
  </w:style>
  <w:style w:type="table" w:customStyle="1" w:styleId="193">
    <w:name w:val="List Table 7 Colorful - Accent 5"/>
    <w:qFormat/>
    <w:uiPriority w:val="99"/>
    <w:tblPr>
      <w:tblBorders>
        <w:right w:val="single" w:color="92CCDC" w:sz="4" w:space="0"/>
      </w:tblBorders>
      <w:tblCellMar>
        <w:top w:w="0" w:type="dxa"/>
        <w:left w:w="0" w:type="dxa"/>
        <w:bottom w:w="0" w:type="dxa"/>
        <w:right w:w="0" w:type="dxa"/>
      </w:tblCellMar>
    </w:tblPr>
  </w:style>
  <w:style w:type="table" w:customStyle="1" w:styleId="194">
    <w:name w:val="List Table 7 Colorful - Accent 6"/>
    <w:qFormat/>
    <w:uiPriority w:val="99"/>
    <w:tblPr>
      <w:tblBorders>
        <w:right w:val="single" w:color="FAC090" w:sz="4" w:space="0"/>
      </w:tblBorders>
      <w:tblCellMar>
        <w:top w:w="0" w:type="dxa"/>
        <w:left w:w="0" w:type="dxa"/>
        <w:bottom w:w="0" w:type="dxa"/>
        <w:right w:w="0" w:type="dxa"/>
      </w:tblCellMar>
    </w:tblPr>
  </w:style>
  <w:style w:type="table" w:customStyle="1" w:styleId="195">
    <w:name w:val="Lined - Accent"/>
    <w:qFormat/>
    <w:uiPriority w:val="99"/>
    <w:rPr>
      <w:color w:val="404040"/>
    </w:rPr>
    <w:tblPr>
      <w:tblCellMar>
        <w:top w:w="0" w:type="dxa"/>
        <w:left w:w="0" w:type="dxa"/>
        <w:bottom w:w="0" w:type="dxa"/>
        <w:right w:w="0" w:type="dxa"/>
      </w:tblCellMar>
    </w:tblPr>
  </w:style>
  <w:style w:type="table" w:customStyle="1" w:styleId="196">
    <w:name w:val="Lined - Accent 1"/>
    <w:qFormat/>
    <w:uiPriority w:val="99"/>
    <w:rPr>
      <w:color w:val="404040"/>
    </w:rPr>
    <w:tblPr>
      <w:tblCellMar>
        <w:top w:w="0" w:type="dxa"/>
        <w:left w:w="0" w:type="dxa"/>
        <w:bottom w:w="0" w:type="dxa"/>
        <w:right w:w="0" w:type="dxa"/>
      </w:tblCellMar>
    </w:tblPr>
  </w:style>
  <w:style w:type="table" w:customStyle="1" w:styleId="197">
    <w:name w:val="Lined - Accent 2"/>
    <w:qFormat/>
    <w:uiPriority w:val="99"/>
    <w:rPr>
      <w:color w:val="404040"/>
    </w:rPr>
    <w:tblPr>
      <w:tblCellMar>
        <w:top w:w="0" w:type="dxa"/>
        <w:left w:w="0" w:type="dxa"/>
        <w:bottom w:w="0" w:type="dxa"/>
        <w:right w:w="0" w:type="dxa"/>
      </w:tblCellMar>
    </w:tblPr>
  </w:style>
  <w:style w:type="table" w:customStyle="1" w:styleId="198">
    <w:name w:val="Lined - Accent 3"/>
    <w:qFormat/>
    <w:uiPriority w:val="99"/>
    <w:rPr>
      <w:color w:val="404040"/>
    </w:rPr>
    <w:tblPr>
      <w:tblCellMar>
        <w:top w:w="0" w:type="dxa"/>
        <w:left w:w="0" w:type="dxa"/>
        <w:bottom w:w="0" w:type="dxa"/>
        <w:right w:w="0" w:type="dxa"/>
      </w:tblCellMar>
    </w:tblPr>
  </w:style>
  <w:style w:type="table" w:customStyle="1" w:styleId="199">
    <w:name w:val="Lined - Accent 4"/>
    <w:qFormat/>
    <w:uiPriority w:val="99"/>
    <w:rPr>
      <w:color w:val="404040"/>
    </w:rPr>
    <w:tblPr>
      <w:tblCellMar>
        <w:top w:w="0" w:type="dxa"/>
        <w:left w:w="0" w:type="dxa"/>
        <w:bottom w:w="0" w:type="dxa"/>
        <w:right w:w="0" w:type="dxa"/>
      </w:tblCellMar>
    </w:tblPr>
  </w:style>
  <w:style w:type="table" w:customStyle="1" w:styleId="200">
    <w:name w:val="Lined - Accent 5"/>
    <w:qFormat/>
    <w:uiPriority w:val="99"/>
    <w:rPr>
      <w:color w:val="404040"/>
    </w:rPr>
    <w:tblPr>
      <w:tblCellMar>
        <w:top w:w="0" w:type="dxa"/>
        <w:left w:w="0" w:type="dxa"/>
        <w:bottom w:w="0" w:type="dxa"/>
        <w:right w:w="0" w:type="dxa"/>
      </w:tblCellMar>
    </w:tblPr>
  </w:style>
  <w:style w:type="table" w:customStyle="1" w:styleId="201">
    <w:name w:val="Lined - Accent 6"/>
    <w:qFormat/>
    <w:uiPriority w:val="99"/>
    <w:rPr>
      <w:color w:val="404040"/>
    </w:rPr>
    <w:tblPr>
      <w:tblCellMar>
        <w:top w:w="0" w:type="dxa"/>
        <w:left w:w="0" w:type="dxa"/>
        <w:bottom w:w="0" w:type="dxa"/>
        <w:right w:w="0" w:type="dxa"/>
      </w:tblCellMar>
    </w:tblPr>
  </w:style>
  <w:style w:type="table" w:customStyle="1" w:styleId="202">
    <w:name w:val="Bordered &amp; Lined - Accent"/>
    <w:qFormat/>
    <w:uiPriority w:val="99"/>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0" w:type="dxa"/>
        <w:bottom w:w="0" w:type="dxa"/>
        <w:right w:w="0" w:type="dxa"/>
      </w:tblCellMar>
    </w:tblPr>
  </w:style>
  <w:style w:type="table" w:customStyle="1" w:styleId="203">
    <w:name w:val="Bordered &amp; Lined - Accent 1"/>
    <w:qFormat/>
    <w:uiPriority w:val="99"/>
    <w:rPr>
      <w:color w:val="404040"/>
    </w:rPr>
    <w:tblPr>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top w:w="0" w:type="dxa"/>
        <w:left w:w="0" w:type="dxa"/>
        <w:bottom w:w="0" w:type="dxa"/>
        <w:right w:w="0" w:type="dxa"/>
      </w:tblCellMar>
    </w:tblPr>
  </w:style>
  <w:style w:type="table" w:customStyle="1" w:styleId="204">
    <w:name w:val="Bordered &amp; Lined - Accent 2"/>
    <w:qFormat/>
    <w:uiPriority w:val="99"/>
    <w:rPr>
      <w:color w:val="404040"/>
    </w:rPr>
    <w:tblPr>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top w:w="0" w:type="dxa"/>
        <w:left w:w="0" w:type="dxa"/>
        <w:bottom w:w="0" w:type="dxa"/>
        <w:right w:w="0" w:type="dxa"/>
      </w:tblCellMar>
    </w:tblPr>
  </w:style>
  <w:style w:type="table" w:customStyle="1" w:styleId="205">
    <w:name w:val="Bordered &amp; Lined - Accent 3"/>
    <w:qFormat/>
    <w:uiPriority w:val="99"/>
    <w:rPr>
      <w:color w:val="404040"/>
    </w:rPr>
    <w:tblPr>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top w:w="0" w:type="dxa"/>
        <w:left w:w="0" w:type="dxa"/>
        <w:bottom w:w="0" w:type="dxa"/>
        <w:right w:w="0" w:type="dxa"/>
      </w:tblCellMar>
    </w:tblPr>
  </w:style>
  <w:style w:type="table" w:customStyle="1" w:styleId="206">
    <w:name w:val="Bordered &amp; Lined - Accent 4"/>
    <w:qFormat/>
    <w:uiPriority w:val="99"/>
    <w:rPr>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0" w:type="dxa"/>
        <w:bottom w:w="0" w:type="dxa"/>
        <w:right w:w="0" w:type="dxa"/>
      </w:tblCellMar>
    </w:tblPr>
  </w:style>
  <w:style w:type="table" w:customStyle="1" w:styleId="207">
    <w:name w:val="Bordered &amp; Lined - Accent 5"/>
    <w:qFormat/>
    <w:uiPriority w:val="99"/>
    <w:rPr>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0" w:type="dxa"/>
        <w:bottom w:w="0" w:type="dxa"/>
        <w:right w:w="0" w:type="dxa"/>
      </w:tblCellMar>
    </w:tblPr>
  </w:style>
  <w:style w:type="table" w:customStyle="1" w:styleId="208">
    <w:name w:val="Bordered &amp; Lined - Accent 6"/>
    <w:qFormat/>
    <w:uiPriority w:val="99"/>
    <w:rPr>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0" w:type="dxa"/>
        <w:bottom w:w="0" w:type="dxa"/>
        <w:right w:w="0" w:type="dxa"/>
      </w:tblCellMar>
    </w:tblPr>
  </w:style>
  <w:style w:type="table" w:customStyle="1" w:styleId="209">
    <w:name w:val="Bordered"/>
    <w:qFormat/>
    <w:uiPriority w:val="99"/>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0" w:type="dxa"/>
        <w:bottom w:w="0" w:type="dxa"/>
        <w:right w:w="0" w:type="dxa"/>
      </w:tblCellMar>
    </w:tblPr>
  </w:style>
  <w:style w:type="table" w:customStyle="1" w:styleId="210">
    <w:name w:val="Bordered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211">
    <w:name w:val="Bordered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212">
    <w:name w:val="Bordered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213">
    <w:name w:val="Bordered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214">
    <w:name w:val="Bordered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215">
    <w:name w:val="Bordered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character" w:customStyle="1" w:styleId="216">
    <w:name w:val="Footnote Text Char"/>
    <w:qFormat/>
    <w:uiPriority w:val="99"/>
    <w:rPr>
      <w:sz w:val="18"/>
    </w:rPr>
  </w:style>
  <w:style w:type="character" w:customStyle="1" w:styleId="217">
    <w:name w:val="尾注文本 Char"/>
    <w:link w:val="34"/>
    <w:qFormat/>
    <w:uiPriority w:val="99"/>
    <w:rPr>
      <w:sz w:val="20"/>
    </w:rPr>
  </w:style>
  <w:style w:type="paragraph" w:customStyle="1" w:styleId="218">
    <w:name w:val="TOC 标题1"/>
    <w:unhideWhenUsed/>
    <w:qFormat/>
    <w:uiPriority w:val="39"/>
    <w:rPr>
      <w:rFonts w:ascii="Times New Roman" w:hAnsi="Times New Roman" w:eastAsia="宋体" w:cs="Times New Roman"/>
      <w:lang w:val="en-US" w:eastAsia="zh-CN" w:bidi="ar-SA"/>
    </w:rPr>
  </w:style>
  <w:style w:type="paragraph" w:customStyle="1" w:styleId="219">
    <w:name w:val="正文首行缩进 21"/>
    <w:basedOn w:val="3"/>
    <w:next w:val="1"/>
    <w:link w:val="221"/>
    <w:unhideWhenUsed/>
    <w:qFormat/>
    <w:uiPriority w:val="0"/>
    <w:pPr>
      <w:ind w:firstLine="420"/>
    </w:pPr>
  </w:style>
  <w:style w:type="character" w:customStyle="1" w:styleId="220">
    <w:name w:val="正文文本缩进 Char"/>
    <w:link w:val="3"/>
    <w:qFormat/>
    <w:uiPriority w:val="0"/>
    <w:rPr>
      <w:sz w:val="21"/>
      <w:szCs w:val="22"/>
    </w:rPr>
  </w:style>
  <w:style w:type="character" w:customStyle="1" w:styleId="221">
    <w:name w:val="正文首行缩进 2 Char"/>
    <w:link w:val="219"/>
    <w:qFormat/>
    <w:uiPriority w:val="0"/>
    <w:rPr>
      <w:sz w:val="21"/>
      <w:szCs w:val="22"/>
    </w:rPr>
  </w:style>
  <w:style w:type="character" w:customStyle="1" w:styleId="222">
    <w:name w:val="标题 1 Char"/>
    <w:link w:val="6"/>
    <w:qFormat/>
    <w:uiPriority w:val="0"/>
    <w:rPr>
      <w:rFonts w:ascii="Calibri" w:hAnsi="Calibri" w:eastAsia="楷体_GB2312" w:cs="Times New Roman"/>
      <w:b/>
      <w:sz w:val="44"/>
      <w:szCs w:val="20"/>
    </w:rPr>
  </w:style>
  <w:style w:type="character" w:customStyle="1" w:styleId="223">
    <w:name w:val="标题 2 Char"/>
    <w:link w:val="7"/>
    <w:qFormat/>
    <w:uiPriority w:val="0"/>
    <w:rPr>
      <w:rFonts w:ascii="Cambria" w:hAnsi="Cambria" w:eastAsia="宋体" w:cs="Times New Roman"/>
      <w:b/>
      <w:bCs/>
      <w:sz w:val="32"/>
      <w:szCs w:val="32"/>
    </w:rPr>
  </w:style>
  <w:style w:type="character" w:customStyle="1" w:styleId="224">
    <w:name w:val="标题 3 Char"/>
    <w:link w:val="8"/>
    <w:qFormat/>
    <w:uiPriority w:val="99"/>
    <w:rPr>
      <w:rFonts w:ascii="宋体" w:hAnsi="宋体" w:eastAsia="宋体" w:cs="宋体"/>
      <w:b/>
      <w:bCs/>
      <w:sz w:val="27"/>
      <w:szCs w:val="27"/>
    </w:rPr>
  </w:style>
  <w:style w:type="character" w:customStyle="1" w:styleId="225">
    <w:name w:val="标题 4 Char"/>
    <w:link w:val="9"/>
    <w:qFormat/>
    <w:uiPriority w:val="0"/>
    <w:rPr>
      <w:rFonts w:ascii="Arial" w:hAnsi="Arial" w:eastAsia="黑体"/>
      <w:b/>
      <w:bCs/>
      <w:sz w:val="28"/>
      <w:szCs w:val="28"/>
    </w:rPr>
  </w:style>
  <w:style w:type="character" w:customStyle="1" w:styleId="226">
    <w:name w:val="标题 5 Char"/>
    <w:link w:val="10"/>
    <w:qFormat/>
    <w:uiPriority w:val="0"/>
    <w:rPr>
      <w:rFonts w:ascii="宋体" w:hAnsi="Calibri" w:eastAsia="宋体" w:cs="Times New Roman"/>
      <w:b/>
      <w:spacing w:val="-2"/>
      <w:position w:val="-6"/>
      <w:sz w:val="28"/>
    </w:rPr>
  </w:style>
  <w:style w:type="character" w:customStyle="1" w:styleId="227">
    <w:name w:val="正文缩进 Char"/>
    <w:link w:val="11"/>
    <w:qFormat/>
    <w:uiPriority w:val="0"/>
    <w:rPr>
      <w:rFonts w:ascii="Calibri" w:hAnsi="Calibri" w:eastAsia="楷体_GB2312" w:cs="Times New Roman"/>
      <w:sz w:val="24"/>
      <w:szCs w:val="20"/>
    </w:rPr>
  </w:style>
  <w:style w:type="character" w:customStyle="1" w:styleId="228">
    <w:name w:val="标题 6 Char"/>
    <w:link w:val="12"/>
    <w:qFormat/>
    <w:uiPriority w:val="0"/>
    <w:rPr>
      <w:rFonts w:ascii="Arial" w:hAnsi="Arial" w:eastAsia="黑体" w:cs="Times New Roman"/>
      <w:b/>
      <w:spacing w:val="-2"/>
      <w:position w:val="-6"/>
      <w:sz w:val="24"/>
    </w:rPr>
  </w:style>
  <w:style w:type="character" w:customStyle="1" w:styleId="229">
    <w:name w:val="标题 7 Char"/>
    <w:link w:val="13"/>
    <w:qFormat/>
    <w:uiPriority w:val="0"/>
    <w:rPr>
      <w:rFonts w:ascii="宋体" w:hAnsi="Calibri" w:eastAsia="宋体" w:cs="Times New Roman"/>
      <w:b/>
      <w:spacing w:val="-2"/>
      <w:position w:val="-6"/>
      <w:sz w:val="24"/>
    </w:rPr>
  </w:style>
  <w:style w:type="character" w:customStyle="1" w:styleId="230">
    <w:name w:val="标题 8 Char"/>
    <w:link w:val="14"/>
    <w:qFormat/>
    <w:uiPriority w:val="0"/>
    <w:rPr>
      <w:rFonts w:ascii="Arial" w:hAnsi="Arial" w:eastAsia="黑体" w:cs="Times New Roman"/>
      <w:spacing w:val="-2"/>
      <w:position w:val="-6"/>
      <w:sz w:val="24"/>
    </w:rPr>
  </w:style>
  <w:style w:type="character" w:customStyle="1" w:styleId="231">
    <w:name w:val="标题 9 Char"/>
    <w:link w:val="15"/>
    <w:qFormat/>
    <w:uiPriority w:val="0"/>
    <w:rPr>
      <w:rFonts w:ascii="Arial" w:hAnsi="Arial" w:eastAsia="黑体" w:cs="Times New Roman"/>
      <w:spacing w:val="-2"/>
      <w:position w:val="-6"/>
      <w:sz w:val="28"/>
    </w:rPr>
  </w:style>
  <w:style w:type="paragraph" w:customStyle="1" w:styleId="232">
    <w:name w:val="目录 71"/>
    <w:basedOn w:val="1"/>
    <w:next w:val="1"/>
    <w:qFormat/>
    <w:uiPriority w:val="0"/>
    <w:pPr>
      <w:ind w:left="2520"/>
    </w:pPr>
    <w:rPr>
      <w:rFonts w:eastAsia="楷体_GB2312"/>
      <w:sz w:val="26"/>
      <w:szCs w:val="20"/>
    </w:rPr>
  </w:style>
  <w:style w:type="character" w:customStyle="1" w:styleId="233">
    <w:name w:val="文档结构图 Char"/>
    <w:link w:val="20"/>
    <w:qFormat/>
    <w:uiPriority w:val="0"/>
    <w:rPr>
      <w:rFonts w:ascii="宋体" w:eastAsia="宋体"/>
      <w:sz w:val="18"/>
      <w:szCs w:val="18"/>
    </w:rPr>
  </w:style>
  <w:style w:type="character" w:customStyle="1" w:styleId="234">
    <w:name w:val="批注文字 Char"/>
    <w:link w:val="21"/>
    <w:qFormat/>
    <w:uiPriority w:val="0"/>
    <w:rPr>
      <w:sz w:val="21"/>
      <w:szCs w:val="22"/>
    </w:rPr>
  </w:style>
  <w:style w:type="character" w:customStyle="1" w:styleId="235">
    <w:name w:val="正文文本 Char1"/>
    <w:link w:val="23"/>
    <w:qFormat/>
    <w:uiPriority w:val="0"/>
    <w:rPr>
      <w:rFonts w:ascii="Times New Roman" w:hAnsi="Times New Roman" w:eastAsia="宋体" w:cs="Times New Roman"/>
      <w:sz w:val="21"/>
      <w:szCs w:val="22"/>
    </w:rPr>
  </w:style>
  <w:style w:type="paragraph" w:customStyle="1" w:styleId="236">
    <w:name w:val="目录 51"/>
    <w:basedOn w:val="1"/>
    <w:next w:val="1"/>
    <w:qFormat/>
    <w:uiPriority w:val="0"/>
    <w:pPr>
      <w:ind w:left="1680"/>
    </w:pPr>
    <w:rPr>
      <w:rFonts w:eastAsia="楷体_GB2312"/>
      <w:sz w:val="26"/>
      <w:szCs w:val="20"/>
    </w:rPr>
  </w:style>
  <w:style w:type="paragraph" w:customStyle="1" w:styleId="237">
    <w:name w:val="目录 31"/>
    <w:basedOn w:val="1"/>
    <w:next w:val="1"/>
    <w:link w:val="238"/>
    <w:qFormat/>
    <w:uiPriority w:val="0"/>
    <w:pPr>
      <w:ind w:left="840"/>
    </w:pPr>
    <w:rPr>
      <w:szCs w:val="20"/>
      <w:lang w:eastAsia="en-US"/>
    </w:rPr>
  </w:style>
  <w:style w:type="character" w:customStyle="1" w:styleId="238">
    <w:name w:val="目录 3 Char"/>
    <w:link w:val="237"/>
    <w:qFormat/>
    <w:uiPriority w:val="0"/>
    <w:rPr>
      <w:rFonts w:ascii="Calibri" w:hAnsi="Calibri" w:eastAsia="宋体" w:cs="Times New Roman"/>
      <w:sz w:val="21"/>
    </w:rPr>
  </w:style>
  <w:style w:type="character" w:customStyle="1" w:styleId="239">
    <w:name w:val="纯文本 Char"/>
    <w:link w:val="29"/>
    <w:qFormat/>
    <w:uiPriority w:val="0"/>
    <w:rPr>
      <w:rFonts w:ascii="宋体" w:hAnsi="Courier New" w:eastAsia="宋体" w:cs="Times New Roman"/>
      <w:sz w:val="21"/>
    </w:rPr>
  </w:style>
  <w:style w:type="paragraph" w:customStyle="1" w:styleId="240">
    <w:name w:val="目录 81"/>
    <w:basedOn w:val="1"/>
    <w:next w:val="1"/>
    <w:qFormat/>
    <w:uiPriority w:val="0"/>
    <w:pPr>
      <w:ind w:left="2940"/>
    </w:pPr>
    <w:rPr>
      <w:rFonts w:eastAsia="楷体_GB2312"/>
      <w:sz w:val="26"/>
      <w:szCs w:val="20"/>
    </w:rPr>
  </w:style>
  <w:style w:type="character" w:customStyle="1" w:styleId="241">
    <w:name w:val="日期 Char"/>
    <w:link w:val="32"/>
    <w:qFormat/>
    <w:uiPriority w:val="0"/>
    <w:rPr>
      <w:rFonts w:ascii="宋体" w:hAnsi="宋体" w:eastAsia="楷体_GB2312" w:cs="Times New Roman"/>
      <w:sz w:val="24"/>
    </w:rPr>
  </w:style>
  <w:style w:type="character" w:customStyle="1" w:styleId="242">
    <w:name w:val="正文文本缩进 2 Char"/>
    <w:link w:val="33"/>
    <w:qFormat/>
    <w:uiPriority w:val="0"/>
    <w:rPr>
      <w:rFonts w:ascii="宋体" w:hAnsi="Calibri" w:eastAsia="宋体" w:cs="Times New Roman"/>
      <w:b/>
      <w:bCs/>
      <w:sz w:val="24"/>
    </w:rPr>
  </w:style>
  <w:style w:type="character" w:customStyle="1" w:styleId="243">
    <w:name w:val="批注框文本 Char"/>
    <w:link w:val="35"/>
    <w:qFormat/>
    <w:uiPriority w:val="0"/>
    <w:rPr>
      <w:sz w:val="18"/>
      <w:szCs w:val="18"/>
    </w:rPr>
  </w:style>
  <w:style w:type="character" w:customStyle="1" w:styleId="244">
    <w:name w:val="页脚 Char"/>
    <w:link w:val="36"/>
    <w:qFormat/>
    <w:uiPriority w:val="99"/>
    <w:rPr>
      <w:sz w:val="18"/>
      <w:szCs w:val="18"/>
    </w:rPr>
  </w:style>
  <w:style w:type="character" w:customStyle="1" w:styleId="245">
    <w:name w:val="页眉 Char"/>
    <w:link w:val="37"/>
    <w:qFormat/>
    <w:uiPriority w:val="99"/>
    <w:rPr>
      <w:sz w:val="18"/>
      <w:szCs w:val="18"/>
    </w:rPr>
  </w:style>
  <w:style w:type="character" w:customStyle="1" w:styleId="246">
    <w:name w:val="签名 Char"/>
    <w:link w:val="38"/>
    <w:qFormat/>
    <w:uiPriority w:val="0"/>
    <w:rPr>
      <w:rFonts w:ascii="Calibri" w:hAnsi="Calibri" w:eastAsia="仿宋_GB2312" w:cs="Times New Roman"/>
      <w:sz w:val="24"/>
    </w:rPr>
  </w:style>
  <w:style w:type="paragraph" w:customStyle="1" w:styleId="247">
    <w:name w:val="目录 11"/>
    <w:basedOn w:val="1"/>
    <w:next w:val="1"/>
    <w:qFormat/>
    <w:uiPriority w:val="0"/>
    <w:pPr>
      <w:jc w:val="left"/>
    </w:pPr>
    <w:rPr>
      <w:rFonts w:eastAsia="楷体_GB2312"/>
      <w:sz w:val="24"/>
      <w:szCs w:val="20"/>
    </w:rPr>
  </w:style>
  <w:style w:type="paragraph" w:customStyle="1" w:styleId="248">
    <w:name w:val="目录 41"/>
    <w:basedOn w:val="1"/>
    <w:next w:val="1"/>
    <w:qFormat/>
    <w:uiPriority w:val="0"/>
    <w:pPr>
      <w:ind w:left="1260"/>
    </w:pPr>
    <w:rPr>
      <w:rFonts w:eastAsia="楷体_GB2312"/>
      <w:sz w:val="26"/>
      <w:szCs w:val="20"/>
    </w:rPr>
  </w:style>
  <w:style w:type="character" w:customStyle="1" w:styleId="249">
    <w:name w:val="脚注文本 Char"/>
    <w:link w:val="44"/>
    <w:qFormat/>
    <w:uiPriority w:val="0"/>
    <w:rPr>
      <w:rFonts w:ascii="Calibri" w:hAnsi="Calibri" w:eastAsia="楷体_GB2312" w:cs="Times New Roman"/>
      <w:sz w:val="18"/>
    </w:rPr>
  </w:style>
  <w:style w:type="paragraph" w:customStyle="1" w:styleId="250">
    <w:name w:val="目录 61"/>
    <w:basedOn w:val="1"/>
    <w:next w:val="1"/>
    <w:qFormat/>
    <w:uiPriority w:val="0"/>
    <w:pPr>
      <w:ind w:left="2100"/>
    </w:pPr>
    <w:rPr>
      <w:rFonts w:eastAsia="楷体_GB2312"/>
      <w:sz w:val="26"/>
      <w:szCs w:val="20"/>
    </w:rPr>
  </w:style>
  <w:style w:type="character" w:customStyle="1" w:styleId="251">
    <w:name w:val="正文文本缩进 3 Char"/>
    <w:link w:val="5"/>
    <w:qFormat/>
    <w:uiPriority w:val="0"/>
    <w:rPr>
      <w:rFonts w:ascii="Calibri" w:hAnsi="Calibri" w:eastAsia="宋体" w:cs="Times New Roman"/>
      <w:sz w:val="24"/>
      <w:szCs w:val="24"/>
    </w:rPr>
  </w:style>
  <w:style w:type="paragraph" w:customStyle="1" w:styleId="252">
    <w:name w:val="目录 21"/>
    <w:basedOn w:val="1"/>
    <w:next w:val="1"/>
    <w:qFormat/>
    <w:uiPriority w:val="0"/>
    <w:pPr>
      <w:ind w:left="420"/>
    </w:pPr>
    <w:rPr>
      <w:rFonts w:eastAsia="楷体_GB2312"/>
      <w:sz w:val="26"/>
      <w:szCs w:val="20"/>
    </w:rPr>
  </w:style>
  <w:style w:type="paragraph" w:customStyle="1" w:styleId="253">
    <w:name w:val="目录 91"/>
    <w:basedOn w:val="1"/>
    <w:next w:val="1"/>
    <w:qFormat/>
    <w:uiPriority w:val="0"/>
    <w:pPr>
      <w:ind w:left="3360"/>
    </w:pPr>
    <w:rPr>
      <w:rFonts w:eastAsia="楷体_GB2312"/>
      <w:sz w:val="26"/>
      <w:szCs w:val="20"/>
    </w:rPr>
  </w:style>
  <w:style w:type="character" w:customStyle="1" w:styleId="254">
    <w:name w:val="HTML 预设格式 Char"/>
    <w:link w:val="51"/>
    <w:qFormat/>
    <w:uiPriority w:val="0"/>
    <w:rPr>
      <w:rFonts w:ascii="黑体" w:hAnsi="Courier New" w:eastAsia="黑体" w:cs="楷体_GB2312"/>
    </w:rPr>
  </w:style>
  <w:style w:type="character" w:customStyle="1" w:styleId="255">
    <w:name w:val="普通(网站) Char"/>
    <w:link w:val="52"/>
    <w:qFormat/>
    <w:uiPriority w:val="0"/>
    <w:rPr>
      <w:rFonts w:ascii="Calibri" w:hAnsi="Calibri" w:eastAsia="宋体" w:cs="Times New Roman"/>
      <w:sz w:val="24"/>
    </w:rPr>
  </w:style>
  <w:style w:type="character" w:customStyle="1" w:styleId="256">
    <w:name w:val="批注主题 Char"/>
    <w:link w:val="55"/>
    <w:semiHidden/>
    <w:qFormat/>
    <w:uiPriority w:val="99"/>
    <w:rPr>
      <w:b/>
      <w:bCs/>
      <w:sz w:val="21"/>
      <w:szCs w:val="22"/>
    </w:rPr>
  </w:style>
  <w:style w:type="paragraph" w:customStyle="1" w:styleId="257">
    <w:name w:val="正文首行缩进1"/>
    <w:basedOn w:val="23"/>
    <w:link w:val="258"/>
    <w:qFormat/>
    <w:uiPriority w:val="0"/>
    <w:pPr>
      <w:ind w:firstLine="420"/>
    </w:pPr>
    <w:rPr>
      <w:rFonts w:ascii="Calibri" w:hAnsi="Calibri" w:eastAsia="楷体_GB2312"/>
      <w:sz w:val="26"/>
      <w:szCs w:val="20"/>
    </w:rPr>
  </w:style>
  <w:style w:type="character" w:customStyle="1" w:styleId="258">
    <w:name w:val="正文首行缩进 Char"/>
    <w:link w:val="257"/>
    <w:qFormat/>
    <w:uiPriority w:val="0"/>
    <w:rPr>
      <w:rFonts w:ascii="Calibri" w:hAnsi="Calibri" w:eastAsia="楷体_GB2312" w:cs="Times New Roman"/>
      <w:sz w:val="26"/>
      <w:szCs w:val="22"/>
    </w:rPr>
  </w:style>
  <w:style w:type="character" w:customStyle="1" w:styleId="259">
    <w:name w:val="已访问的超链接1"/>
    <w:qFormat/>
    <w:uiPriority w:val="99"/>
    <w:rPr>
      <w:color w:val="333333"/>
      <w:u w:val="none"/>
    </w:rPr>
  </w:style>
  <w:style w:type="paragraph" w:customStyle="1" w:styleId="260">
    <w:name w:val="正文缩进1"/>
    <w:basedOn w:val="1"/>
    <w:qFormat/>
    <w:uiPriority w:val="0"/>
    <w:pPr>
      <w:widowControl/>
      <w:ind w:firstLine="420"/>
      <w:jc w:val="left"/>
    </w:pPr>
  </w:style>
  <w:style w:type="character" w:customStyle="1" w:styleId="261">
    <w:name w:val="NormalCharacter1"/>
    <w:qFormat/>
    <w:uiPriority w:val="0"/>
    <w:rPr>
      <w:rFonts w:ascii="Times New Roman" w:hAnsi="Times New Roman" w:eastAsia="宋体" w:cs="Times New Roman"/>
    </w:rPr>
  </w:style>
  <w:style w:type="paragraph" w:customStyle="1" w:styleId="262">
    <w:name w:val="Default"/>
    <w:qFormat/>
    <w:uiPriority w:val="0"/>
    <w:pPr>
      <w:widowControl w:val="0"/>
    </w:pPr>
    <w:rPr>
      <w:rFonts w:ascii="微软雅黑" w:hAnsi="Times New Roman" w:eastAsia="微软雅黑" w:cs="微软雅黑"/>
      <w:color w:val="000000"/>
      <w:sz w:val="24"/>
      <w:szCs w:val="24"/>
      <w:lang w:val="en-US" w:eastAsia="zh-CN" w:bidi="ar-SA"/>
    </w:rPr>
  </w:style>
  <w:style w:type="paragraph" w:customStyle="1" w:styleId="263">
    <w:name w:val="列出段落1"/>
    <w:basedOn w:val="1"/>
    <w:qFormat/>
    <w:uiPriority w:val="0"/>
    <w:pPr>
      <w:ind w:firstLine="420"/>
    </w:pPr>
    <w:rPr>
      <w:rFonts w:ascii="Times New Roman" w:hAnsi="Times New Roman"/>
    </w:rPr>
  </w:style>
  <w:style w:type="table" w:customStyle="1" w:styleId="264">
    <w:name w:val="网格型1"/>
    <w:basedOn w:val="56"/>
    <w:qFormat/>
    <w:uiPriority w:val="0"/>
    <w:pPr>
      <w:widowControl w:val="0"/>
      <w:jc w:val="both"/>
    </w:pPr>
    <w:tblPr>
      <w:tblCellMar>
        <w:top w:w="0" w:type="dxa"/>
        <w:left w:w="108" w:type="dxa"/>
        <w:bottom w:w="0" w:type="dxa"/>
        <w:right w:w="108" w:type="dxa"/>
      </w:tblCellMar>
    </w:tblPr>
  </w:style>
  <w:style w:type="table" w:customStyle="1" w:styleId="265">
    <w:name w:val="网格型2"/>
    <w:basedOn w:val="56"/>
    <w:qFormat/>
    <w:uiPriority w:val="0"/>
    <w:pPr>
      <w:widowControl w:val="0"/>
      <w:jc w:val="both"/>
    </w:pPr>
    <w:tblPr>
      <w:tblCellMar>
        <w:top w:w="0" w:type="dxa"/>
        <w:left w:w="108" w:type="dxa"/>
        <w:bottom w:w="0" w:type="dxa"/>
        <w:right w:w="108" w:type="dxa"/>
      </w:tblCellMar>
    </w:tblPr>
  </w:style>
  <w:style w:type="character" w:customStyle="1" w:styleId="266">
    <w:name w:val="正文文本 Char"/>
    <w:qFormat/>
    <w:uiPriority w:val="0"/>
    <w:rPr>
      <w:rFonts w:ascii="楷体_GB2312" w:eastAsia="楷体_GB2312"/>
      <w:sz w:val="28"/>
    </w:rPr>
  </w:style>
  <w:style w:type="paragraph" w:customStyle="1" w:styleId="267">
    <w:name w:val="style4"/>
    <w:basedOn w:val="1"/>
    <w:next w:val="268"/>
    <w:qFormat/>
    <w:uiPriority w:val="99"/>
    <w:pPr>
      <w:widowControl/>
      <w:spacing w:before="280" w:after="280"/>
    </w:pPr>
    <w:rPr>
      <w:rFonts w:ascii="宋体" w:eastAsia="楷体_GB2312"/>
      <w:sz w:val="18"/>
      <w:szCs w:val="20"/>
    </w:rPr>
  </w:style>
  <w:style w:type="paragraph" w:customStyle="1" w:styleId="268">
    <w:name w:val="2"/>
    <w:next w:val="1"/>
    <w:qFormat/>
    <w:uiPriority w:val="99"/>
    <w:pPr>
      <w:widowControl w:val="0"/>
      <w:jc w:val="both"/>
    </w:pPr>
    <w:rPr>
      <w:rFonts w:ascii="Times New Roman" w:hAnsi="Times New Roman" w:eastAsia="宋体" w:cs="Times New Roman"/>
      <w:sz w:val="21"/>
      <w:szCs w:val="22"/>
      <w:lang w:val="en-US" w:eastAsia="zh-CN" w:bidi="ar-SA"/>
    </w:rPr>
  </w:style>
  <w:style w:type="table" w:customStyle="1" w:styleId="269">
    <w:name w:val="网格型3"/>
    <w:basedOn w:val="56"/>
    <w:qFormat/>
    <w:uiPriority w:val="0"/>
    <w:pPr>
      <w:widowControl w:val="0"/>
      <w:jc w:val="both"/>
    </w:pPr>
    <w:rPr>
      <w:rFonts w:ascii="Calibri" w:hAnsi="Calibri"/>
      <w:sz w:val="21"/>
      <w:szCs w:val="22"/>
    </w:rPr>
    <w:tblPr>
      <w:tblCellMar>
        <w:top w:w="0" w:type="dxa"/>
        <w:left w:w="108" w:type="dxa"/>
        <w:bottom w:w="0" w:type="dxa"/>
        <w:right w:w="108" w:type="dxa"/>
      </w:tblCellMar>
    </w:tblPr>
  </w:style>
  <w:style w:type="character" w:customStyle="1" w:styleId="270">
    <w:name w:val="正文文本首行缩进 字符"/>
    <w:qFormat/>
    <w:uiPriority w:val="0"/>
    <w:rPr>
      <w:rFonts w:eastAsia="楷体_GB2312"/>
      <w:sz w:val="26"/>
    </w:rPr>
  </w:style>
  <w:style w:type="character" w:customStyle="1" w:styleId="271">
    <w:name w:val="Char Char4"/>
    <w:qFormat/>
    <w:uiPriority w:val="0"/>
    <w:rPr>
      <w:rFonts w:ascii="方正仿宋简体" w:hAnsi="创艺简仿宋" w:eastAsia="方正仿宋简体"/>
      <w:sz w:val="24"/>
      <w:lang w:val="en-US" w:eastAsia="zh-CN" w:bidi="ar-SA"/>
    </w:rPr>
  </w:style>
  <w:style w:type="character" w:customStyle="1" w:styleId="272">
    <w:name w:val="state"/>
    <w:qFormat/>
    <w:uiPriority w:val="0"/>
    <w:rPr>
      <w:b/>
      <w:color w:val="FFFFFF"/>
      <w:sz w:val="19"/>
      <w:szCs w:val="19"/>
    </w:rPr>
  </w:style>
  <w:style w:type="character" w:customStyle="1" w:styleId="273">
    <w:name w:val="bds_more6"/>
    <w:qFormat/>
    <w:uiPriority w:val="0"/>
  </w:style>
  <w:style w:type="character" w:customStyle="1" w:styleId="274">
    <w:name w:val="hilite"/>
    <w:qFormat/>
    <w:uiPriority w:val="0"/>
    <w:rPr>
      <w:color w:val="FFFFFF"/>
      <w:shd w:val="clear" w:color="auto" w:fill="776666"/>
    </w:rPr>
  </w:style>
  <w:style w:type="character" w:customStyle="1" w:styleId="275">
    <w:name w:val="bds_nopic"/>
    <w:qFormat/>
    <w:uiPriority w:val="0"/>
  </w:style>
  <w:style w:type="character" w:customStyle="1" w:styleId="276">
    <w:name w:val="Char Char2"/>
    <w:qFormat/>
    <w:uiPriority w:val="0"/>
    <w:rPr>
      <w:rFonts w:ascii="宋体" w:hAnsi="宋体" w:eastAsia="楷体_GB2312"/>
      <w:b/>
      <w:sz w:val="26"/>
      <w:lang w:val="en-US" w:eastAsia="zh-CN" w:bidi="ar-SA"/>
    </w:rPr>
  </w:style>
  <w:style w:type="character" w:customStyle="1" w:styleId="277">
    <w:name w:val="hover61"/>
    <w:qFormat/>
    <w:uiPriority w:val="0"/>
    <w:rPr>
      <w:shd w:val="clear" w:color="auto" w:fill="FF0000"/>
    </w:rPr>
  </w:style>
  <w:style w:type="character" w:customStyle="1" w:styleId="278">
    <w:name w:val="font51"/>
    <w:qFormat/>
    <w:uiPriority w:val="99"/>
    <w:rPr>
      <w:rFonts w:hint="eastAsia" w:ascii="宋体" w:hAnsi="宋体" w:eastAsia="宋体" w:cs="宋体"/>
      <w:color w:val="FF0000"/>
      <w:sz w:val="20"/>
      <w:szCs w:val="20"/>
      <w:u w:val="none"/>
    </w:rPr>
  </w:style>
  <w:style w:type="character" w:customStyle="1" w:styleId="279">
    <w:name w:val="grid"/>
    <w:qFormat/>
    <w:uiPriority w:val="0"/>
  </w:style>
  <w:style w:type="character" w:customStyle="1" w:styleId="280">
    <w:name w:val="bds_more7"/>
    <w:qFormat/>
    <w:uiPriority w:val="0"/>
  </w:style>
  <w:style w:type="character" w:customStyle="1" w:styleId="281">
    <w:name w:val="bds_more8"/>
    <w:qFormat/>
    <w:uiPriority w:val="0"/>
    <w:rPr>
      <w:rFonts w:hint="eastAsia" w:ascii="宋体" w:hAnsi="宋体" w:eastAsia="宋体" w:cs="宋体"/>
    </w:rPr>
  </w:style>
  <w:style w:type="character" w:customStyle="1" w:styleId="282">
    <w:name w:val="bds_more4"/>
    <w:qFormat/>
    <w:uiPriority w:val="0"/>
    <w:rPr>
      <w:rFonts w:hint="eastAsia" w:ascii="宋体" w:hAnsi="宋体" w:eastAsia="宋体" w:cs="宋体"/>
    </w:rPr>
  </w:style>
  <w:style w:type="character" w:customStyle="1" w:styleId="283">
    <w:name w:val="bds_nopic1"/>
    <w:qFormat/>
    <w:uiPriority w:val="0"/>
  </w:style>
  <w:style w:type="character" w:customStyle="1" w:styleId="284">
    <w:name w:val="hilite6"/>
    <w:qFormat/>
    <w:uiPriority w:val="0"/>
    <w:rPr>
      <w:color w:val="FFFFFF"/>
      <w:shd w:val="clear" w:color="auto" w:fill="776666"/>
    </w:rPr>
  </w:style>
  <w:style w:type="character" w:customStyle="1" w:styleId="285">
    <w:name w:val="正文缩进2格 Char Char"/>
    <w:link w:val="286"/>
    <w:qFormat/>
    <w:uiPriority w:val="0"/>
    <w:rPr>
      <w:rFonts w:ascii="仿宋_GB2312" w:hAnsi="宋体" w:eastAsia="仿宋_GB2312"/>
      <w:sz w:val="31"/>
      <w:szCs w:val="28"/>
    </w:rPr>
  </w:style>
  <w:style w:type="paragraph" w:customStyle="1" w:styleId="286">
    <w:name w:val="正文缩进2格"/>
    <w:basedOn w:val="1"/>
    <w:link w:val="285"/>
    <w:qFormat/>
    <w:uiPriority w:val="0"/>
    <w:pPr>
      <w:spacing w:line="600" w:lineRule="exact"/>
      <w:ind w:firstLine="639"/>
    </w:pPr>
    <w:rPr>
      <w:rFonts w:ascii="仿宋_GB2312" w:hAnsi="宋体" w:eastAsia="仿宋_GB2312"/>
      <w:sz w:val="31"/>
      <w:szCs w:val="28"/>
      <w:lang w:eastAsia="en-US"/>
    </w:rPr>
  </w:style>
  <w:style w:type="character" w:customStyle="1" w:styleId="287">
    <w:name w:val="grid2"/>
    <w:qFormat/>
    <w:uiPriority w:val="0"/>
  </w:style>
  <w:style w:type="character" w:customStyle="1" w:styleId="288">
    <w:name w:val="other"/>
    <w:qFormat/>
    <w:uiPriority w:val="0"/>
  </w:style>
  <w:style w:type="character" w:customStyle="1" w:styleId="289">
    <w:name w:val="font01"/>
    <w:qFormat/>
    <w:uiPriority w:val="0"/>
    <w:rPr>
      <w:rFonts w:hint="eastAsia" w:ascii="宋体" w:hAnsi="宋体" w:eastAsia="宋体" w:cs="宋体"/>
      <w:b/>
      <w:color w:val="000000"/>
      <w:sz w:val="20"/>
      <w:szCs w:val="20"/>
      <w:u w:val="none"/>
    </w:rPr>
  </w:style>
  <w:style w:type="character" w:customStyle="1" w:styleId="290">
    <w:name w:val="noused"/>
    <w:qFormat/>
    <w:uiPriority w:val="0"/>
    <w:rPr>
      <w:b/>
      <w:color w:val="FFFFFF"/>
      <w:sz w:val="21"/>
      <w:szCs w:val="21"/>
    </w:rPr>
  </w:style>
  <w:style w:type="character" w:customStyle="1" w:styleId="291">
    <w:name w:val="active8"/>
    <w:qFormat/>
    <w:uiPriority w:val="0"/>
    <w:rPr>
      <w:color w:val="00FF00"/>
      <w:shd w:val="clear" w:color="auto" w:fill="000000"/>
    </w:rPr>
  </w:style>
  <w:style w:type="character" w:customStyle="1" w:styleId="292">
    <w:name w:val="font61"/>
    <w:qFormat/>
    <w:uiPriority w:val="0"/>
    <w:rPr>
      <w:rFonts w:hint="eastAsia" w:ascii="宋体" w:hAnsi="宋体" w:eastAsia="宋体" w:cs="宋体"/>
      <w:color w:val="000000"/>
      <w:sz w:val="20"/>
      <w:szCs w:val="20"/>
      <w:u w:val="none"/>
    </w:rPr>
  </w:style>
  <w:style w:type="character" w:customStyle="1" w:styleId="293">
    <w:name w:val="bds_more5"/>
    <w:qFormat/>
    <w:uiPriority w:val="0"/>
  </w:style>
  <w:style w:type="character" w:customStyle="1" w:styleId="294">
    <w:name w:val="bds_nopic2"/>
    <w:qFormat/>
    <w:uiPriority w:val="0"/>
  </w:style>
  <w:style w:type="character" w:customStyle="1" w:styleId="295">
    <w:name w:val="active"/>
    <w:qFormat/>
    <w:uiPriority w:val="0"/>
    <w:rPr>
      <w:color w:val="00FF00"/>
      <w:shd w:val="clear" w:color="auto" w:fill="000000"/>
    </w:rPr>
  </w:style>
  <w:style w:type="character" w:customStyle="1" w:styleId="296">
    <w:name w:val="列出段落 Char"/>
    <w:link w:val="297"/>
    <w:qFormat/>
    <w:uiPriority w:val="0"/>
    <w:rPr>
      <w:sz w:val="21"/>
      <w:szCs w:val="24"/>
    </w:rPr>
  </w:style>
  <w:style w:type="paragraph" w:customStyle="1" w:styleId="297">
    <w:name w:val="列出段落2"/>
    <w:basedOn w:val="1"/>
    <w:link w:val="296"/>
    <w:qFormat/>
    <w:uiPriority w:val="0"/>
    <w:pPr>
      <w:ind w:firstLine="420"/>
    </w:pPr>
    <w:rPr>
      <w:rFonts w:ascii="Times New Roman" w:hAnsi="Times New Roman"/>
      <w:szCs w:val="24"/>
      <w:lang w:eastAsia="en-US"/>
    </w:rPr>
  </w:style>
  <w:style w:type="character" w:customStyle="1" w:styleId="298">
    <w:name w:val="font41"/>
    <w:qFormat/>
    <w:uiPriority w:val="0"/>
    <w:rPr>
      <w:rFonts w:hint="eastAsia" w:ascii="宋体" w:hAnsi="宋体" w:eastAsia="宋体" w:cs="宋体"/>
      <w:color w:val="000000"/>
      <w:sz w:val="20"/>
      <w:szCs w:val="20"/>
      <w:u w:val="none"/>
    </w:rPr>
  </w:style>
  <w:style w:type="character" w:customStyle="1" w:styleId="299">
    <w:name w:val="font11"/>
    <w:qFormat/>
    <w:uiPriority w:val="0"/>
    <w:rPr>
      <w:rFonts w:ascii="宋体" w:hAnsi="宋体" w:eastAsia="宋体"/>
      <w:color w:val="000000"/>
      <w:sz w:val="28"/>
      <w:u w:val="none"/>
    </w:rPr>
  </w:style>
  <w:style w:type="character" w:customStyle="1" w:styleId="300">
    <w:name w:val="font81"/>
    <w:qFormat/>
    <w:uiPriority w:val="0"/>
    <w:rPr>
      <w:rFonts w:ascii="宋体" w:hAnsi="宋体" w:eastAsia="宋体"/>
      <w:b/>
      <w:color w:val="000000"/>
      <w:sz w:val="18"/>
      <w:u w:val="none"/>
    </w:rPr>
  </w:style>
  <w:style w:type="character" w:customStyle="1" w:styleId="301">
    <w:name w:val="font71"/>
    <w:qFormat/>
    <w:uiPriority w:val="0"/>
    <w:rPr>
      <w:rFonts w:hint="eastAsia" w:ascii="宋体" w:hAnsi="宋体" w:eastAsia="宋体" w:cs="宋体"/>
      <w:color w:val="000000"/>
      <w:sz w:val="20"/>
      <w:szCs w:val="20"/>
      <w:u w:val="none"/>
      <w:vertAlign w:val="superscript"/>
    </w:rPr>
  </w:style>
  <w:style w:type="character" w:customStyle="1" w:styleId="302">
    <w:name w:val="正文文本缩进 Char1"/>
    <w:qFormat/>
    <w:uiPriority w:val="0"/>
    <w:rPr>
      <w:rFonts w:eastAsia="楷体_GB2312"/>
      <w:sz w:val="26"/>
    </w:rPr>
  </w:style>
  <w:style w:type="character" w:customStyle="1" w:styleId="303">
    <w:name w:val="font101"/>
    <w:qFormat/>
    <w:uiPriority w:val="0"/>
    <w:rPr>
      <w:rFonts w:hint="eastAsia" w:ascii="微软雅黑" w:hAnsi="微软雅黑" w:eastAsia="微软雅黑" w:cs="微软雅黑"/>
      <w:color w:val="000000"/>
      <w:sz w:val="20"/>
      <w:szCs w:val="20"/>
      <w:u w:val="none"/>
      <w:vertAlign w:val="superscript"/>
    </w:rPr>
  </w:style>
  <w:style w:type="character" w:customStyle="1" w:styleId="304">
    <w:name w:val="日期 Char1"/>
    <w:qFormat/>
    <w:uiPriority w:val="0"/>
    <w:rPr>
      <w:rFonts w:eastAsia="楷体_GB2312"/>
      <w:sz w:val="26"/>
      <w:szCs w:val="26"/>
    </w:rPr>
  </w:style>
  <w:style w:type="character" w:customStyle="1" w:styleId="305">
    <w:name w:val="Balloon Text Char"/>
    <w:semiHidden/>
    <w:qFormat/>
    <w:uiPriority w:val="0"/>
    <w:rPr>
      <w:rFonts w:eastAsia="宋体"/>
      <w:sz w:val="18"/>
      <w:lang w:val="en-US" w:eastAsia="zh-CN"/>
    </w:rPr>
  </w:style>
  <w:style w:type="character" w:customStyle="1" w:styleId="306">
    <w:name w:val="font21"/>
    <w:qFormat/>
    <w:uiPriority w:val="0"/>
    <w:rPr>
      <w:rFonts w:hint="eastAsia" w:ascii="宋体" w:hAnsi="宋体" w:eastAsia="宋体" w:cs="宋体"/>
      <w:b/>
      <w:color w:val="000000"/>
      <w:sz w:val="20"/>
      <w:szCs w:val="20"/>
      <w:u w:val="none"/>
    </w:rPr>
  </w:style>
  <w:style w:type="character" w:customStyle="1" w:styleId="307">
    <w:name w:val="font31"/>
    <w:qFormat/>
    <w:uiPriority w:val="0"/>
    <w:rPr>
      <w:rFonts w:ascii="宋体" w:hAnsi="宋体" w:eastAsia="宋体"/>
      <w:color w:val="000000"/>
      <w:sz w:val="20"/>
      <w:u w:val="none"/>
    </w:rPr>
  </w:style>
  <w:style w:type="character" w:customStyle="1" w:styleId="308">
    <w:name w:val="Body Text Indent Char"/>
    <w:qFormat/>
    <w:uiPriority w:val="0"/>
    <w:rPr>
      <w:rFonts w:ascii="方正仿宋简体" w:hAnsi="创艺简仿宋" w:eastAsia="方正仿宋简体"/>
      <w:sz w:val="24"/>
    </w:rPr>
  </w:style>
  <w:style w:type="character" w:customStyle="1" w:styleId="309">
    <w:name w:val="Header Char1"/>
    <w:qFormat/>
    <w:uiPriority w:val="0"/>
    <w:rPr>
      <w:rFonts w:eastAsia="楷体_GB2312"/>
      <w:sz w:val="18"/>
    </w:rPr>
  </w:style>
  <w:style w:type="character" w:customStyle="1" w:styleId="310">
    <w:name w:val="Header Char"/>
    <w:qFormat/>
    <w:uiPriority w:val="0"/>
    <w:rPr>
      <w:sz w:val="18"/>
    </w:rPr>
  </w:style>
  <w:style w:type="character" w:customStyle="1" w:styleId="311">
    <w:name w:val="正文文本缩进 Char2"/>
    <w:qFormat/>
    <w:uiPriority w:val="0"/>
    <w:rPr>
      <w:rFonts w:eastAsia="楷体_GB2312"/>
      <w:sz w:val="26"/>
      <w:szCs w:val="26"/>
    </w:rPr>
  </w:style>
  <w:style w:type="paragraph" w:customStyle="1" w:styleId="312">
    <w:name w:val="p0"/>
    <w:basedOn w:val="1"/>
    <w:qFormat/>
    <w:uiPriority w:val="0"/>
    <w:pPr>
      <w:widowControl/>
    </w:pPr>
    <w:rPr>
      <w:szCs w:val="21"/>
    </w:rPr>
  </w:style>
  <w:style w:type="paragraph" w:customStyle="1" w:styleId="313">
    <w:name w:val="纯文本1"/>
    <w:basedOn w:val="1"/>
    <w:qFormat/>
    <w:uiPriority w:val="0"/>
    <w:rPr>
      <w:rFonts w:ascii="宋体" w:hAnsi="Courier New" w:eastAsia="楷体_GB2312"/>
      <w:sz w:val="28"/>
      <w:szCs w:val="20"/>
    </w:rPr>
  </w:style>
  <w:style w:type="paragraph" w:customStyle="1" w:styleId="314">
    <w:name w:val="Char Char1 Char Char Char Char"/>
    <w:basedOn w:val="20"/>
    <w:qFormat/>
    <w:uiPriority w:val="0"/>
    <w:pPr>
      <w:shd w:val="clear" w:color="auto" w:fill="000080"/>
      <w:spacing w:line="360" w:lineRule="auto"/>
    </w:pPr>
    <w:rPr>
      <w:rFonts w:ascii="Tahoma" w:hAnsi="Tahoma"/>
      <w:sz w:val="24"/>
      <w:szCs w:val="24"/>
    </w:rPr>
  </w:style>
  <w:style w:type="paragraph" w:customStyle="1" w:styleId="315">
    <w:name w:val="Char Char1 Char Char Char Char Char Char Char"/>
    <w:basedOn w:val="1"/>
    <w:qFormat/>
    <w:uiPriority w:val="0"/>
    <w:rPr>
      <w:rFonts w:ascii="Tahoma" w:hAnsi="Tahoma" w:eastAsia="楷体_GB2312"/>
      <w:sz w:val="24"/>
      <w:szCs w:val="20"/>
    </w:rPr>
  </w:style>
  <w:style w:type="paragraph" w:customStyle="1" w:styleId="316">
    <w:name w:val="Char"/>
    <w:basedOn w:val="1"/>
    <w:qFormat/>
    <w:uiPriority w:val="0"/>
    <w:pPr>
      <w:widowControl/>
      <w:spacing w:after="160" w:line="240" w:lineRule="exact"/>
      <w:jc w:val="left"/>
    </w:pPr>
    <w:rPr>
      <w:rFonts w:ascii="Verdana" w:hAnsi="Verdana"/>
      <w:szCs w:val="20"/>
      <w:lang w:eastAsia="en-US"/>
    </w:rPr>
  </w:style>
  <w:style w:type="paragraph" w:customStyle="1" w:styleId="317">
    <w:name w:val="Char1"/>
    <w:basedOn w:val="1"/>
    <w:qFormat/>
    <w:uiPriority w:val="0"/>
    <w:rPr>
      <w:rFonts w:ascii="Tahoma" w:hAnsi="Tahoma"/>
      <w:sz w:val="24"/>
      <w:szCs w:val="20"/>
    </w:rPr>
  </w:style>
  <w:style w:type="paragraph" w:customStyle="1" w:styleId="318">
    <w:name w:val="图"/>
    <w:basedOn w:val="1"/>
    <w:qFormat/>
    <w:uiPriority w:val="0"/>
    <w:pPr>
      <w:keepNext/>
      <w:spacing w:before="60" w:after="60" w:line="300" w:lineRule="auto"/>
      <w:jc w:val="center"/>
    </w:pPr>
    <w:rPr>
      <w:spacing w:val="20"/>
      <w:sz w:val="24"/>
      <w:szCs w:val="20"/>
    </w:rPr>
  </w:style>
  <w:style w:type="paragraph" w:customStyle="1" w:styleId="319">
    <w:name w:val="纯文本2"/>
    <w:basedOn w:val="1"/>
    <w:qFormat/>
    <w:uiPriority w:val="0"/>
    <w:rPr>
      <w:rFonts w:ascii="宋体" w:hAnsi="Courier New" w:eastAsia="楷体_GB2312"/>
      <w:sz w:val="26"/>
      <w:szCs w:val="20"/>
    </w:rPr>
  </w:style>
  <w:style w:type="paragraph" w:customStyle="1" w:styleId="320">
    <w:name w:val="Table Paragraph"/>
    <w:basedOn w:val="1"/>
    <w:qFormat/>
    <w:uiPriority w:val="1"/>
    <w:rPr>
      <w:rFonts w:ascii="仿宋" w:hAnsi="仿宋" w:eastAsia="仿宋" w:cs="仿宋"/>
      <w:lang w:val="zh-CN" w:bidi="zh-CN"/>
    </w:rPr>
  </w:style>
  <w:style w:type="paragraph" w:customStyle="1" w:styleId="321">
    <w:name w:val="xl10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sz w:val="20"/>
      <w:szCs w:val="20"/>
    </w:rPr>
  </w:style>
  <w:style w:type="paragraph" w:customStyle="1" w:styleId="322">
    <w:name w:val="font10"/>
    <w:basedOn w:val="1"/>
    <w:qFormat/>
    <w:uiPriority w:val="0"/>
    <w:pPr>
      <w:widowControl/>
      <w:spacing w:before="100" w:beforeAutospacing="1" w:after="100" w:afterAutospacing="1"/>
      <w:jc w:val="left"/>
    </w:pPr>
    <w:rPr>
      <w:rFonts w:ascii="宋体" w:hAnsi="宋体" w:cs="宋体"/>
      <w:sz w:val="18"/>
      <w:szCs w:val="18"/>
    </w:rPr>
  </w:style>
  <w:style w:type="paragraph" w:customStyle="1" w:styleId="323">
    <w:name w:val="xl10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sz w:val="20"/>
      <w:szCs w:val="20"/>
    </w:rPr>
  </w:style>
  <w:style w:type="paragraph" w:customStyle="1" w:styleId="324">
    <w:name w:val="xl12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仿宋" w:hAnsi="仿宋" w:eastAsia="仿宋" w:cs="宋体"/>
      <w:sz w:val="20"/>
      <w:szCs w:val="20"/>
    </w:rPr>
  </w:style>
  <w:style w:type="paragraph" w:customStyle="1" w:styleId="325">
    <w:name w:val="xl12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仿宋" w:hAnsi="仿宋" w:eastAsia="仿宋" w:cs="宋体"/>
      <w:sz w:val="20"/>
      <w:szCs w:val="20"/>
    </w:rPr>
  </w:style>
  <w:style w:type="paragraph" w:customStyle="1" w:styleId="326">
    <w:name w:val="font7"/>
    <w:basedOn w:val="1"/>
    <w:qFormat/>
    <w:uiPriority w:val="0"/>
    <w:pPr>
      <w:widowControl/>
      <w:spacing w:before="100" w:beforeAutospacing="1" w:after="100" w:afterAutospacing="1"/>
      <w:jc w:val="left"/>
    </w:pPr>
    <w:rPr>
      <w:rFonts w:ascii="宋体" w:hAnsi="宋体" w:cs="宋体"/>
      <w:sz w:val="18"/>
      <w:szCs w:val="18"/>
    </w:rPr>
  </w:style>
  <w:style w:type="paragraph" w:customStyle="1" w:styleId="327">
    <w:name w:val="xl16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 w:hAnsi="仿宋" w:eastAsia="仿宋" w:cs="宋体"/>
      <w:b/>
      <w:bCs/>
      <w:sz w:val="20"/>
      <w:szCs w:val="20"/>
    </w:rPr>
  </w:style>
  <w:style w:type="paragraph" w:customStyle="1" w:styleId="328">
    <w:name w:val="xl1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宋体"/>
      <w:sz w:val="20"/>
      <w:szCs w:val="20"/>
    </w:rPr>
  </w:style>
  <w:style w:type="paragraph" w:customStyle="1" w:styleId="329">
    <w:name w:val="xl1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sz w:val="20"/>
      <w:szCs w:val="20"/>
    </w:rPr>
  </w:style>
  <w:style w:type="paragraph" w:customStyle="1" w:styleId="330">
    <w:name w:val="font12"/>
    <w:basedOn w:val="1"/>
    <w:qFormat/>
    <w:uiPriority w:val="0"/>
    <w:pPr>
      <w:widowControl/>
      <w:spacing w:before="100" w:beforeAutospacing="1" w:after="100" w:afterAutospacing="1"/>
      <w:jc w:val="left"/>
    </w:pPr>
    <w:rPr>
      <w:rFonts w:ascii="宋体" w:hAnsi="宋体" w:cs="宋体"/>
      <w:sz w:val="18"/>
      <w:szCs w:val="18"/>
    </w:rPr>
  </w:style>
  <w:style w:type="paragraph" w:customStyle="1" w:styleId="331">
    <w:name w:val="xl14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Courier New" w:hAnsi="Courier New" w:cs="Courier New"/>
      <w:color w:val="000000"/>
      <w:sz w:val="20"/>
      <w:szCs w:val="20"/>
    </w:rPr>
  </w:style>
  <w:style w:type="paragraph" w:customStyle="1" w:styleId="332">
    <w:name w:val="font22"/>
    <w:basedOn w:val="1"/>
    <w:qFormat/>
    <w:uiPriority w:val="0"/>
    <w:pPr>
      <w:widowControl/>
      <w:spacing w:before="100" w:beforeAutospacing="1" w:after="100" w:afterAutospacing="1"/>
      <w:jc w:val="left"/>
    </w:pPr>
    <w:rPr>
      <w:rFonts w:ascii="宋体" w:hAnsi="宋体" w:cs="宋体"/>
      <w:sz w:val="18"/>
      <w:szCs w:val="18"/>
    </w:rPr>
  </w:style>
  <w:style w:type="paragraph" w:customStyle="1" w:styleId="333">
    <w:name w:val="xl15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b/>
      <w:bCs/>
      <w:sz w:val="20"/>
      <w:szCs w:val="20"/>
    </w:rPr>
  </w:style>
  <w:style w:type="paragraph" w:customStyle="1" w:styleId="334">
    <w:name w:val="xl15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b/>
      <w:bCs/>
      <w:sz w:val="20"/>
      <w:szCs w:val="20"/>
    </w:rPr>
  </w:style>
  <w:style w:type="paragraph" w:customStyle="1" w:styleId="335">
    <w:name w:val="xl11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Courier New" w:hAnsi="Courier New" w:cs="Courier New"/>
      <w:sz w:val="20"/>
      <w:szCs w:val="20"/>
    </w:rPr>
  </w:style>
  <w:style w:type="paragraph" w:customStyle="1" w:styleId="336">
    <w:name w:val="xl14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Courier New" w:hAnsi="Courier New" w:cs="Courier New"/>
      <w:sz w:val="20"/>
      <w:szCs w:val="20"/>
    </w:rPr>
  </w:style>
  <w:style w:type="paragraph" w:customStyle="1" w:styleId="337">
    <w:name w:val="xl12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仿宋" w:hAnsi="仿宋" w:eastAsia="仿宋" w:cs="宋体"/>
      <w:sz w:val="20"/>
      <w:szCs w:val="20"/>
    </w:rPr>
  </w:style>
  <w:style w:type="paragraph" w:customStyle="1" w:styleId="338">
    <w:name w:val="xl13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sz w:val="20"/>
      <w:szCs w:val="20"/>
    </w:rPr>
  </w:style>
  <w:style w:type="paragraph" w:customStyle="1" w:styleId="339">
    <w:name w:val="xl15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宋体"/>
      <w:sz w:val="20"/>
      <w:szCs w:val="20"/>
    </w:rPr>
  </w:style>
  <w:style w:type="paragraph" w:customStyle="1" w:styleId="340">
    <w:name w:val="xl1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宋体"/>
      <w:sz w:val="20"/>
      <w:szCs w:val="20"/>
    </w:rPr>
  </w:style>
  <w:style w:type="paragraph" w:customStyle="1" w:styleId="341">
    <w:name w:val="xl14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宋体"/>
      <w:sz w:val="20"/>
      <w:szCs w:val="20"/>
    </w:rPr>
  </w:style>
  <w:style w:type="paragraph" w:customStyle="1" w:styleId="342">
    <w:name w:val="xl15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宋体"/>
      <w:sz w:val="20"/>
      <w:szCs w:val="20"/>
    </w:rPr>
  </w:style>
  <w:style w:type="paragraph" w:customStyle="1" w:styleId="343">
    <w:name w:val="xl14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宋体"/>
      <w:sz w:val="20"/>
      <w:szCs w:val="20"/>
    </w:rPr>
  </w:style>
  <w:style w:type="paragraph" w:customStyle="1" w:styleId="344">
    <w:name w:val="xl1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宋体"/>
      <w:sz w:val="20"/>
      <w:szCs w:val="20"/>
    </w:rPr>
  </w:style>
  <w:style w:type="paragraph" w:customStyle="1" w:styleId="345">
    <w:name w:val="font8"/>
    <w:basedOn w:val="1"/>
    <w:qFormat/>
    <w:uiPriority w:val="0"/>
    <w:pPr>
      <w:widowControl/>
      <w:spacing w:before="100" w:beforeAutospacing="1" w:after="100" w:afterAutospacing="1"/>
      <w:jc w:val="left"/>
    </w:pPr>
    <w:rPr>
      <w:rFonts w:ascii="宋体" w:hAnsi="宋体" w:cs="宋体"/>
      <w:sz w:val="18"/>
      <w:szCs w:val="18"/>
    </w:rPr>
  </w:style>
  <w:style w:type="paragraph" w:customStyle="1" w:styleId="346">
    <w:name w:val="xl1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sz w:val="20"/>
      <w:szCs w:val="20"/>
    </w:rPr>
  </w:style>
  <w:style w:type="paragraph" w:customStyle="1" w:styleId="347">
    <w:name w:val="xl1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宋体"/>
      <w:sz w:val="20"/>
      <w:szCs w:val="20"/>
    </w:rPr>
  </w:style>
  <w:style w:type="paragraph" w:customStyle="1" w:styleId="348">
    <w:name w:val="font6"/>
    <w:basedOn w:val="1"/>
    <w:qFormat/>
    <w:uiPriority w:val="0"/>
    <w:pPr>
      <w:widowControl/>
      <w:spacing w:before="100" w:beforeAutospacing="1" w:after="100" w:afterAutospacing="1"/>
      <w:jc w:val="left"/>
    </w:pPr>
    <w:rPr>
      <w:rFonts w:ascii="宋体" w:hAnsi="宋体" w:cs="宋体"/>
      <w:sz w:val="18"/>
      <w:szCs w:val="18"/>
    </w:rPr>
  </w:style>
  <w:style w:type="paragraph" w:customStyle="1" w:styleId="349">
    <w:name w:val="xl1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宋体"/>
      <w:sz w:val="20"/>
      <w:szCs w:val="20"/>
    </w:rPr>
  </w:style>
  <w:style w:type="paragraph" w:customStyle="1" w:styleId="350">
    <w:name w:val="xl10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sz w:val="20"/>
      <w:szCs w:val="20"/>
    </w:rPr>
  </w:style>
  <w:style w:type="paragraph" w:customStyle="1" w:styleId="351">
    <w:name w:val="xl10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Courier New" w:hAnsi="Courier New" w:cs="Courier New"/>
      <w:sz w:val="20"/>
      <w:szCs w:val="20"/>
    </w:rPr>
  </w:style>
  <w:style w:type="paragraph" w:customStyle="1" w:styleId="352">
    <w:name w:val="xl13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仿宋" w:hAnsi="仿宋" w:eastAsia="仿宋" w:cs="宋体"/>
      <w:sz w:val="20"/>
      <w:szCs w:val="20"/>
    </w:rPr>
  </w:style>
  <w:style w:type="paragraph" w:customStyle="1" w:styleId="353">
    <w:name w:val="xl10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b/>
      <w:bCs/>
      <w:sz w:val="20"/>
      <w:szCs w:val="20"/>
    </w:rPr>
  </w:style>
  <w:style w:type="paragraph" w:customStyle="1" w:styleId="354">
    <w:name w:val="列出段落11"/>
    <w:basedOn w:val="1"/>
    <w:qFormat/>
    <w:uiPriority w:val="34"/>
    <w:pPr>
      <w:ind w:firstLine="420"/>
    </w:pPr>
    <w:rPr>
      <w:sz w:val="26"/>
      <w:szCs w:val="26"/>
    </w:rPr>
  </w:style>
  <w:style w:type="paragraph" w:customStyle="1" w:styleId="355">
    <w:name w:val="font15"/>
    <w:basedOn w:val="1"/>
    <w:qFormat/>
    <w:uiPriority w:val="0"/>
    <w:pPr>
      <w:widowControl/>
      <w:spacing w:before="100" w:beforeAutospacing="1" w:after="100" w:afterAutospacing="1"/>
      <w:jc w:val="left"/>
    </w:pPr>
    <w:rPr>
      <w:rFonts w:ascii="宋体" w:hAnsi="宋体" w:cs="宋体"/>
      <w:sz w:val="18"/>
      <w:szCs w:val="18"/>
    </w:rPr>
  </w:style>
  <w:style w:type="paragraph" w:customStyle="1" w:styleId="356">
    <w:name w:val="xl16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宋体"/>
      <w:b/>
      <w:bCs/>
      <w:sz w:val="20"/>
      <w:szCs w:val="20"/>
    </w:rPr>
  </w:style>
  <w:style w:type="paragraph" w:customStyle="1" w:styleId="357">
    <w:name w:val="xl14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sz w:val="20"/>
      <w:szCs w:val="20"/>
    </w:rPr>
  </w:style>
  <w:style w:type="paragraph" w:customStyle="1" w:styleId="358">
    <w:name w:val="xl1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宋体"/>
      <w:color w:val="000000"/>
      <w:sz w:val="20"/>
      <w:szCs w:val="20"/>
    </w:rPr>
  </w:style>
  <w:style w:type="paragraph" w:customStyle="1" w:styleId="359">
    <w:name w:val="xl15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宋体"/>
      <w:color w:val="000000"/>
      <w:sz w:val="20"/>
      <w:szCs w:val="20"/>
    </w:rPr>
  </w:style>
  <w:style w:type="paragraph" w:customStyle="1" w:styleId="360">
    <w:name w:val="xl13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仿宋" w:hAnsi="仿宋" w:eastAsia="仿宋" w:cs="宋体"/>
      <w:sz w:val="20"/>
      <w:szCs w:val="20"/>
    </w:rPr>
  </w:style>
  <w:style w:type="paragraph" w:customStyle="1" w:styleId="361">
    <w:name w:val="font17"/>
    <w:basedOn w:val="1"/>
    <w:qFormat/>
    <w:uiPriority w:val="0"/>
    <w:pPr>
      <w:widowControl/>
      <w:spacing w:before="100" w:beforeAutospacing="1" w:after="100" w:afterAutospacing="1"/>
      <w:jc w:val="left"/>
    </w:pPr>
    <w:rPr>
      <w:rFonts w:ascii="宋体" w:hAnsi="宋体" w:cs="宋体"/>
      <w:sz w:val="18"/>
      <w:szCs w:val="18"/>
    </w:rPr>
  </w:style>
  <w:style w:type="paragraph" w:customStyle="1" w:styleId="362">
    <w:name w:val="xl14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sz w:val="20"/>
      <w:szCs w:val="20"/>
    </w:rPr>
  </w:style>
  <w:style w:type="paragraph" w:customStyle="1" w:styleId="363">
    <w:name w:val="xl15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Courier New" w:hAnsi="Courier New" w:cs="Courier New"/>
      <w:sz w:val="20"/>
      <w:szCs w:val="20"/>
    </w:rPr>
  </w:style>
  <w:style w:type="paragraph" w:customStyle="1" w:styleId="364">
    <w:name w:val="xl10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sz w:val="20"/>
      <w:szCs w:val="20"/>
    </w:rPr>
  </w:style>
  <w:style w:type="paragraph" w:customStyle="1" w:styleId="365">
    <w:name w:val="xl12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仿宋" w:hAnsi="仿宋" w:eastAsia="仿宋" w:cs="宋体"/>
      <w:sz w:val="20"/>
      <w:szCs w:val="20"/>
    </w:rPr>
  </w:style>
  <w:style w:type="paragraph" w:customStyle="1" w:styleId="366">
    <w:name w:val="xl14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 w:hAnsi="仿宋" w:eastAsia="仿宋" w:cs="宋体"/>
      <w:sz w:val="20"/>
      <w:szCs w:val="20"/>
    </w:rPr>
  </w:style>
  <w:style w:type="paragraph" w:customStyle="1" w:styleId="367">
    <w:name w:val="xl15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宋体"/>
      <w:color w:val="000000"/>
      <w:sz w:val="20"/>
      <w:szCs w:val="20"/>
    </w:rPr>
  </w:style>
  <w:style w:type="paragraph" w:customStyle="1" w:styleId="368">
    <w:name w:val="xl11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Courier New" w:hAnsi="Courier New" w:cs="Courier New"/>
      <w:sz w:val="20"/>
      <w:szCs w:val="20"/>
    </w:rPr>
  </w:style>
  <w:style w:type="paragraph" w:customStyle="1" w:styleId="369">
    <w:name w:val="正文1"/>
    <w:qFormat/>
    <w:uiPriority w:val="0"/>
    <w:pPr>
      <w:spacing w:line="240" w:lineRule="atLeast"/>
      <w:ind w:firstLine="200"/>
      <w:jc w:val="both"/>
    </w:pPr>
    <w:rPr>
      <w:rFonts w:ascii="Calibri" w:hAnsi="Calibri" w:eastAsia="宋体" w:cs="Times New Roman"/>
      <w:sz w:val="21"/>
      <w:szCs w:val="21"/>
      <w:lang w:val="en-US" w:eastAsia="zh-CN" w:bidi="ar-SA"/>
    </w:rPr>
  </w:style>
  <w:style w:type="paragraph" w:customStyle="1" w:styleId="370">
    <w:name w:val="xl1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sz w:val="20"/>
      <w:szCs w:val="20"/>
    </w:rPr>
  </w:style>
  <w:style w:type="paragraph" w:customStyle="1" w:styleId="371">
    <w:name w:val="font16"/>
    <w:basedOn w:val="1"/>
    <w:qFormat/>
    <w:uiPriority w:val="0"/>
    <w:pPr>
      <w:widowControl/>
      <w:spacing w:before="100" w:beforeAutospacing="1" w:after="100" w:afterAutospacing="1"/>
      <w:jc w:val="left"/>
    </w:pPr>
    <w:rPr>
      <w:rFonts w:ascii="宋体" w:hAnsi="宋体" w:cs="宋体"/>
      <w:sz w:val="18"/>
      <w:szCs w:val="18"/>
    </w:rPr>
  </w:style>
  <w:style w:type="paragraph" w:customStyle="1" w:styleId="372">
    <w:name w:val="Normal_20"/>
    <w:qFormat/>
    <w:uiPriority w:val="0"/>
    <w:pPr>
      <w:spacing w:before="120" w:after="240"/>
      <w:jc w:val="both"/>
    </w:pPr>
    <w:rPr>
      <w:rFonts w:ascii="Calibri" w:hAnsi="Calibri" w:eastAsia="Calibri" w:cs="Times New Roman"/>
      <w:sz w:val="22"/>
      <w:szCs w:val="22"/>
      <w:lang w:val="ru-RU" w:eastAsia="en-US" w:bidi="ar-SA"/>
    </w:rPr>
  </w:style>
  <w:style w:type="paragraph" w:customStyle="1" w:styleId="373">
    <w:name w:val="xl11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Courier New" w:hAnsi="Courier New" w:cs="Courier New"/>
      <w:color w:val="000000"/>
      <w:sz w:val="20"/>
      <w:szCs w:val="20"/>
    </w:rPr>
  </w:style>
  <w:style w:type="paragraph" w:customStyle="1" w:styleId="374">
    <w:name w:val="xl13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仿宋" w:hAnsi="仿宋" w:eastAsia="仿宋" w:cs="宋体"/>
      <w:sz w:val="20"/>
      <w:szCs w:val="20"/>
    </w:rPr>
  </w:style>
  <w:style w:type="paragraph" w:customStyle="1" w:styleId="375">
    <w:name w:val="_Style 7"/>
    <w:basedOn w:val="1"/>
    <w:qFormat/>
    <w:uiPriority w:val="0"/>
    <w:pPr>
      <w:ind w:firstLine="420"/>
    </w:pPr>
    <w:rPr>
      <w:sz w:val="26"/>
      <w:szCs w:val="26"/>
    </w:rPr>
  </w:style>
  <w:style w:type="paragraph" w:customStyle="1" w:styleId="376">
    <w:name w:val="xl10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sz w:val="20"/>
      <w:szCs w:val="20"/>
    </w:rPr>
  </w:style>
  <w:style w:type="paragraph" w:customStyle="1" w:styleId="377">
    <w:name w:val="xl13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sz w:val="20"/>
      <w:szCs w:val="20"/>
    </w:rPr>
  </w:style>
  <w:style w:type="paragraph" w:customStyle="1" w:styleId="378">
    <w:name w:val="font14"/>
    <w:basedOn w:val="1"/>
    <w:qFormat/>
    <w:uiPriority w:val="0"/>
    <w:pPr>
      <w:widowControl/>
      <w:spacing w:before="100" w:beforeAutospacing="1" w:after="100" w:afterAutospacing="1"/>
      <w:jc w:val="left"/>
    </w:pPr>
    <w:rPr>
      <w:rFonts w:ascii="宋体" w:hAnsi="宋体" w:cs="宋体"/>
      <w:sz w:val="18"/>
      <w:szCs w:val="18"/>
    </w:rPr>
  </w:style>
  <w:style w:type="paragraph" w:customStyle="1" w:styleId="379">
    <w:name w:val="xl10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b/>
      <w:bCs/>
      <w:color w:val="000000"/>
      <w:sz w:val="20"/>
      <w:szCs w:val="20"/>
    </w:rPr>
  </w:style>
  <w:style w:type="paragraph" w:customStyle="1" w:styleId="380">
    <w:name w:val="xl99"/>
    <w:basedOn w:val="1"/>
    <w:qFormat/>
    <w:uiPriority w:val="0"/>
    <w:pPr>
      <w:widowControl/>
      <w:spacing w:before="100" w:beforeAutospacing="1" w:after="100" w:afterAutospacing="1"/>
      <w:jc w:val="center"/>
    </w:pPr>
    <w:rPr>
      <w:rFonts w:ascii="Courier New" w:hAnsi="Courier New" w:cs="Courier New"/>
      <w:color w:val="000000"/>
      <w:sz w:val="20"/>
      <w:szCs w:val="20"/>
    </w:rPr>
  </w:style>
  <w:style w:type="paragraph" w:customStyle="1" w:styleId="381">
    <w:name w:val="xl15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 w:hAnsi="仿宋" w:eastAsia="仿宋" w:cs="宋体"/>
      <w:sz w:val="20"/>
      <w:szCs w:val="20"/>
    </w:rPr>
  </w:style>
  <w:style w:type="paragraph" w:customStyle="1" w:styleId="382">
    <w:name w:val="_Style 26"/>
    <w:next w:val="1"/>
    <w:qFormat/>
    <w:uiPriority w:val="99"/>
    <w:pPr>
      <w:widowControl w:val="0"/>
      <w:jc w:val="both"/>
    </w:pPr>
    <w:rPr>
      <w:rFonts w:ascii="Calibri" w:hAnsi="Calibri" w:eastAsia="楷体_GB2312" w:cs="Times New Roman"/>
      <w:sz w:val="26"/>
      <w:szCs w:val="26"/>
      <w:lang w:val="en-US" w:eastAsia="zh-CN" w:bidi="ar-SA"/>
    </w:rPr>
  </w:style>
  <w:style w:type="paragraph" w:customStyle="1" w:styleId="383">
    <w:name w:val="样式 标题 1 + 宋体 段前: 0 磅 段后: 0 磅 行距: 单倍行距"/>
    <w:basedOn w:val="6"/>
    <w:next w:val="1"/>
    <w:qFormat/>
    <w:uiPriority w:val="0"/>
    <w:pPr>
      <w:spacing w:line="240" w:lineRule="auto"/>
      <w:jc w:val="center"/>
    </w:pPr>
    <w:rPr>
      <w:rFonts w:ascii="仿宋_GB2312" w:hAnsi="宋体" w:eastAsia="仿宋_GB2312" w:cs="宋体"/>
      <w:bCs/>
      <w:szCs w:val="44"/>
    </w:rPr>
  </w:style>
  <w:style w:type="paragraph" w:customStyle="1" w:styleId="384">
    <w:name w:val="font9"/>
    <w:basedOn w:val="1"/>
    <w:qFormat/>
    <w:uiPriority w:val="0"/>
    <w:pPr>
      <w:widowControl/>
      <w:spacing w:before="100" w:beforeAutospacing="1" w:after="100" w:afterAutospacing="1"/>
      <w:jc w:val="left"/>
    </w:pPr>
    <w:rPr>
      <w:rFonts w:ascii="宋体" w:hAnsi="宋体" w:cs="宋体"/>
      <w:sz w:val="18"/>
      <w:szCs w:val="18"/>
    </w:rPr>
  </w:style>
  <w:style w:type="paragraph" w:customStyle="1" w:styleId="385">
    <w:name w:val="font20"/>
    <w:basedOn w:val="1"/>
    <w:qFormat/>
    <w:uiPriority w:val="0"/>
    <w:pPr>
      <w:widowControl/>
      <w:spacing w:before="100" w:beforeAutospacing="1" w:after="100" w:afterAutospacing="1"/>
      <w:jc w:val="left"/>
    </w:pPr>
    <w:rPr>
      <w:rFonts w:ascii="Courier New" w:hAnsi="Courier New" w:cs="Courier New"/>
      <w:color w:val="000000"/>
      <w:sz w:val="20"/>
      <w:szCs w:val="20"/>
    </w:rPr>
  </w:style>
  <w:style w:type="paragraph" w:customStyle="1" w:styleId="386">
    <w:name w:val="font13"/>
    <w:basedOn w:val="1"/>
    <w:qFormat/>
    <w:uiPriority w:val="0"/>
    <w:pPr>
      <w:widowControl/>
      <w:spacing w:before="100" w:beforeAutospacing="1" w:after="100" w:afterAutospacing="1"/>
      <w:jc w:val="left"/>
    </w:pPr>
    <w:rPr>
      <w:rFonts w:ascii="宋体" w:hAnsi="宋体" w:cs="宋体"/>
      <w:sz w:val="18"/>
      <w:szCs w:val="18"/>
    </w:rPr>
  </w:style>
  <w:style w:type="paragraph" w:customStyle="1" w:styleId="387">
    <w:name w:val="xl10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sz w:val="20"/>
      <w:szCs w:val="20"/>
    </w:rPr>
  </w:style>
  <w:style w:type="paragraph" w:customStyle="1" w:styleId="388">
    <w:name w:val="xl11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Courier New" w:hAnsi="Courier New" w:cs="Courier New"/>
      <w:sz w:val="20"/>
      <w:szCs w:val="20"/>
    </w:rPr>
  </w:style>
  <w:style w:type="paragraph" w:customStyle="1" w:styleId="389">
    <w:name w:val="xl13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 w:hAnsi="仿宋" w:eastAsia="仿宋" w:cs="宋体"/>
      <w:sz w:val="20"/>
      <w:szCs w:val="20"/>
    </w:rPr>
  </w:style>
  <w:style w:type="paragraph" w:customStyle="1" w:styleId="390">
    <w:name w:val="font18"/>
    <w:basedOn w:val="1"/>
    <w:qFormat/>
    <w:uiPriority w:val="0"/>
    <w:pPr>
      <w:widowControl/>
      <w:spacing w:before="100" w:beforeAutospacing="1" w:after="100" w:afterAutospacing="1"/>
      <w:jc w:val="left"/>
    </w:pPr>
    <w:rPr>
      <w:rFonts w:ascii="宋体" w:hAnsi="宋体" w:cs="宋体"/>
      <w:sz w:val="18"/>
      <w:szCs w:val="18"/>
    </w:rPr>
  </w:style>
  <w:style w:type="paragraph" w:customStyle="1" w:styleId="391">
    <w:name w:val="xl12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宋体"/>
      <w:sz w:val="20"/>
      <w:szCs w:val="20"/>
    </w:rPr>
  </w:style>
  <w:style w:type="paragraph" w:customStyle="1" w:styleId="392">
    <w:name w:val="xl158"/>
    <w:basedOn w:val="1"/>
    <w:qFormat/>
    <w:uiPriority w:val="0"/>
    <w:pPr>
      <w:widowControl/>
      <w:spacing w:before="100" w:beforeAutospacing="1" w:after="100" w:afterAutospacing="1"/>
      <w:jc w:val="left"/>
    </w:pPr>
    <w:rPr>
      <w:rFonts w:ascii="Courier New" w:hAnsi="Courier New" w:cs="Courier New"/>
      <w:color w:val="000000"/>
      <w:sz w:val="20"/>
      <w:szCs w:val="20"/>
    </w:rPr>
  </w:style>
  <w:style w:type="paragraph" w:customStyle="1" w:styleId="393">
    <w:name w:val="xl1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宋体"/>
      <w:sz w:val="20"/>
      <w:szCs w:val="20"/>
    </w:rPr>
  </w:style>
  <w:style w:type="paragraph" w:customStyle="1" w:styleId="394">
    <w:name w:val="xl13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 w:hAnsi="仿宋" w:eastAsia="仿宋" w:cs="宋体"/>
      <w:sz w:val="20"/>
      <w:szCs w:val="20"/>
    </w:rPr>
  </w:style>
  <w:style w:type="paragraph" w:customStyle="1" w:styleId="395">
    <w:name w:val="font5"/>
    <w:basedOn w:val="1"/>
    <w:qFormat/>
    <w:uiPriority w:val="0"/>
    <w:pPr>
      <w:widowControl/>
      <w:spacing w:before="100" w:beforeAutospacing="1" w:after="100" w:afterAutospacing="1"/>
      <w:jc w:val="left"/>
    </w:pPr>
    <w:rPr>
      <w:rFonts w:ascii="宋体" w:hAnsi="宋体" w:cs="宋体"/>
      <w:sz w:val="18"/>
      <w:szCs w:val="18"/>
    </w:rPr>
  </w:style>
  <w:style w:type="paragraph" w:customStyle="1" w:styleId="396">
    <w:name w:val="xl15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 w:hAnsi="仿宋" w:eastAsia="仿宋" w:cs="宋体"/>
      <w:sz w:val="20"/>
      <w:szCs w:val="20"/>
    </w:rPr>
  </w:style>
  <w:style w:type="paragraph" w:customStyle="1" w:styleId="397">
    <w:name w:val="font19"/>
    <w:basedOn w:val="1"/>
    <w:qFormat/>
    <w:uiPriority w:val="0"/>
    <w:pPr>
      <w:widowControl/>
      <w:spacing w:before="100" w:beforeAutospacing="1" w:after="100" w:afterAutospacing="1"/>
      <w:jc w:val="left"/>
    </w:pPr>
    <w:rPr>
      <w:rFonts w:ascii="宋体" w:hAnsi="宋体" w:cs="宋体"/>
      <w:sz w:val="18"/>
      <w:szCs w:val="18"/>
    </w:rPr>
  </w:style>
  <w:style w:type="paragraph" w:customStyle="1" w:styleId="398">
    <w:name w:val="xl16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Courier New" w:hAnsi="Courier New" w:cs="Courier New"/>
      <w:b/>
      <w:bCs/>
      <w:sz w:val="20"/>
      <w:szCs w:val="20"/>
    </w:rPr>
  </w:style>
  <w:style w:type="paragraph" w:customStyle="1" w:styleId="399">
    <w:name w:val="xl11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Courier New" w:hAnsi="Courier New" w:cs="Courier New"/>
      <w:sz w:val="20"/>
      <w:szCs w:val="20"/>
    </w:rPr>
  </w:style>
  <w:style w:type="paragraph" w:customStyle="1" w:styleId="400">
    <w:name w:val="xl10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Courier New" w:hAnsi="Courier New" w:cs="Courier New"/>
      <w:sz w:val="20"/>
      <w:szCs w:val="20"/>
    </w:rPr>
  </w:style>
  <w:style w:type="paragraph" w:customStyle="1" w:styleId="401">
    <w:name w:val="xl1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sz w:val="20"/>
      <w:szCs w:val="20"/>
    </w:rPr>
  </w:style>
  <w:style w:type="paragraph" w:customStyle="1" w:styleId="402">
    <w:name w:val="xl1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宋体"/>
      <w:sz w:val="20"/>
      <w:szCs w:val="20"/>
    </w:rPr>
  </w:style>
  <w:style w:type="paragraph" w:customStyle="1" w:styleId="403">
    <w:name w:val="xl12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仿宋" w:hAnsi="仿宋" w:eastAsia="仿宋" w:cs="宋体"/>
      <w:sz w:val="20"/>
      <w:szCs w:val="20"/>
    </w:rPr>
  </w:style>
  <w:style w:type="paragraph" w:customStyle="1" w:styleId="404">
    <w:name w:val="xl11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Courier New" w:hAnsi="Courier New" w:cs="Courier New"/>
      <w:sz w:val="20"/>
      <w:szCs w:val="20"/>
    </w:rPr>
  </w:style>
  <w:style w:type="paragraph" w:customStyle="1" w:styleId="405">
    <w:name w:val="xl14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宋体"/>
      <w:sz w:val="20"/>
      <w:szCs w:val="20"/>
    </w:rPr>
  </w:style>
  <w:style w:type="paragraph" w:customStyle="1" w:styleId="406">
    <w:name w:val="xl14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sz w:val="20"/>
      <w:szCs w:val="20"/>
    </w:rPr>
  </w:style>
  <w:style w:type="table" w:customStyle="1" w:styleId="407">
    <w:name w:val="网格型11"/>
    <w:basedOn w:val="56"/>
    <w:qFormat/>
    <w:uiPriority w:val="0"/>
    <w:pPr>
      <w:widowControl w:val="0"/>
      <w:jc w:val="both"/>
    </w:pPr>
    <w:rPr>
      <w:rFonts w:ascii="Calibri" w:hAnsi="Calibri"/>
      <w:sz w:val="21"/>
      <w:szCs w:val="22"/>
    </w:rPr>
    <w:tblPr>
      <w:tblCellMar>
        <w:top w:w="0" w:type="dxa"/>
        <w:left w:w="108" w:type="dxa"/>
        <w:bottom w:w="0" w:type="dxa"/>
        <w:right w:w="108" w:type="dxa"/>
      </w:tblCellMar>
    </w:tblPr>
  </w:style>
  <w:style w:type="character" w:customStyle="1" w:styleId="408">
    <w:name w:val="纯文本 字符"/>
    <w:qFormat/>
    <w:uiPriority w:val="0"/>
    <w:rPr>
      <w:rFonts w:ascii="宋体" w:hAnsi="Courier New" w:eastAsia="楷体_GB2312"/>
      <w:sz w:val="26"/>
      <w:lang w:val="en-US" w:eastAsia="zh-CN" w:bidi="ar-SA"/>
    </w:rPr>
  </w:style>
  <w:style w:type="paragraph" w:customStyle="1" w:styleId="409">
    <w:name w:val="_Style 225"/>
    <w:qFormat/>
    <w:uiPriority w:val="0"/>
    <w:pPr>
      <w:widowControl w:val="0"/>
      <w:spacing w:after="120"/>
      <w:ind w:firstLine="420"/>
      <w:jc w:val="both"/>
    </w:pPr>
    <w:rPr>
      <w:rFonts w:ascii="Calibri" w:hAnsi="Calibri" w:eastAsia="楷体_GB2312" w:cs="Times New Roman"/>
      <w:sz w:val="26"/>
      <w:lang w:val="en-US" w:eastAsia="zh-CN" w:bidi="ar-SA"/>
    </w:rPr>
  </w:style>
  <w:style w:type="character" w:customStyle="1" w:styleId="410">
    <w:name w:val="正文文本 字符"/>
    <w:qFormat/>
    <w:uiPriority w:val="0"/>
    <w:rPr>
      <w:rFonts w:ascii="楷体_GB2312" w:eastAsia="楷体_GB2312"/>
      <w:sz w:val="28"/>
    </w:rPr>
  </w:style>
  <w:style w:type="character" w:customStyle="1" w:styleId="411">
    <w:name w:val="正文文本 字符1"/>
    <w:qFormat/>
    <w:uiPriority w:val="0"/>
    <w:rPr>
      <w:rFonts w:ascii="楷体_GB2312" w:eastAsia="楷体_GB2312"/>
      <w:sz w:val="28"/>
    </w:rPr>
  </w:style>
  <w:style w:type="table" w:customStyle="1" w:styleId="412">
    <w:name w:val="Table Normal"/>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413">
    <w:name w:val="Table Normal1"/>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414">
    <w:name w:val="Table Normal2"/>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415">
    <w:name w:val="Table Normal3"/>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character" w:customStyle="1" w:styleId="416">
    <w:name w:val="正文首行缩进 2 Char1"/>
    <w:link w:val="2"/>
    <w:semiHidden/>
    <w:qFormat/>
    <w:uiPriority w:val="99"/>
    <w:rPr>
      <w:rFonts w:ascii="Calibri" w:hAnsi="Calibri"/>
      <w:sz w:val="21"/>
      <w:szCs w:val="22"/>
    </w:rPr>
  </w:style>
  <w:style w:type="table" w:customStyle="1" w:styleId="417">
    <w:name w:val="Table Normal4"/>
    <w:unhideWhenUsed/>
    <w:qFormat/>
    <w:uiPriority w:val="0"/>
    <w:rPr>
      <w:rFonts w:ascii="Arial" w:hAnsi="Arial" w:eastAsia="等线" w:cs="Arial"/>
      <w:snapToGrid w:val="0"/>
      <w:color w:val="000000"/>
      <w:sz w:val="21"/>
      <w:szCs w:val="21"/>
      <w:lang w:eastAsia="en-US"/>
    </w:rPr>
    <w:tblPr>
      <w:tblCellMar>
        <w:top w:w="0" w:type="dxa"/>
        <w:left w:w="0" w:type="dxa"/>
        <w:bottom w:w="0" w:type="dxa"/>
        <w:right w:w="0" w:type="dxa"/>
      </w:tblCellMar>
    </w:tblPr>
  </w:style>
  <w:style w:type="paragraph" w:customStyle="1" w:styleId="418">
    <w:name w:val="图例"/>
    <w:basedOn w:val="1"/>
    <w:qFormat/>
    <w:uiPriority w:val="0"/>
    <w:pPr>
      <w:spacing w:before="120" w:after="120" w:line="360" w:lineRule="auto"/>
      <w:jc w:val="center"/>
    </w:pPr>
    <w:rPr>
      <w:rFonts w:eastAsia="仿宋_GB2312"/>
      <w:b/>
      <w:sz w:val="24"/>
      <w:szCs w:val="20"/>
    </w:rPr>
  </w:style>
  <w:style w:type="paragraph" w:customStyle="1" w:styleId="419">
    <w:name w:val="Heading 4"/>
    <w:basedOn w:val="1"/>
    <w:next w:val="1"/>
    <w:qFormat/>
    <w:uiPriority w:val="0"/>
    <w:pPr>
      <w:keepNext/>
      <w:jc w:val="center"/>
      <w:outlineLvl w:val="3"/>
    </w:pPr>
    <w:rPr>
      <w:rFonts w:eastAsia="新宋体"/>
      <w:sz w:val="3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9900D-2350-4AFA-8B09-8F5B551DB99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42</Pages>
  <Words>23704</Words>
  <Characters>24692</Characters>
  <Lines>239</Lines>
  <Paragraphs>67</Paragraphs>
  <TotalTime>15</TotalTime>
  <ScaleCrop>false</ScaleCrop>
  <LinksUpToDate>false</LinksUpToDate>
  <CharactersWithSpaces>25267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2024-08-02T18:32:00Z</dcterms:created>
  <dc:creator>佳得乐</dc:creator>
  <cp:lastModifiedBy>大吃一鲸</cp:lastModifiedBy>
  <dcterms:modified xsi:type="dcterms:W3CDTF">2025-07-07T08:45:39Z</dcterms:modified>
  <cp:revision>224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44230D3DAF954B768D77453FC63B05FB_13</vt:lpwstr>
  </property>
  <property fmtid="{D5CDD505-2E9C-101B-9397-08002B2CF9AE}" pid="4" name="KSOTemplateDocerSaveRecord">
    <vt:lpwstr>eyJoZGlkIjoiNDM4MDk4M2FhMDRmMmQyMDdjYzQ2N2EwNGM3YmI3NWYiLCJ1c2VySWQiOiI1MTE1OTYzNzUifQ==</vt:lpwstr>
  </property>
</Properties>
</file>