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3D272">
      <w:pPr>
        <w:spacing w:line="360" w:lineRule="auto"/>
        <w:jc w:val="center"/>
        <w:rPr>
          <w:rFonts w:hint="eastAsia"/>
          <w:b/>
          <w:spacing w:val="20"/>
          <w:sz w:val="44"/>
        </w:rPr>
      </w:pPr>
    </w:p>
    <w:p w14:paraId="2D32D351">
      <w:pPr>
        <w:spacing w:line="360" w:lineRule="auto"/>
        <w:jc w:val="center"/>
        <w:rPr>
          <w:rFonts w:hint="eastAsia"/>
          <w:b/>
          <w:sz w:val="52"/>
          <w:szCs w:val="52"/>
        </w:rPr>
      </w:pPr>
      <w:r>
        <w:rPr>
          <w:rFonts w:hint="eastAsia"/>
          <w:b/>
          <w:sz w:val="52"/>
          <w:szCs w:val="52"/>
        </w:rPr>
        <w:t>南通新通安投资开发有限公司</w:t>
      </w:r>
    </w:p>
    <w:p w14:paraId="3B2004D0">
      <w:pPr>
        <w:spacing w:line="360" w:lineRule="auto"/>
        <w:jc w:val="center"/>
        <w:rPr>
          <w:rFonts w:hint="eastAsia"/>
          <w:b/>
          <w:sz w:val="52"/>
          <w:szCs w:val="52"/>
          <w:lang w:eastAsia="zh-CN"/>
        </w:rPr>
      </w:pPr>
      <w:r>
        <w:rPr>
          <w:rFonts w:hint="eastAsia"/>
          <w:b/>
          <w:sz w:val="52"/>
          <w:szCs w:val="52"/>
        </w:rPr>
        <w:t>A1及B2车型采购项目</w:t>
      </w:r>
      <w:r>
        <w:rPr>
          <w:rFonts w:hint="eastAsia"/>
          <w:b/>
          <w:sz w:val="52"/>
          <w:szCs w:val="52"/>
          <w:lang w:eastAsia="zh-CN"/>
        </w:rPr>
        <w:t>（</w:t>
      </w:r>
      <w:r>
        <w:rPr>
          <w:rFonts w:hint="eastAsia"/>
          <w:b/>
          <w:sz w:val="52"/>
          <w:szCs w:val="52"/>
          <w:lang w:val="en-US" w:eastAsia="zh-CN"/>
        </w:rPr>
        <w:t>标段一</w:t>
      </w:r>
      <w:r>
        <w:rPr>
          <w:rFonts w:hint="eastAsia"/>
          <w:b/>
          <w:sz w:val="52"/>
          <w:szCs w:val="52"/>
          <w:lang w:eastAsia="zh-CN"/>
        </w:rPr>
        <w:t>）</w:t>
      </w:r>
    </w:p>
    <w:p w14:paraId="2CFE17AE">
      <w:pPr>
        <w:spacing w:line="360" w:lineRule="auto"/>
        <w:jc w:val="center"/>
        <w:rPr>
          <w:rFonts w:hint="eastAsia"/>
          <w:b/>
          <w:sz w:val="52"/>
          <w:szCs w:val="52"/>
        </w:rPr>
      </w:pPr>
      <w:r>
        <w:rPr>
          <w:rFonts w:hint="eastAsia"/>
          <w:b/>
          <w:sz w:val="52"/>
          <w:szCs w:val="52"/>
          <w:lang w:eastAsia="zh-CN"/>
        </w:rPr>
        <w:t>（</w:t>
      </w:r>
      <w:r>
        <w:rPr>
          <w:rFonts w:hint="eastAsia"/>
          <w:b/>
          <w:sz w:val="52"/>
          <w:szCs w:val="52"/>
          <w:lang w:val="en-US" w:eastAsia="zh-CN"/>
        </w:rPr>
        <w:t>第二次</w:t>
      </w:r>
      <w:r>
        <w:rPr>
          <w:rFonts w:hint="eastAsia"/>
          <w:b/>
          <w:sz w:val="52"/>
          <w:szCs w:val="52"/>
          <w:lang w:eastAsia="zh-CN"/>
        </w:rPr>
        <w:t>）</w:t>
      </w:r>
      <w:bookmarkStart w:id="371" w:name="_GoBack"/>
      <w:bookmarkEnd w:id="371"/>
    </w:p>
    <w:p w14:paraId="054CF5BA">
      <w:pPr>
        <w:pStyle w:val="17"/>
        <w:spacing w:line="360" w:lineRule="auto"/>
        <w:rPr>
          <w:rFonts w:hint="eastAsia" w:ascii="Times New Roman" w:eastAsia="宋体"/>
        </w:rPr>
      </w:pPr>
    </w:p>
    <w:p w14:paraId="3E02FE39">
      <w:pPr>
        <w:pStyle w:val="17"/>
        <w:spacing w:line="360" w:lineRule="auto"/>
        <w:rPr>
          <w:rFonts w:hint="eastAsia" w:ascii="Times New Roman" w:eastAsia="宋体"/>
        </w:rPr>
      </w:pPr>
    </w:p>
    <w:p w14:paraId="74EEEF9C">
      <w:pPr>
        <w:pStyle w:val="17"/>
        <w:spacing w:line="360" w:lineRule="auto"/>
        <w:rPr>
          <w:rFonts w:hint="eastAsia" w:ascii="Times New Roman" w:eastAsia="宋体"/>
        </w:rPr>
      </w:pPr>
    </w:p>
    <w:p w14:paraId="1B0D3485">
      <w:pPr>
        <w:pStyle w:val="17"/>
        <w:spacing w:line="360" w:lineRule="auto"/>
        <w:rPr>
          <w:rFonts w:hint="eastAsia" w:ascii="Times New Roman" w:eastAsia="宋体"/>
        </w:rPr>
      </w:pPr>
    </w:p>
    <w:p w14:paraId="6B5B4E68">
      <w:pPr>
        <w:pStyle w:val="17"/>
        <w:spacing w:line="360" w:lineRule="auto"/>
        <w:rPr>
          <w:rFonts w:hint="eastAsia" w:ascii="Times New Roman" w:eastAsia="宋体"/>
        </w:rPr>
      </w:pPr>
    </w:p>
    <w:p w14:paraId="2A776FC2">
      <w:pPr>
        <w:spacing w:line="360" w:lineRule="auto"/>
        <w:jc w:val="center"/>
        <w:rPr>
          <w:rFonts w:hint="eastAsia"/>
          <w:b/>
          <w:sz w:val="72"/>
          <w:szCs w:val="52"/>
        </w:rPr>
      </w:pPr>
      <w:r>
        <w:rPr>
          <w:rFonts w:hint="eastAsia"/>
          <w:b/>
          <w:sz w:val="72"/>
          <w:szCs w:val="52"/>
        </w:rPr>
        <w:t>招标文件</w:t>
      </w:r>
    </w:p>
    <w:p w14:paraId="762FD74B">
      <w:pPr>
        <w:spacing w:line="360" w:lineRule="auto"/>
        <w:jc w:val="center"/>
        <w:rPr>
          <w:rFonts w:hint="eastAsia"/>
          <w:b/>
          <w:sz w:val="36"/>
        </w:rPr>
      </w:pPr>
    </w:p>
    <w:p w14:paraId="19A44500">
      <w:pPr>
        <w:pStyle w:val="17"/>
        <w:spacing w:line="360" w:lineRule="auto"/>
        <w:rPr>
          <w:rFonts w:hint="eastAsia" w:ascii="Times New Roman" w:eastAsia="宋体"/>
        </w:rPr>
      </w:pPr>
    </w:p>
    <w:p w14:paraId="07F56E3B">
      <w:pPr>
        <w:pStyle w:val="17"/>
        <w:spacing w:line="360" w:lineRule="auto"/>
        <w:rPr>
          <w:rFonts w:hint="eastAsia" w:ascii="Times New Roman" w:eastAsia="宋体"/>
        </w:rPr>
      </w:pPr>
    </w:p>
    <w:p w14:paraId="1F301669">
      <w:pPr>
        <w:pStyle w:val="17"/>
        <w:spacing w:line="360" w:lineRule="auto"/>
        <w:rPr>
          <w:rFonts w:hint="eastAsia" w:ascii="Times New Roman" w:eastAsia="宋体"/>
        </w:rPr>
      </w:pPr>
    </w:p>
    <w:p w14:paraId="6A608C9E">
      <w:pPr>
        <w:spacing w:line="360" w:lineRule="auto"/>
        <w:rPr>
          <w:rFonts w:hint="eastAsia"/>
          <w:sz w:val="32"/>
          <w:szCs w:val="32"/>
        </w:rPr>
      </w:pPr>
    </w:p>
    <w:p w14:paraId="3CEB8A1D">
      <w:pPr>
        <w:spacing w:line="360" w:lineRule="auto"/>
        <w:jc w:val="center"/>
        <w:rPr>
          <w:rFonts w:hint="eastAsia"/>
          <w:sz w:val="32"/>
          <w:szCs w:val="32"/>
        </w:rPr>
      </w:pPr>
    </w:p>
    <w:p w14:paraId="23C11895">
      <w:pPr>
        <w:pStyle w:val="17"/>
        <w:spacing w:line="360" w:lineRule="auto"/>
        <w:rPr>
          <w:rFonts w:hint="eastAsia"/>
        </w:rPr>
      </w:pPr>
    </w:p>
    <w:p w14:paraId="36ACD10B">
      <w:pPr>
        <w:spacing w:line="360" w:lineRule="auto"/>
        <w:jc w:val="center"/>
        <w:rPr>
          <w:rFonts w:hint="eastAsia"/>
          <w:sz w:val="32"/>
          <w:szCs w:val="32"/>
        </w:rPr>
      </w:pPr>
      <w:r>
        <w:rPr>
          <w:rFonts w:hint="eastAsia"/>
          <w:sz w:val="32"/>
          <w:szCs w:val="32"/>
        </w:rPr>
        <w:t>招标人：南通新通安投资开发有限公司</w:t>
      </w:r>
    </w:p>
    <w:p w14:paraId="27F0240E">
      <w:pPr>
        <w:spacing w:line="360" w:lineRule="auto"/>
        <w:jc w:val="center"/>
        <w:rPr>
          <w:rFonts w:hint="eastAsia"/>
          <w:sz w:val="32"/>
          <w:szCs w:val="32"/>
        </w:rPr>
      </w:pPr>
      <w:r>
        <w:rPr>
          <w:rFonts w:hint="eastAsia"/>
          <w:sz w:val="32"/>
          <w:szCs w:val="32"/>
        </w:rPr>
        <w:t>招标代理：宏信天德工程顾问有限公司</w:t>
      </w:r>
    </w:p>
    <w:p w14:paraId="39F245D3">
      <w:pPr>
        <w:spacing w:line="360" w:lineRule="auto"/>
        <w:jc w:val="center"/>
        <w:rPr>
          <w:rFonts w:hint="eastAsia"/>
          <w:sz w:val="32"/>
          <w:szCs w:val="32"/>
        </w:rPr>
      </w:pPr>
      <w:r>
        <w:rPr>
          <w:rFonts w:hint="eastAsia"/>
          <w:sz w:val="32"/>
          <w:szCs w:val="32"/>
        </w:rPr>
        <w:t>二〇二六年二月</w:t>
      </w:r>
    </w:p>
    <w:p w14:paraId="1C71503F">
      <w:pPr>
        <w:adjustRightInd w:val="0"/>
        <w:snapToGrid w:val="0"/>
        <w:spacing w:line="360" w:lineRule="auto"/>
        <w:rPr>
          <w:rFonts w:hint="eastAsia"/>
          <w:snapToGrid w:val="0"/>
          <w:sz w:val="26"/>
          <w:szCs w:val="28"/>
        </w:rPr>
      </w:pPr>
    </w:p>
    <w:p w14:paraId="59003A0C">
      <w:pPr>
        <w:spacing w:line="360" w:lineRule="auto"/>
        <w:jc w:val="center"/>
        <w:rPr>
          <w:rFonts w:hint="eastAsia"/>
          <w:sz w:val="44"/>
          <w:szCs w:val="44"/>
        </w:rPr>
      </w:pPr>
      <w:r>
        <w:rPr>
          <w:sz w:val="44"/>
          <w:szCs w:val="44"/>
        </w:rPr>
        <w:br w:type="page"/>
      </w:r>
      <w:r>
        <w:rPr>
          <w:rFonts w:hint="eastAsia"/>
          <w:sz w:val="44"/>
          <w:szCs w:val="44"/>
        </w:rPr>
        <w:t>目      录</w:t>
      </w:r>
    </w:p>
    <w:p w14:paraId="4E7B6F29">
      <w:pPr>
        <w:spacing w:line="360" w:lineRule="auto"/>
        <w:jc w:val="center"/>
        <w:rPr>
          <w:rFonts w:hint="eastAsia"/>
          <w:sz w:val="44"/>
        </w:rPr>
      </w:pPr>
    </w:p>
    <w:p w14:paraId="78EAA55C">
      <w:pPr>
        <w:tabs>
          <w:tab w:val="left" w:pos="7740"/>
        </w:tabs>
        <w:spacing w:line="360" w:lineRule="auto"/>
        <w:rPr>
          <w:rFonts w:hint="eastAsia"/>
          <w:spacing w:val="2"/>
          <w:sz w:val="32"/>
          <w:szCs w:val="32"/>
        </w:rPr>
      </w:pPr>
      <w:r>
        <w:rPr>
          <w:rFonts w:hint="eastAsia"/>
          <w:bCs/>
          <w:sz w:val="32"/>
          <w:szCs w:val="32"/>
        </w:rPr>
        <w:t>第一部分  招标公告</w:t>
      </w:r>
    </w:p>
    <w:p w14:paraId="5DC71D7B">
      <w:pPr>
        <w:tabs>
          <w:tab w:val="left" w:pos="7740"/>
        </w:tabs>
        <w:spacing w:line="360" w:lineRule="auto"/>
        <w:rPr>
          <w:rFonts w:hint="eastAsia"/>
          <w:sz w:val="32"/>
          <w:szCs w:val="32"/>
        </w:rPr>
      </w:pPr>
    </w:p>
    <w:p w14:paraId="61F916AC">
      <w:pPr>
        <w:tabs>
          <w:tab w:val="left" w:pos="7740"/>
        </w:tabs>
        <w:spacing w:line="360" w:lineRule="auto"/>
        <w:rPr>
          <w:rFonts w:hint="eastAsia"/>
          <w:bCs/>
          <w:sz w:val="32"/>
          <w:szCs w:val="32"/>
        </w:rPr>
      </w:pPr>
      <w:r>
        <w:rPr>
          <w:rFonts w:hint="eastAsia"/>
          <w:bCs/>
          <w:sz w:val="32"/>
          <w:szCs w:val="32"/>
        </w:rPr>
        <w:t>第二部分  投标须知</w:t>
      </w:r>
    </w:p>
    <w:p w14:paraId="618DFBE3">
      <w:pPr>
        <w:spacing w:line="360" w:lineRule="auto"/>
        <w:rPr>
          <w:rFonts w:hint="eastAsia"/>
          <w:sz w:val="32"/>
          <w:szCs w:val="32"/>
        </w:rPr>
      </w:pPr>
    </w:p>
    <w:p w14:paraId="78B54324">
      <w:pPr>
        <w:tabs>
          <w:tab w:val="left" w:pos="7740"/>
        </w:tabs>
        <w:spacing w:line="360" w:lineRule="auto"/>
        <w:rPr>
          <w:rFonts w:hint="eastAsia"/>
          <w:bCs/>
          <w:sz w:val="32"/>
          <w:szCs w:val="32"/>
        </w:rPr>
      </w:pPr>
      <w:r>
        <w:rPr>
          <w:rFonts w:hint="eastAsia"/>
          <w:bCs/>
          <w:sz w:val="32"/>
          <w:szCs w:val="32"/>
        </w:rPr>
        <w:t>第三部分  项目需求</w:t>
      </w:r>
    </w:p>
    <w:p w14:paraId="332B71ED">
      <w:pPr>
        <w:pStyle w:val="19"/>
        <w:tabs>
          <w:tab w:val="left" w:pos="7740"/>
          <w:tab w:val="left" w:pos="7920"/>
        </w:tabs>
        <w:spacing w:line="360" w:lineRule="auto"/>
        <w:ind w:left="0"/>
        <w:rPr>
          <w:rFonts w:hint="eastAsia" w:ascii="Times New Roman" w:eastAsia="宋体"/>
          <w:sz w:val="32"/>
          <w:szCs w:val="32"/>
        </w:rPr>
      </w:pPr>
    </w:p>
    <w:p w14:paraId="1A441512">
      <w:pPr>
        <w:tabs>
          <w:tab w:val="left" w:pos="7740"/>
        </w:tabs>
        <w:spacing w:line="360" w:lineRule="auto"/>
        <w:rPr>
          <w:rFonts w:hint="eastAsia"/>
          <w:bCs/>
          <w:sz w:val="32"/>
          <w:szCs w:val="32"/>
        </w:rPr>
      </w:pPr>
      <w:r>
        <w:rPr>
          <w:rFonts w:hint="eastAsia"/>
          <w:bCs/>
          <w:sz w:val="32"/>
          <w:szCs w:val="32"/>
        </w:rPr>
        <w:t>第四部分  开标和评标</w:t>
      </w:r>
    </w:p>
    <w:p w14:paraId="68D47C18">
      <w:pPr>
        <w:pStyle w:val="38"/>
        <w:spacing w:line="360" w:lineRule="auto"/>
        <w:ind w:firstLine="240"/>
        <w:rPr>
          <w:rFonts w:hint="eastAsia"/>
        </w:rPr>
      </w:pPr>
    </w:p>
    <w:p w14:paraId="2670C02C">
      <w:pPr>
        <w:tabs>
          <w:tab w:val="left" w:pos="7740"/>
        </w:tabs>
        <w:spacing w:line="360" w:lineRule="auto"/>
        <w:rPr>
          <w:rFonts w:hint="eastAsia"/>
          <w:sz w:val="32"/>
          <w:szCs w:val="32"/>
        </w:rPr>
      </w:pPr>
      <w:r>
        <w:rPr>
          <w:rFonts w:hint="eastAsia"/>
          <w:bCs/>
          <w:sz w:val="32"/>
          <w:szCs w:val="32"/>
        </w:rPr>
        <w:t xml:space="preserve">第五部分  </w:t>
      </w:r>
      <w:r>
        <w:rPr>
          <w:rFonts w:hint="eastAsia"/>
          <w:sz w:val="32"/>
          <w:szCs w:val="32"/>
        </w:rPr>
        <w:t>合同主要条款</w:t>
      </w:r>
    </w:p>
    <w:p w14:paraId="5AE0F292">
      <w:pPr>
        <w:pStyle w:val="38"/>
        <w:spacing w:line="360" w:lineRule="auto"/>
        <w:ind w:firstLine="240"/>
        <w:rPr>
          <w:rFonts w:hint="eastAsia"/>
        </w:rPr>
      </w:pPr>
    </w:p>
    <w:p w14:paraId="08CB9F6B">
      <w:pPr>
        <w:tabs>
          <w:tab w:val="left" w:pos="7740"/>
        </w:tabs>
        <w:spacing w:line="360" w:lineRule="auto"/>
        <w:rPr>
          <w:rFonts w:hint="eastAsia"/>
          <w:bCs/>
          <w:sz w:val="32"/>
          <w:szCs w:val="32"/>
        </w:rPr>
      </w:pPr>
      <w:r>
        <w:rPr>
          <w:rFonts w:hint="eastAsia"/>
          <w:bCs/>
          <w:sz w:val="32"/>
          <w:szCs w:val="32"/>
        </w:rPr>
        <w:t>第六部分  合同签订与验收付款</w:t>
      </w:r>
    </w:p>
    <w:p w14:paraId="3F9B965A">
      <w:pPr>
        <w:spacing w:line="360" w:lineRule="auto"/>
        <w:rPr>
          <w:rFonts w:hint="eastAsia"/>
          <w:sz w:val="32"/>
          <w:szCs w:val="32"/>
        </w:rPr>
      </w:pPr>
    </w:p>
    <w:p w14:paraId="3216A666">
      <w:pPr>
        <w:tabs>
          <w:tab w:val="left" w:pos="7740"/>
        </w:tabs>
        <w:spacing w:line="360" w:lineRule="auto"/>
        <w:rPr>
          <w:rFonts w:hint="eastAsia"/>
          <w:bCs/>
          <w:sz w:val="32"/>
          <w:szCs w:val="32"/>
        </w:rPr>
      </w:pPr>
      <w:r>
        <w:rPr>
          <w:rFonts w:hint="eastAsia"/>
          <w:bCs/>
          <w:sz w:val="32"/>
          <w:szCs w:val="32"/>
        </w:rPr>
        <w:t>第七部分  质疑提出和处理</w:t>
      </w:r>
    </w:p>
    <w:p w14:paraId="643F37DC">
      <w:pPr>
        <w:spacing w:line="360" w:lineRule="auto"/>
        <w:rPr>
          <w:rFonts w:hint="eastAsia"/>
          <w:sz w:val="32"/>
          <w:szCs w:val="32"/>
        </w:rPr>
      </w:pPr>
    </w:p>
    <w:p w14:paraId="2F18BE00">
      <w:pPr>
        <w:tabs>
          <w:tab w:val="left" w:pos="7740"/>
        </w:tabs>
        <w:spacing w:line="360" w:lineRule="auto"/>
        <w:rPr>
          <w:rFonts w:hint="eastAsia"/>
          <w:bCs/>
          <w:sz w:val="32"/>
          <w:szCs w:val="32"/>
        </w:rPr>
      </w:pPr>
      <w:r>
        <w:rPr>
          <w:rFonts w:hint="eastAsia"/>
          <w:bCs/>
          <w:sz w:val="32"/>
          <w:szCs w:val="32"/>
        </w:rPr>
        <w:t>第八部分  投标文件组成及格式</w:t>
      </w:r>
    </w:p>
    <w:p w14:paraId="0278BD3D">
      <w:pPr>
        <w:spacing w:line="360" w:lineRule="auto"/>
        <w:rPr>
          <w:rFonts w:hint="eastAsia"/>
          <w:b/>
          <w:sz w:val="32"/>
          <w:szCs w:val="32"/>
        </w:rPr>
      </w:pPr>
    </w:p>
    <w:p w14:paraId="118FE286">
      <w:pPr>
        <w:spacing w:line="360" w:lineRule="auto"/>
        <w:jc w:val="center"/>
        <w:outlineLvl w:val="0"/>
        <w:rPr>
          <w:b/>
          <w:sz w:val="36"/>
          <w:szCs w:val="36"/>
        </w:rPr>
      </w:pPr>
      <w:r>
        <w:rPr>
          <w:b/>
          <w:sz w:val="36"/>
          <w:szCs w:val="36"/>
        </w:rPr>
        <w:br w:type="page"/>
      </w:r>
      <w:r>
        <w:rPr>
          <w:rFonts w:hint="eastAsia"/>
          <w:b/>
          <w:sz w:val="36"/>
          <w:szCs w:val="36"/>
        </w:rPr>
        <w:t>第一部分 招标公告</w:t>
      </w:r>
    </w:p>
    <w:p w14:paraId="76A34E08">
      <w:pPr>
        <w:spacing w:line="360" w:lineRule="auto"/>
        <w:contextualSpacing/>
        <w:jc w:val="center"/>
        <w:rPr>
          <w:rFonts w:hint="eastAsia" w:eastAsia="宋体"/>
          <w:b/>
          <w:sz w:val="32"/>
          <w:szCs w:val="32"/>
          <w:lang w:eastAsia="zh-CN"/>
        </w:rPr>
      </w:pPr>
      <w:r>
        <w:rPr>
          <w:rFonts w:hint="eastAsia"/>
          <w:b/>
          <w:sz w:val="32"/>
          <w:szCs w:val="32"/>
          <w:lang w:eastAsia="zh-CN"/>
        </w:rPr>
        <w:t>南通新通安投资开发有限公司A1及B2车型采购项目（标段一）（第二次）</w:t>
      </w:r>
    </w:p>
    <w:p w14:paraId="41A9CC7F">
      <w:pPr>
        <w:pBdr>
          <w:top w:val="single" w:color="auto" w:sz="4" w:space="1"/>
          <w:left w:val="single" w:color="auto" w:sz="4" w:space="4"/>
          <w:bottom w:val="single" w:color="auto" w:sz="4" w:space="1"/>
          <w:right w:val="single" w:color="auto" w:sz="4" w:space="4"/>
        </w:pBdr>
        <w:spacing w:line="360" w:lineRule="auto"/>
        <w:ind w:firstLine="480" w:firstLineChars="200"/>
        <w:rPr>
          <w:sz w:val="24"/>
        </w:rPr>
      </w:pPr>
      <w:r>
        <w:rPr>
          <w:rFonts w:hint="eastAsia"/>
          <w:sz w:val="24"/>
        </w:rPr>
        <w:t>项目概况</w:t>
      </w:r>
    </w:p>
    <w:p w14:paraId="4745BA24">
      <w:pPr>
        <w:pBdr>
          <w:top w:val="single" w:color="auto" w:sz="4" w:space="1"/>
          <w:left w:val="single" w:color="auto" w:sz="4" w:space="4"/>
          <w:bottom w:val="single" w:color="auto" w:sz="4" w:space="1"/>
          <w:right w:val="single" w:color="auto" w:sz="4" w:space="4"/>
        </w:pBdr>
        <w:spacing w:line="360" w:lineRule="auto"/>
        <w:ind w:firstLine="480" w:firstLineChars="200"/>
        <w:rPr>
          <w:sz w:val="24"/>
        </w:rPr>
      </w:pPr>
      <w:r>
        <w:rPr>
          <w:rFonts w:hint="eastAsia"/>
          <w:sz w:val="24"/>
          <w:u w:val="single"/>
          <w:lang w:eastAsia="zh-CN"/>
        </w:rPr>
        <w:t>南通新通安投资开发有限公司A1及B2车型采购项目（标段一）（第二次）</w:t>
      </w:r>
      <w:r>
        <w:rPr>
          <w:rFonts w:hint="eastAsia"/>
          <w:sz w:val="24"/>
          <w:u w:val="single"/>
        </w:rPr>
        <w:t xml:space="preserve"> </w:t>
      </w:r>
      <w:r>
        <w:rPr>
          <w:rFonts w:hint="eastAsia"/>
          <w:bCs/>
          <w:sz w:val="24"/>
        </w:rPr>
        <w:t>招标项目的潜在投标人应在</w:t>
      </w:r>
      <w:r>
        <w:rPr>
          <w:rFonts w:hint="eastAsia" w:ascii="宋体" w:hAnsi="宋体" w:cs="宋体"/>
          <w:sz w:val="24"/>
        </w:rPr>
        <w:t>“南通市公安局</w:t>
      </w:r>
      <w:r>
        <w:rPr>
          <w:rFonts w:ascii="宋体" w:hAnsi="宋体" w:cs="宋体"/>
          <w:sz w:val="24"/>
        </w:rPr>
        <w:t>→法定主动公开内容→政府采购”</w:t>
      </w:r>
      <w:r>
        <w:rPr>
          <w:rFonts w:hint="eastAsia"/>
          <w:bCs/>
          <w:sz w:val="24"/>
        </w:rPr>
        <w:t>获取招标文件，并于2026年</w:t>
      </w:r>
      <w:r>
        <w:rPr>
          <w:rFonts w:hint="eastAsia"/>
          <w:bCs/>
          <w:sz w:val="24"/>
          <w:lang w:val="en-US" w:eastAsia="zh-CN"/>
        </w:rPr>
        <w:t>03</w:t>
      </w:r>
      <w:r>
        <w:rPr>
          <w:rFonts w:hint="eastAsia"/>
          <w:bCs/>
          <w:sz w:val="24"/>
        </w:rPr>
        <w:t>月</w:t>
      </w:r>
      <w:r>
        <w:rPr>
          <w:rFonts w:hint="eastAsia"/>
          <w:bCs/>
          <w:sz w:val="24"/>
          <w:lang w:val="en-US" w:eastAsia="zh-CN"/>
        </w:rPr>
        <w:t>23</w:t>
      </w:r>
      <w:r>
        <w:rPr>
          <w:rFonts w:hint="eastAsia"/>
          <w:bCs/>
          <w:sz w:val="24"/>
        </w:rPr>
        <w:t>日14点00分（北京时间）前递交投标</w:t>
      </w:r>
      <w:r>
        <w:rPr>
          <w:bCs/>
          <w:sz w:val="24"/>
        </w:rPr>
        <w:t>文件</w:t>
      </w:r>
      <w:r>
        <w:rPr>
          <w:rFonts w:hint="eastAsia"/>
          <w:sz w:val="24"/>
        </w:rPr>
        <w:t>。</w:t>
      </w:r>
    </w:p>
    <w:p w14:paraId="09AD98DD">
      <w:pPr>
        <w:spacing w:line="360" w:lineRule="auto"/>
        <w:contextualSpacing/>
        <w:rPr>
          <w:b/>
          <w:sz w:val="24"/>
        </w:rPr>
      </w:pPr>
      <w:bookmarkStart w:id="0" w:name="_Toc28359079"/>
      <w:bookmarkStart w:id="1" w:name="_Toc35393621"/>
      <w:bookmarkStart w:id="2" w:name="_Toc35393790"/>
      <w:bookmarkStart w:id="3" w:name="_Toc28359002"/>
      <w:bookmarkStart w:id="4" w:name="_Hlk24379207"/>
      <w:r>
        <w:rPr>
          <w:rFonts w:hint="eastAsia"/>
          <w:b/>
          <w:sz w:val="24"/>
        </w:rPr>
        <w:t>一、项目基本情况</w:t>
      </w:r>
      <w:bookmarkEnd w:id="0"/>
      <w:bookmarkEnd w:id="1"/>
      <w:bookmarkEnd w:id="2"/>
      <w:bookmarkEnd w:id="3"/>
    </w:p>
    <w:p w14:paraId="0CFBD700">
      <w:pPr>
        <w:spacing w:line="360" w:lineRule="auto"/>
        <w:ind w:firstLine="480" w:firstLineChars="200"/>
        <w:rPr>
          <w:rFonts w:hint="default" w:eastAsia="宋体"/>
          <w:sz w:val="24"/>
          <w:lang w:val="en-US" w:eastAsia="zh-CN"/>
        </w:rPr>
      </w:pPr>
      <w:r>
        <w:rPr>
          <w:rFonts w:hint="eastAsia"/>
          <w:sz w:val="24"/>
        </w:rPr>
        <w:t>1、项目编号：XTA-HXKSC1111</w:t>
      </w:r>
      <w:r>
        <w:rPr>
          <w:rFonts w:hint="eastAsia"/>
          <w:sz w:val="24"/>
          <w:lang w:val="en-US" w:eastAsia="zh-CN"/>
        </w:rPr>
        <w:t>-1</w:t>
      </w:r>
    </w:p>
    <w:p w14:paraId="15CCBC54">
      <w:pPr>
        <w:spacing w:line="360" w:lineRule="auto"/>
        <w:ind w:firstLine="480" w:firstLineChars="200"/>
        <w:rPr>
          <w:rFonts w:hint="eastAsia" w:eastAsia="宋体"/>
          <w:sz w:val="24"/>
          <w:u w:val="single"/>
          <w:lang w:eastAsia="zh-CN"/>
        </w:rPr>
      </w:pPr>
      <w:r>
        <w:rPr>
          <w:rFonts w:hint="eastAsia"/>
          <w:sz w:val="24"/>
        </w:rPr>
        <w:t>2、项目名称：</w:t>
      </w:r>
      <w:r>
        <w:rPr>
          <w:rFonts w:hint="eastAsia"/>
          <w:sz w:val="24"/>
          <w:lang w:eastAsia="zh-CN"/>
        </w:rPr>
        <w:t>南通新通安投资开发有限公司A1及B2车型采购项目（标段一）（第二次）</w:t>
      </w:r>
    </w:p>
    <w:bookmarkEnd w:id="4"/>
    <w:p w14:paraId="63E70313">
      <w:pPr>
        <w:spacing w:line="360" w:lineRule="auto"/>
        <w:ind w:firstLine="480" w:firstLineChars="200"/>
        <w:rPr>
          <w:rFonts w:hint="eastAsia"/>
          <w:sz w:val="24"/>
        </w:rPr>
      </w:pPr>
      <w:r>
        <w:rPr>
          <w:rFonts w:hint="eastAsia"/>
          <w:sz w:val="24"/>
        </w:rPr>
        <w:t>3、项目类型：货物</w:t>
      </w:r>
    </w:p>
    <w:p w14:paraId="182852A1">
      <w:pPr>
        <w:spacing w:line="360" w:lineRule="auto"/>
        <w:ind w:firstLine="480" w:firstLineChars="200"/>
        <w:rPr>
          <w:rFonts w:hint="eastAsia"/>
          <w:sz w:val="24"/>
        </w:rPr>
      </w:pPr>
      <w:r>
        <w:rPr>
          <w:rFonts w:hint="eastAsia"/>
          <w:sz w:val="24"/>
        </w:rPr>
        <w:t>4、所属行业：工业</w:t>
      </w:r>
    </w:p>
    <w:p w14:paraId="6E82EF26">
      <w:pPr>
        <w:spacing w:line="360" w:lineRule="auto"/>
        <w:ind w:firstLine="480" w:firstLineChars="200"/>
        <w:rPr>
          <w:rFonts w:hint="eastAsia"/>
          <w:bCs/>
          <w:sz w:val="24"/>
        </w:rPr>
      </w:pPr>
      <w:r>
        <w:rPr>
          <w:rFonts w:hint="eastAsia"/>
          <w:bCs/>
          <w:sz w:val="24"/>
        </w:rPr>
        <w:t>5、预算金额：标段一：88万元。</w:t>
      </w:r>
    </w:p>
    <w:p w14:paraId="410D5C58">
      <w:pPr>
        <w:spacing w:line="360" w:lineRule="auto"/>
        <w:ind w:firstLine="480" w:firstLineChars="200"/>
        <w:rPr>
          <w:rFonts w:hint="eastAsia" w:ascii="宋体" w:hAnsi="宋体" w:cs="宋体"/>
          <w:sz w:val="24"/>
        </w:rPr>
      </w:pPr>
      <w:r>
        <w:rPr>
          <w:rFonts w:hint="eastAsia" w:cs="宋体"/>
          <w:sz w:val="24"/>
        </w:rPr>
        <w:t>6、最高限价：</w:t>
      </w:r>
      <w:r>
        <w:rPr>
          <w:rFonts w:hint="eastAsia" w:ascii="宋体" w:hAnsi="宋体" w:cs="宋体"/>
          <w:sz w:val="24"/>
        </w:rPr>
        <w:t>标段</w:t>
      </w:r>
      <w:r>
        <w:rPr>
          <w:rFonts w:hint="eastAsia" w:ascii="宋体" w:hAnsi="宋体" w:cs="宋体"/>
          <w:sz w:val="24"/>
          <w:lang w:val="en-US" w:eastAsia="zh-CN"/>
        </w:rPr>
        <w:t>一</w:t>
      </w:r>
      <w:r>
        <w:rPr>
          <w:rFonts w:hint="eastAsia" w:ascii="宋体" w:hAnsi="宋体" w:cs="宋体"/>
          <w:sz w:val="24"/>
        </w:rPr>
        <w:t>最高单价限价如下：</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805"/>
        <w:gridCol w:w="2959"/>
        <w:gridCol w:w="1576"/>
      </w:tblGrid>
      <w:tr w14:paraId="6970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27" w:type="dxa"/>
            <w:tcBorders>
              <w:top w:val="single" w:color="auto" w:sz="4" w:space="0"/>
              <w:left w:val="single" w:color="auto" w:sz="4" w:space="0"/>
              <w:bottom w:val="single" w:color="auto" w:sz="4" w:space="0"/>
              <w:right w:val="single" w:color="auto" w:sz="4" w:space="0"/>
            </w:tcBorders>
            <w:noWrap/>
            <w:vAlign w:val="center"/>
          </w:tcPr>
          <w:p w14:paraId="796D858F">
            <w:pPr>
              <w:spacing w:line="360" w:lineRule="auto"/>
              <w:jc w:val="center"/>
              <w:rPr>
                <w:rFonts w:hint="eastAsia" w:ascii="宋体" w:hAnsi="宋体" w:cs="宋体"/>
                <w:b/>
                <w:sz w:val="24"/>
              </w:rPr>
            </w:pPr>
            <w:r>
              <w:rPr>
                <w:rFonts w:hint="eastAsia" w:ascii="宋体" w:hAnsi="宋体" w:cs="宋体"/>
                <w:b/>
                <w:sz w:val="24"/>
              </w:rPr>
              <w:t>标段</w:t>
            </w:r>
          </w:p>
        </w:tc>
        <w:tc>
          <w:tcPr>
            <w:tcW w:w="2805" w:type="dxa"/>
            <w:tcBorders>
              <w:top w:val="single" w:color="auto" w:sz="4" w:space="0"/>
              <w:left w:val="single" w:color="auto" w:sz="4" w:space="0"/>
              <w:bottom w:val="single" w:color="auto" w:sz="4" w:space="0"/>
              <w:right w:val="single" w:color="auto" w:sz="4" w:space="0"/>
            </w:tcBorders>
            <w:noWrap/>
            <w:vAlign w:val="center"/>
          </w:tcPr>
          <w:p w14:paraId="71D1E294">
            <w:pPr>
              <w:spacing w:line="360" w:lineRule="auto"/>
              <w:jc w:val="center"/>
              <w:rPr>
                <w:rFonts w:ascii="宋体" w:hAnsi="宋体" w:cs="宋体"/>
                <w:b/>
                <w:sz w:val="24"/>
              </w:rPr>
            </w:pPr>
            <w:r>
              <w:rPr>
                <w:rFonts w:hint="eastAsia" w:ascii="宋体" w:hAnsi="宋体" w:cs="宋体"/>
                <w:b/>
                <w:sz w:val="24"/>
              </w:rPr>
              <w:t>品名</w:t>
            </w:r>
          </w:p>
        </w:tc>
        <w:tc>
          <w:tcPr>
            <w:tcW w:w="2959" w:type="dxa"/>
            <w:tcBorders>
              <w:top w:val="single" w:color="auto" w:sz="4" w:space="0"/>
              <w:left w:val="single" w:color="auto" w:sz="4" w:space="0"/>
              <w:bottom w:val="single" w:color="auto" w:sz="4" w:space="0"/>
              <w:right w:val="single" w:color="auto" w:sz="4" w:space="0"/>
            </w:tcBorders>
            <w:noWrap/>
            <w:vAlign w:val="center"/>
          </w:tcPr>
          <w:p w14:paraId="4AF82A1A">
            <w:pPr>
              <w:spacing w:line="360" w:lineRule="auto"/>
              <w:jc w:val="center"/>
              <w:rPr>
                <w:rFonts w:ascii="宋体" w:hAnsi="宋体" w:cs="宋体"/>
                <w:sz w:val="24"/>
              </w:rPr>
            </w:pPr>
            <w:r>
              <w:rPr>
                <w:rFonts w:hint="eastAsia" w:ascii="宋体" w:hAnsi="宋体" w:cs="宋体"/>
                <w:b/>
                <w:sz w:val="24"/>
              </w:rPr>
              <w:t>最高单价限价（万元/辆）</w:t>
            </w:r>
          </w:p>
        </w:tc>
        <w:tc>
          <w:tcPr>
            <w:tcW w:w="1576" w:type="dxa"/>
            <w:tcBorders>
              <w:top w:val="single" w:color="auto" w:sz="4" w:space="0"/>
              <w:left w:val="single" w:color="auto" w:sz="4" w:space="0"/>
              <w:bottom w:val="single" w:color="auto" w:sz="4" w:space="0"/>
              <w:right w:val="single" w:color="auto" w:sz="4" w:space="0"/>
            </w:tcBorders>
            <w:noWrap/>
            <w:vAlign w:val="center"/>
          </w:tcPr>
          <w:p w14:paraId="3296AF55">
            <w:pPr>
              <w:spacing w:line="360" w:lineRule="auto"/>
              <w:jc w:val="center"/>
              <w:rPr>
                <w:rFonts w:hint="eastAsia" w:ascii="宋体" w:hAnsi="宋体" w:cs="宋体"/>
                <w:b/>
                <w:sz w:val="24"/>
              </w:rPr>
            </w:pPr>
            <w:r>
              <w:rPr>
                <w:rFonts w:hint="eastAsia" w:ascii="宋体" w:hAnsi="宋体" w:cs="宋体"/>
                <w:b/>
                <w:sz w:val="24"/>
              </w:rPr>
              <w:t>数量（辆）</w:t>
            </w:r>
          </w:p>
        </w:tc>
      </w:tr>
      <w:tr w14:paraId="2FAC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tcBorders>
              <w:top w:val="single" w:color="auto" w:sz="4" w:space="0"/>
              <w:left w:val="single" w:color="auto" w:sz="4" w:space="0"/>
              <w:bottom w:val="single" w:color="auto" w:sz="4" w:space="0"/>
              <w:right w:val="single" w:color="auto" w:sz="4" w:space="0"/>
            </w:tcBorders>
            <w:noWrap/>
            <w:vAlign w:val="center"/>
          </w:tcPr>
          <w:p w14:paraId="2E5CD765">
            <w:pPr>
              <w:widowControl/>
              <w:spacing w:line="360" w:lineRule="auto"/>
              <w:jc w:val="center"/>
              <w:textAlignment w:val="center"/>
              <w:rPr>
                <w:rFonts w:ascii="宋体" w:hAnsi="宋体" w:cs="宋体"/>
                <w:sz w:val="24"/>
              </w:rPr>
            </w:pPr>
            <w:r>
              <w:rPr>
                <w:rFonts w:hint="eastAsia" w:ascii="宋体" w:hAnsi="宋体" w:cs="宋体"/>
                <w:sz w:val="24"/>
              </w:rPr>
              <w:t>1</w:t>
            </w:r>
          </w:p>
        </w:tc>
        <w:tc>
          <w:tcPr>
            <w:tcW w:w="2805" w:type="dxa"/>
            <w:tcBorders>
              <w:top w:val="single" w:color="auto" w:sz="4" w:space="0"/>
              <w:left w:val="single" w:color="auto" w:sz="4" w:space="0"/>
              <w:bottom w:val="single" w:color="auto" w:sz="4" w:space="0"/>
              <w:right w:val="single" w:color="auto" w:sz="4" w:space="0"/>
            </w:tcBorders>
            <w:noWrap/>
            <w:vAlign w:val="center"/>
          </w:tcPr>
          <w:p w14:paraId="61523463">
            <w:pPr>
              <w:widowControl/>
              <w:spacing w:line="360" w:lineRule="auto"/>
              <w:jc w:val="center"/>
              <w:textAlignment w:val="center"/>
              <w:rPr>
                <w:rFonts w:ascii="宋体" w:hAnsi="宋体" w:cs="宋体"/>
                <w:sz w:val="24"/>
              </w:rPr>
            </w:pPr>
            <w:r>
              <w:rPr>
                <w:rFonts w:hint="eastAsia" w:ascii="宋体" w:hAnsi="宋体" w:cs="宋体"/>
                <w:sz w:val="24"/>
              </w:rPr>
              <w:t>A1车型</w:t>
            </w:r>
          </w:p>
        </w:tc>
        <w:tc>
          <w:tcPr>
            <w:tcW w:w="2959" w:type="dxa"/>
            <w:tcBorders>
              <w:top w:val="single" w:color="auto" w:sz="4" w:space="0"/>
              <w:left w:val="single" w:color="auto" w:sz="4" w:space="0"/>
              <w:bottom w:val="single" w:color="auto" w:sz="4" w:space="0"/>
              <w:right w:val="single" w:color="auto" w:sz="4" w:space="0"/>
            </w:tcBorders>
            <w:noWrap/>
            <w:vAlign w:val="center"/>
          </w:tcPr>
          <w:p w14:paraId="73E04B55">
            <w:pPr>
              <w:widowControl/>
              <w:spacing w:line="360" w:lineRule="auto"/>
              <w:jc w:val="center"/>
              <w:rPr>
                <w:rFonts w:ascii="宋体" w:hAnsi="宋体" w:cs="宋体"/>
                <w:sz w:val="24"/>
              </w:rPr>
            </w:pPr>
            <w:r>
              <w:rPr>
                <w:rFonts w:hint="eastAsia" w:ascii="宋体" w:hAnsi="宋体" w:cs="宋体"/>
                <w:sz w:val="24"/>
              </w:rPr>
              <w:t>44.00</w:t>
            </w:r>
          </w:p>
        </w:tc>
        <w:tc>
          <w:tcPr>
            <w:tcW w:w="1576" w:type="dxa"/>
            <w:tcBorders>
              <w:top w:val="single" w:color="auto" w:sz="4" w:space="0"/>
              <w:left w:val="single" w:color="auto" w:sz="4" w:space="0"/>
              <w:bottom w:val="single" w:color="auto" w:sz="4" w:space="0"/>
              <w:right w:val="single" w:color="auto" w:sz="4" w:space="0"/>
            </w:tcBorders>
            <w:noWrap/>
            <w:vAlign w:val="center"/>
          </w:tcPr>
          <w:p w14:paraId="56DF8470">
            <w:pPr>
              <w:widowControl/>
              <w:spacing w:line="360" w:lineRule="auto"/>
              <w:jc w:val="center"/>
              <w:rPr>
                <w:rFonts w:hint="eastAsia" w:ascii="宋体" w:hAnsi="宋体" w:cs="宋体"/>
                <w:sz w:val="24"/>
              </w:rPr>
            </w:pPr>
            <w:r>
              <w:rPr>
                <w:rFonts w:hint="eastAsia" w:ascii="宋体" w:hAnsi="宋体" w:cs="宋体"/>
                <w:sz w:val="24"/>
              </w:rPr>
              <w:t>2</w:t>
            </w:r>
          </w:p>
        </w:tc>
      </w:tr>
    </w:tbl>
    <w:p w14:paraId="42DD105A">
      <w:pPr>
        <w:spacing w:line="360" w:lineRule="auto"/>
        <w:ind w:firstLine="480" w:firstLineChars="200"/>
        <w:rPr>
          <w:rFonts w:hint="eastAsia"/>
          <w:b/>
          <w:bCs/>
          <w:sz w:val="24"/>
        </w:rPr>
      </w:pPr>
      <w:r>
        <w:rPr>
          <w:rFonts w:hint="eastAsia" w:ascii="宋体" w:hAnsi="宋体" w:cs="宋体"/>
          <w:sz w:val="24"/>
        </w:rPr>
        <w:t>供应商的报价不得高于最高单价限价，否则做无效投标文件处理。</w:t>
      </w:r>
    </w:p>
    <w:p w14:paraId="7E6BA617">
      <w:pPr>
        <w:adjustRightInd w:val="0"/>
        <w:snapToGrid w:val="0"/>
        <w:spacing w:line="360" w:lineRule="auto"/>
        <w:ind w:firstLine="480" w:firstLineChars="200"/>
        <w:rPr>
          <w:rFonts w:ascii="宋体" w:hAnsi="宋体" w:cs="宋体"/>
          <w:sz w:val="24"/>
        </w:rPr>
      </w:pPr>
      <w:bookmarkStart w:id="5" w:name="_Toc35393791"/>
      <w:bookmarkStart w:id="6" w:name="_Toc28359080"/>
      <w:bookmarkStart w:id="7" w:name="_Toc28359003"/>
      <w:bookmarkStart w:id="8" w:name="_Toc35393622"/>
      <w:r>
        <w:rPr>
          <w:rFonts w:hint="eastAsia" w:ascii="宋体" w:hAnsi="宋体" w:cs="宋体"/>
          <w:sz w:val="24"/>
        </w:rPr>
        <w:t>7、采购需求：具体详见《第三部分 项目需求》，请仔细研究。</w:t>
      </w:r>
    </w:p>
    <w:p w14:paraId="51A156C4">
      <w:pPr>
        <w:adjustRightInd w:val="0"/>
        <w:snapToGrid w:val="0"/>
        <w:spacing w:line="360" w:lineRule="auto"/>
        <w:ind w:firstLine="480" w:firstLineChars="200"/>
        <w:rPr>
          <w:rFonts w:ascii="宋体" w:hAnsi="宋体" w:cs="宋体"/>
          <w:sz w:val="24"/>
        </w:rPr>
      </w:pPr>
      <w:r>
        <w:rPr>
          <w:rFonts w:hint="eastAsia" w:ascii="宋体" w:hAnsi="宋体" w:cs="宋体"/>
          <w:sz w:val="24"/>
        </w:rPr>
        <w:t>8、合同履行期限：合同签订生效之日起30日历天内完成供货，且通过采购单位验收。</w:t>
      </w:r>
    </w:p>
    <w:p w14:paraId="5A7785C8">
      <w:pPr>
        <w:adjustRightInd w:val="0"/>
        <w:snapToGrid w:val="0"/>
        <w:spacing w:line="360" w:lineRule="auto"/>
        <w:ind w:firstLine="480" w:firstLineChars="200"/>
        <w:rPr>
          <w:rFonts w:ascii="宋体" w:hAnsi="宋体" w:cs="宋体"/>
          <w:sz w:val="24"/>
        </w:rPr>
      </w:pPr>
      <w:r>
        <w:rPr>
          <w:rFonts w:hint="eastAsia" w:ascii="宋体" w:hAnsi="宋体" w:cs="宋体"/>
          <w:sz w:val="24"/>
        </w:rPr>
        <w:t>9、本项目不接受联合体投标。</w:t>
      </w:r>
    </w:p>
    <w:p w14:paraId="19B051A9">
      <w:pPr>
        <w:snapToGrid w:val="0"/>
        <w:spacing w:line="360" w:lineRule="auto"/>
        <w:ind w:firstLine="480" w:firstLineChars="200"/>
        <w:rPr>
          <w:rFonts w:ascii="宋体" w:hAnsi="宋体" w:cs="宋体"/>
          <w:sz w:val="24"/>
        </w:rPr>
      </w:pPr>
      <w:r>
        <w:rPr>
          <w:rFonts w:hint="eastAsia" w:ascii="宋体" w:hAnsi="宋体" w:cs="宋体"/>
          <w:sz w:val="24"/>
        </w:rPr>
        <w:t>10、本项目不接受分包。</w:t>
      </w:r>
    </w:p>
    <w:p w14:paraId="3B7E48D3">
      <w:pPr>
        <w:spacing w:line="360" w:lineRule="auto"/>
        <w:contextualSpacing/>
        <w:rPr>
          <w:b/>
          <w:sz w:val="24"/>
        </w:rPr>
      </w:pPr>
      <w:r>
        <w:rPr>
          <w:rFonts w:hint="eastAsia"/>
          <w:b/>
          <w:sz w:val="24"/>
        </w:rPr>
        <w:t>二、申请人的资格要求：</w:t>
      </w:r>
      <w:bookmarkEnd w:id="5"/>
      <w:bookmarkEnd w:id="6"/>
      <w:bookmarkEnd w:id="7"/>
      <w:bookmarkEnd w:id="8"/>
    </w:p>
    <w:p w14:paraId="027A66A6">
      <w:pPr>
        <w:spacing w:line="360" w:lineRule="auto"/>
        <w:ind w:firstLine="480" w:firstLineChars="200"/>
        <w:rPr>
          <w:rFonts w:hint="eastAsia"/>
          <w:sz w:val="24"/>
        </w:rPr>
      </w:pPr>
      <w:bookmarkStart w:id="9" w:name="_Toc28359081"/>
      <w:bookmarkStart w:id="10" w:name="_Toc28359004"/>
      <w:r>
        <w:rPr>
          <w:rFonts w:hint="eastAsia"/>
          <w:sz w:val="24"/>
        </w:rPr>
        <w:t xml:space="preserve">1.本项目的特定资格要求： </w:t>
      </w:r>
    </w:p>
    <w:p w14:paraId="3251CA06">
      <w:pPr>
        <w:spacing w:line="360" w:lineRule="auto"/>
        <w:ind w:firstLine="480" w:firstLineChars="200"/>
        <w:rPr>
          <w:rFonts w:hint="eastAsia"/>
          <w:sz w:val="24"/>
        </w:rPr>
      </w:pPr>
      <w:r>
        <w:rPr>
          <w:rFonts w:hint="eastAsia"/>
          <w:sz w:val="24"/>
        </w:rPr>
        <w:t>（1）</w:t>
      </w:r>
      <w:r>
        <w:rPr>
          <w:rFonts w:hint="eastAsia"/>
          <w:bCs/>
          <w:sz w:val="24"/>
        </w:rPr>
        <w:t>投标人具有独立承担民事责任的能力，提供法人或者其他组织的营业执照等证明文件，</w:t>
      </w:r>
      <w:r>
        <w:rPr>
          <w:rFonts w:hint="eastAsia" w:cs="宋体"/>
          <w:bCs/>
          <w:sz w:val="24"/>
        </w:rPr>
        <w:t>有能力按本招标文件规定的要求提供相关招标的物及相关伴随服务</w:t>
      </w:r>
      <w:r>
        <w:rPr>
          <w:rFonts w:hint="eastAsia"/>
          <w:sz w:val="24"/>
        </w:rPr>
        <w:t>；</w:t>
      </w:r>
    </w:p>
    <w:p w14:paraId="24DA1D78">
      <w:pPr>
        <w:spacing w:line="360" w:lineRule="auto"/>
        <w:ind w:firstLine="480" w:firstLineChars="200"/>
        <w:rPr>
          <w:rFonts w:hint="eastAsia"/>
          <w:sz w:val="24"/>
        </w:rPr>
      </w:pPr>
      <w:r>
        <w:rPr>
          <w:rFonts w:hint="eastAsia"/>
          <w:sz w:val="24"/>
        </w:rPr>
        <w:t>（2）法定代表人参加投标的，必须提供法定代表人身份证明及法定代表人本人身份证复印件；非法定代表人参加投标的，必须提供法定代表人签字或盖章的授权委托书、法定代表人本人身份证复印件及被授权人本人身份证复印件。</w:t>
      </w:r>
    </w:p>
    <w:p w14:paraId="0FE45C12">
      <w:pPr>
        <w:autoSpaceDE w:val="0"/>
        <w:autoSpaceDN w:val="0"/>
        <w:spacing w:line="360" w:lineRule="auto"/>
        <w:ind w:firstLine="480" w:firstLineChars="200"/>
        <w:rPr>
          <w:bCs/>
          <w:sz w:val="24"/>
        </w:rPr>
      </w:pPr>
      <w:bookmarkStart w:id="11" w:name="_Toc35393623"/>
      <w:bookmarkStart w:id="12" w:name="_Toc35393792"/>
      <w:r>
        <w:rPr>
          <w:rFonts w:hint="eastAsia"/>
          <w:bCs/>
          <w:sz w:val="24"/>
        </w:rPr>
        <w:t>2.未被“信用中国”等媒体列入失信被执行人、企业经营异常名录、采购严重违法失信名单、没有因违反招投标规定被行政处罚且在公示期内。</w:t>
      </w:r>
    </w:p>
    <w:p w14:paraId="25EDBA81">
      <w:pPr>
        <w:autoSpaceDE w:val="0"/>
        <w:autoSpaceDN w:val="0"/>
        <w:spacing w:line="360" w:lineRule="auto"/>
        <w:ind w:firstLine="482" w:firstLineChars="200"/>
        <w:rPr>
          <w:rFonts w:hint="eastAsia"/>
          <w:b/>
          <w:bCs/>
          <w:sz w:val="24"/>
        </w:rPr>
      </w:pPr>
      <w:r>
        <w:rPr>
          <w:rFonts w:hint="eastAsia"/>
          <w:b/>
          <w:bCs/>
          <w:sz w:val="24"/>
        </w:rPr>
        <w:t>具体资格要求详见第八部分中的“资格审查文件”。</w:t>
      </w:r>
    </w:p>
    <w:p w14:paraId="7674C8AD">
      <w:pPr>
        <w:spacing w:line="360" w:lineRule="auto"/>
        <w:contextualSpacing/>
        <w:rPr>
          <w:b/>
          <w:sz w:val="24"/>
        </w:rPr>
      </w:pPr>
      <w:r>
        <w:rPr>
          <w:rFonts w:hint="eastAsia"/>
          <w:b/>
          <w:sz w:val="24"/>
        </w:rPr>
        <w:t>三、获取招标文件</w:t>
      </w:r>
      <w:bookmarkEnd w:id="9"/>
      <w:bookmarkEnd w:id="10"/>
      <w:bookmarkEnd w:id="11"/>
      <w:bookmarkEnd w:id="12"/>
    </w:p>
    <w:p w14:paraId="3CCF928B">
      <w:pPr>
        <w:spacing w:line="360" w:lineRule="auto"/>
        <w:ind w:firstLine="540"/>
        <w:rPr>
          <w:rFonts w:hint="eastAsia" w:cs="宋体"/>
          <w:sz w:val="24"/>
          <w:u w:val="single"/>
        </w:rPr>
      </w:pPr>
      <w:r>
        <w:rPr>
          <w:rFonts w:hint="eastAsia" w:cs="宋体"/>
          <w:sz w:val="24"/>
        </w:rPr>
        <w:t>1.获取时间：本项目招标公告挂网之日起至</w:t>
      </w:r>
      <w:r>
        <w:rPr>
          <w:rFonts w:hint="eastAsia" w:cs="宋体"/>
          <w:sz w:val="24"/>
          <w:u w:val="single"/>
        </w:rPr>
        <w:t>2026年</w:t>
      </w:r>
      <w:r>
        <w:rPr>
          <w:rFonts w:hint="eastAsia" w:cs="宋体"/>
          <w:sz w:val="24"/>
          <w:u w:val="single"/>
          <w:lang w:val="en-US" w:eastAsia="zh-CN"/>
        </w:rPr>
        <w:t>03</w:t>
      </w:r>
      <w:r>
        <w:rPr>
          <w:rFonts w:hint="eastAsia" w:cs="宋体"/>
          <w:sz w:val="24"/>
          <w:u w:val="single"/>
        </w:rPr>
        <w:t>月</w:t>
      </w:r>
      <w:r>
        <w:rPr>
          <w:rFonts w:hint="eastAsia" w:cs="宋体"/>
          <w:sz w:val="24"/>
          <w:u w:val="single"/>
          <w:lang w:val="en-US" w:eastAsia="zh-CN"/>
        </w:rPr>
        <w:t>23</w:t>
      </w:r>
      <w:r>
        <w:rPr>
          <w:rFonts w:hint="eastAsia" w:cs="宋体"/>
          <w:sz w:val="24"/>
          <w:u w:val="single"/>
        </w:rPr>
        <w:t>日14点00分。</w:t>
      </w:r>
    </w:p>
    <w:p w14:paraId="586F5C70">
      <w:pPr>
        <w:spacing w:line="360" w:lineRule="auto"/>
        <w:ind w:firstLine="540"/>
        <w:rPr>
          <w:rFonts w:hint="eastAsia" w:cs="宋体"/>
          <w:bCs/>
          <w:sz w:val="24"/>
        </w:rPr>
      </w:pPr>
      <w:bookmarkStart w:id="13" w:name="_Toc28359005"/>
      <w:bookmarkStart w:id="14" w:name="_Toc28359082"/>
      <w:bookmarkStart w:id="15" w:name="_Toc35393624"/>
      <w:bookmarkStart w:id="16" w:name="_Toc35393793"/>
      <w:r>
        <w:rPr>
          <w:rFonts w:hint="eastAsia" w:cs="宋体"/>
          <w:sz w:val="24"/>
        </w:rPr>
        <w:t>2.地点：</w:t>
      </w:r>
      <w:r>
        <w:rPr>
          <w:rFonts w:hint="eastAsia" w:ascii="宋体" w:hAnsi="宋体" w:cs="宋体"/>
          <w:sz w:val="24"/>
        </w:rPr>
        <w:t>“南通市公安局→法定主动公开内容→政府采购”栏</w:t>
      </w:r>
      <w:r>
        <w:rPr>
          <w:rFonts w:hint="eastAsia" w:cs="宋体"/>
          <w:bCs/>
          <w:sz w:val="24"/>
        </w:rPr>
        <w:t>。</w:t>
      </w:r>
    </w:p>
    <w:p w14:paraId="4554C16A">
      <w:pPr>
        <w:adjustRightInd w:val="0"/>
        <w:snapToGrid w:val="0"/>
        <w:spacing w:line="360" w:lineRule="auto"/>
        <w:ind w:firstLine="480" w:firstLineChars="200"/>
        <w:rPr>
          <w:rFonts w:hint="eastAsia"/>
        </w:rPr>
      </w:pPr>
      <w:r>
        <w:rPr>
          <w:rFonts w:hint="eastAsia" w:cs="宋体"/>
          <w:sz w:val="24"/>
        </w:rPr>
        <w:t>3.</w:t>
      </w:r>
      <w:r>
        <w:rPr>
          <w:rFonts w:hint="eastAsia" w:ascii="宋体" w:hAnsi="宋体" w:cs="宋体"/>
          <w:sz w:val="24"/>
        </w:rPr>
        <w:t>方式：</w:t>
      </w:r>
      <w:r>
        <w:rPr>
          <w:rFonts w:hint="eastAsia" w:cs="宋体"/>
          <w:bCs/>
          <w:sz w:val="24"/>
        </w:rPr>
        <w:t>凡</w:t>
      </w:r>
      <w:r>
        <w:rPr>
          <w:rFonts w:hint="eastAsia" w:cs="宋体"/>
          <w:sz w:val="24"/>
        </w:rPr>
        <w:t>有意</w:t>
      </w:r>
      <w:r>
        <w:rPr>
          <w:rFonts w:hint="eastAsia" w:cs="宋体"/>
          <w:bCs/>
          <w:sz w:val="24"/>
        </w:rPr>
        <w:t>参加招标活动者，请于公告发布至招标活动开始前于“</w:t>
      </w:r>
      <w:r>
        <w:rPr>
          <w:rFonts w:hint="eastAsia" w:ascii="宋体" w:hAnsi="宋体" w:cs="宋体"/>
          <w:sz w:val="24"/>
        </w:rPr>
        <w:t>南通市公安局→法定主动公开内容→政府采购</w:t>
      </w:r>
      <w:r>
        <w:rPr>
          <w:rFonts w:hint="eastAsia" w:cs="宋体"/>
          <w:bCs/>
          <w:sz w:val="24"/>
        </w:rPr>
        <w:t>”直接下载招标文件</w:t>
      </w:r>
      <w:r>
        <w:rPr>
          <w:rFonts w:hint="eastAsia" w:ascii="宋体" w:hAnsi="宋体" w:cs="宋体"/>
          <w:sz w:val="24"/>
        </w:rPr>
        <w:t>。</w:t>
      </w:r>
    </w:p>
    <w:p w14:paraId="5D887BAE">
      <w:pPr>
        <w:spacing w:line="360" w:lineRule="auto"/>
        <w:contextualSpacing/>
        <w:rPr>
          <w:b/>
          <w:sz w:val="24"/>
        </w:rPr>
      </w:pPr>
      <w:r>
        <w:rPr>
          <w:rFonts w:hint="eastAsia"/>
          <w:b/>
          <w:sz w:val="24"/>
        </w:rPr>
        <w:t>四、提交投标文件</w:t>
      </w:r>
      <w:bookmarkEnd w:id="13"/>
      <w:bookmarkEnd w:id="14"/>
      <w:r>
        <w:rPr>
          <w:rFonts w:hint="eastAsia"/>
          <w:b/>
          <w:sz w:val="24"/>
        </w:rPr>
        <w:t>截止时间、开标时间和地点</w:t>
      </w:r>
      <w:bookmarkEnd w:id="15"/>
      <w:bookmarkEnd w:id="16"/>
    </w:p>
    <w:p w14:paraId="75FCAF5E">
      <w:pPr>
        <w:spacing w:line="360" w:lineRule="auto"/>
        <w:ind w:firstLine="482" w:firstLineChars="200"/>
        <w:rPr>
          <w:rFonts w:hint="eastAsia" w:cs="宋体"/>
          <w:iCs/>
          <w:sz w:val="24"/>
          <w:u w:val="single"/>
        </w:rPr>
      </w:pPr>
      <w:r>
        <w:rPr>
          <w:rFonts w:hint="eastAsia" w:cs="宋体"/>
          <w:b/>
          <w:bCs/>
          <w:iCs/>
          <w:sz w:val="24"/>
        </w:rPr>
        <w:t>1.提交投标文件截止时间及开标时间：</w:t>
      </w:r>
      <w:r>
        <w:rPr>
          <w:rFonts w:hint="eastAsia" w:cs="宋体"/>
          <w:sz w:val="24"/>
          <w:u w:val="single"/>
        </w:rPr>
        <w:t>2026年</w:t>
      </w:r>
      <w:r>
        <w:rPr>
          <w:rFonts w:hint="eastAsia" w:cs="宋体"/>
          <w:sz w:val="24"/>
          <w:u w:val="single"/>
          <w:lang w:val="en-US" w:eastAsia="zh-CN"/>
        </w:rPr>
        <w:t>03</w:t>
      </w:r>
      <w:r>
        <w:rPr>
          <w:rFonts w:hint="eastAsia" w:cs="宋体"/>
          <w:sz w:val="24"/>
          <w:u w:val="single"/>
        </w:rPr>
        <w:t>月</w:t>
      </w:r>
      <w:r>
        <w:rPr>
          <w:rFonts w:hint="eastAsia" w:cs="宋体"/>
          <w:sz w:val="24"/>
          <w:u w:val="single"/>
          <w:lang w:val="en-US" w:eastAsia="zh-CN"/>
        </w:rPr>
        <w:t>23</w:t>
      </w:r>
      <w:r>
        <w:rPr>
          <w:rFonts w:hint="eastAsia" w:cs="宋体"/>
          <w:sz w:val="24"/>
          <w:u w:val="single"/>
        </w:rPr>
        <w:t>日14点00分</w:t>
      </w:r>
      <w:r>
        <w:rPr>
          <w:rFonts w:hint="eastAsia"/>
          <w:bCs/>
          <w:sz w:val="24"/>
        </w:rPr>
        <w:t>（北京时间）</w:t>
      </w:r>
    </w:p>
    <w:p w14:paraId="418C4FB1">
      <w:pPr>
        <w:spacing w:line="360" w:lineRule="auto"/>
        <w:ind w:firstLine="480" w:firstLineChars="200"/>
        <w:rPr>
          <w:rFonts w:hint="eastAsia" w:cs="宋体"/>
          <w:iCs/>
          <w:sz w:val="24"/>
        </w:rPr>
      </w:pPr>
      <w:r>
        <w:rPr>
          <w:rFonts w:hint="eastAsia" w:cs="宋体"/>
          <w:iCs/>
          <w:sz w:val="24"/>
        </w:rPr>
        <w:t>2.</w:t>
      </w:r>
      <w:r>
        <w:rPr>
          <w:rFonts w:hint="eastAsia" w:cs="宋体"/>
          <w:b/>
          <w:bCs/>
          <w:iCs/>
          <w:sz w:val="24"/>
        </w:rPr>
        <w:t>递交投标文件地点及开标地点：</w:t>
      </w:r>
      <w:r>
        <w:rPr>
          <w:rFonts w:hint="eastAsia"/>
          <w:sz w:val="24"/>
          <w:u w:val="single"/>
        </w:rPr>
        <w:t>南通市公安局群众接待室（2）（南通市青年中路99号）</w:t>
      </w:r>
      <w:r>
        <w:rPr>
          <w:rFonts w:hint="eastAsia" w:cs="宋体"/>
          <w:iCs/>
          <w:sz w:val="24"/>
        </w:rPr>
        <w:t>。</w:t>
      </w:r>
    </w:p>
    <w:p w14:paraId="32A06464">
      <w:pPr>
        <w:spacing w:line="360" w:lineRule="auto"/>
        <w:ind w:firstLine="480" w:firstLineChars="200"/>
        <w:rPr>
          <w:rFonts w:cs="宋体"/>
          <w:kern w:val="0"/>
          <w:sz w:val="24"/>
        </w:rPr>
      </w:pPr>
      <w:r>
        <w:rPr>
          <w:rFonts w:hint="eastAsia" w:cs="宋体"/>
          <w:kern w:val="0"/>
          <w:sz w:val="24"/>
        </w:rPr>
        <w:t>3.由招标人组织开标，投标人的法定代表人或授权人亲自、准时参加开标会。</w:t>
      </w:r>
    </w:p>
    <w:p w14:paraId="40ABD0B8">
      <w:pPr>
        <w:spacing w:line="360" w:lineRule="auto"/>
        <w:ind w:firstLine="480" w:firstLineChars="200"/>
        <w:rPr>
          <w:rFonts w:hint="eastAsia" w:cs="宋体"/>
          <w:kern w:val="0"/>
          <w:sz w:val="24"/>
        </w:rPr>
      </w:pPr>
      <w:r>
        <w:rPr>
          <w:rFonts w:hint="eastAsia" w:cs="宋体"/>
          <w:kern w:val="0"/>
          <w:sz w:val="24"/>
        </w:rPr>
        <w:t>4.如评委会认为有必要，供应商按评委会的要求做陈述、演示、答疑及澄清其投标内容。时间由评委会掌握。重要澄清答复应是书面的，但不得对投标内容进行实质性修改。</w:t>
      </w:r>
    </w:p>
    <w:p w14:paraId="49F281E9">
      <w:pPr>
        <w:pStyle w:val="17"/>
        <w:spacing w:line="360" w:lineRule="auto"/>
        <w:ind w:firstLine="480" w:firstLineChars="200"/>
        <w:rPr>
          <w:rFonts w:hint="eastAsia" w:ascii="Times New Roman" w:eastAsia="宋体"/>
          <w:szCs w:val="24"/>
        </w:rPr>
      </w:pPr>
      <w:r>
        <w:rPr>
          <w:rFonts w:hint="eastAsia" w:ascii="Times New Roman" w:eastAsia="宋体" w:cs="宋体"/>
          <w:szCs w:val="24"/>
        </w:rPr>
        <w:t>请各供应商获取本次招标文件后，认真阅读各项内容，进行必要的准备，按招标文件的要求详细填写和编制响应文件，并按以上确定的时间、地点准时参加投标。</w:t>
      </w:r>
    </w:p>
    <w:p w14:paraId="434D0E30">
      <w:pPr>
        <w:spacing w:line="360" w:lineRule="auto"/>
        <w:contextualSpacing/>
        <w:rPr>
          <w:b/>
          <w:sz w:val="24"/>
        </w:rPr>
      </w:pPr>
      <w:bookmarkStart w:id="17" w:name="_Toc35393625"/>
      <w:bookmarkStart w:id="18" w:name="_Toc28359084"/>
      <w:bookmarkStart w:id="19" w:name="_Toc28359007"/>
      <w:bookmarkStart w:id="20" w:name="_Toc35393794"/>
      <w:r>
        <w:rPr>
          <w:rFonts w:hint="eastAsia"/>
          <w:b/>
          <w:sz w:val="24"/>
        </w:rPr>
        <w:t>五、公告期限</w:t>
      </w:r>
      <w:bookmarkEnd w:id="17"/>
      <w:bookmarkEnd w:id="18"/>
      <w:bookmarkEnd w:id="19"/>
      <w:bookmarkEnd w:id="20"/>
    </w:p>
    <w:p w14:paraId="31438C10">
      <w:pPr>
        <w:spacing w:line="360" w:lineRule="auto"/>
        <w:ind w:firstLine="480" w:firstLineChars="200"/>
        <w:rPr>
          <w:rFonts w:cs="宋体"/>
          <w:kern w:val="0"/>
          <w:sz w:val="24"/>
        </w:rPr>
      </w:pPr>
      <w:r>
        <w:rPr>
          <w:rFonts w:hint="eastAsia" w:cs="宋体"/>
          <w:kern w:val="0"/>
          <w:sz w:val="24"/>
        </w:rPr>
        <w:t>自本公告发布之日起5个工作日。</w:t>
      </w:r>
    </w:p>
    <w:p w14:paraId="3B390CCE">
      <w:pPr>
        <w:spacing w:line="360" w:lineRule="auto"/>
        <w:contextualSpacing/>
        <w:rPr>
          <w:rFonts w:hint="eastAsia" w:cs="宋体"/>
          <w:kern w:val="0"/>
          <w:sz w:val="24"/>
        </w:rPr>
      </w:pPr>
      <w:bookmarkStart w:id="21" w:name="_Toc35393626"/>
      <w:bookmarkStart w:id="22" w:name="_Toc35393795"/>
      <w:r>
        <w:rPr>
          <w:rFonts w:hint="eastAsia"/>
          <w:b/>
          <w:sz w:val="24"/>
        </w:rPr>
        <w:t>六、其他补充事宜</w:t>
      </w:r>
      <w:bookmarkEnd w:id="21"/>
      <w:bookmarkEnd w:id="22"/>
    </w:p>
    <w:p w14:paraId="03D1F393">
      <w:pPr>
        <w:spacing w:line="360" w:lineRule="auto"/>
        <w:ind w:firstLine="480" w:firstLineChars="200"/>
        <w:textAlignment w:val="baseline"/>
        <w:rPr>
          <w:rFonts w:cs="宋体"/>
          <w:bCs/>
          <w:sz w:val="24"/>
        </w:rPr>
      </w:pPr>
      <w:r>
        <w:rPr>
          <w:rFonts w:hint="eastAsia" w:cs="宋体"/>
          <w:bCs/>
          <w:sz w:val="24"/>
        </w:rPr>
        <w:t>1.本项目不收取投标保证金，采购文件中涉及投标保证金的事项，均按免收保证金执行。</w:t>
      </w:r>
    </w:p>
    <w:p w14:paraId="779AC9BE">
      <w:pPr>
        <w:spacing w:line="360" w:lineRule="auto"/>
        <w:ind w:firstLine="480" w:firstLineChars="200"/>
        <w:rPr>
          <w:rFonts w:hint="eastAsia" w:cs="宋体"/>
          <w:bCs/>
          <w:sz w:val="24"/>
        </w:rPr>
      </w:pPr>
      <w:r>
        <w:rPr>
          <w:rFonts w:hint="eastAsia" w:cs="宋体"/>
          <w:sz w:val="24"/>
        </w:rPr>
        <w:t>2.</w:t>
      </w:r>
      <w:r>
        <w:rPr>
          <w:rFonts w:hint="eastAsia" w:cs="宋体"/>
          <w:bCs/>
          <w:sz w:val="24"/>
        </w:rPr>
        <w:t>项目开标活动模式：现场开标模式。</w:t>
      </w:r>
    </w:p>
    <w:p w14:paraId="25BD858D">
      <w:pPr>
        <w:spacing w:line="360" w:lineRule="auto"/>
        <w:ind w:firstLine="480" w:firstLineChars="200"/>
        <w:textAlignment w:val="baseline"/>
        <w:rPr>
          <w:rFonts w:hint="eastAsia" w:cs="宋体"/>
          <w:kern w:val="0"/>
          <w:sz w:val="24"/>
        </w:rPr>
      </w:pPr>
      <w:r>
        <w:rPr>
          <w:rFonts w:hint="eastAsia" w:cs="宋体"/>
          <w:sz w:val="24"/>
          <w:szCs w:val="22"/>
        </w:rPr>
        <w:t>3.</w:t>
      </w:r>
      <w:r>
        <w:rPr>
          <w:rFonts w:cs="宋体"/>
          <w:kern w:val="0"/>
          <w:sz w:val="24"/>
        </w:rPr>
        <w:t>项目演示、样品、答辩等：</w:t>
      </w:r>
      <w:r>
        <w:rPr>
          <w:rFonts w:hint="eastAsia" w:cs="宋体"/>
          <w:kern w:val="0"/>
          <w:sz w:val="24"/>
        </w:rPr>
        <w:t>无</w:t>
      </w:r>
      <w:r>
        <w:rPr>
          <w:rFonts w:hint="eastAsia"/>
          <w:bCs/>
          <w:sz w:val="24"/>
        </w:rPr>
        <w:t>；</w:t>
      </w:r>
    </w:p>
    <w:p w14:paraId="6F17AC7D">
      <w:pPr>
        <w:spacing w:line="360" w:lineRule="auto"/>
        <w:ind w:firstLine="480" w:firstLineChars="200"/>
        <w:rPr>
          <w:rFonts w:hint="eastAsia" w:cs="宋体"/>
          <w:kern w:val="0"/>
          <w:sz w:val="24"/>
        </w:rPr>
      </w:pPr>
      <w:r>
        <w:rPr>
          <w:rFonts w:hint="eastAsia" w:cs="宋体"/>
          <w:kern w:val="0"/>
          <w:sz w:val="24"/>
        </w:rPr>
        <w:t>4.对项目需求部分（投标人其他资格要求、项目需求、评分标准）的询问、质疑请向招标人提出，由招标人负责答复；对项目招标文件其他部分的询问请向招标人或招标代理提出。</w:t>
      </w:r>
    </w:p>
    <w:p w14:paraId="74224543">
      <w:pPr>
        <w:spacing w:line="360" w:lineRule="auto"/>
        <w:ind w:firstLine="480" w:firstLineChars="200"/>
        <w:rPr>
          <w:rFonts w:hint="eastAsia" w:cs="宋体"/>
          <w:kern w:val="0"/>
          <w:sz w:val="24"/>
        </w:rPr>
      </w:pPr>
      <w:r>
        <w:rPr>
          <w:rFonts w:hint="eastAsia" w:cs="宋体"/>
          <w:kern w:val="0"/>
          <w:sz w:val="24"/>
        </w:rPr>
        <w:t>5.投标人应依照规定提交各类声明函、承诺函，不再同时提供原件备查或提供有关部门出具的相关证明文件。但中标人，应做好提交声明函、承诺函相应原件的核查准备；核查后发现虚假或违背承诺的，依照相关法律法规规定处理。</w:t>
      </w:r>
    </w:p>
    <w:p w14:paraId="3D5F6261">
      <w:pPr>
        <w:spacing w:line="360" w:lineRule="auto"/>
        <w:contextualSpacing/>
        <w:rPr>
          <w:b/>
          <w:sz w:val="24"/>
        </w:rPr>
      </w:pPr>
      <w:bookmarkStart w:id="23" w:name="_Toc35393627"/>
      <w:bookmarkStart w:id="24" w:name="_Toc28359085"/>
      <w:bookmarkStart w:id="25" w:name="_Toc28359008"/>
      <w:bookmarkStart w:id="26" w:name="_Toc35393796"/>
      <w:r>
        <w:rPr>
          <w:rFonts w:hint="eastAsia"/>
          <w:b/>
          <w:sz w:val="24"/>
        </w:rPr>
        <w:t>七、对本次招标提出询问，请按</w:t>
      </w:r>
      <w:r>
        <w:rPr>
          <w:b/>
          <w:sz w:val="24"/>
        </w:rPr>
        <w:t>以下方式</w:t>
      </w:r>
      <w:r>
        <w:rPr>
          <w:rFonts w:hint="eastAsia"/>
          <w:b/>
          <w:sz w:val="24"/>
        </w:rPr>
        <w:t>联系。</w:t>
      </w:r>
      <w:bookmarkEnd w:id="23"/>
      <w:bookmarkEnd w:id="24"/>
      <w:bookmarkEnd w:id="25"/>
      <w:bookmarkEnd w:id="26"/>
    </w:p>
    <w:p w14:paraId="21791D16">
      <w:pPr>
        <w:spacing w:line="360" w:lineRule="auto"/>
        <w:ind w:firstLine="480" w:firstLineChars="200"/>
        <w:jc w:val="left"/>
        <w:rPr>
          <w:sz w:val="24"/>
        </w:rPr>
      </w:pPr>
      <w:r>
        <w:rPr>
          <w:rFonts w:hint="eastAsia" w:cs="宋体"/>
          <w:sz w:val="24"/>
        </w:rPr>
        <w:t>1.招标人信息</w:t>
      </w:r>
    </w:p>
    <w:p w14:paraId="11E2588D">
      <w:pPr>
        <w:spacing w:line="360" w:lineRule="auto"/>
        <w:ind w:firstLine="480" w:firstLineChars="200"/>
        <w:jc w:val="left"/>
        <w:rPr>
          <w:rFonts w:hint="eastAsia" w:cs="宋体"/>
          <w:sz w:val="24"/>
        </w:rPr>
      </w:pPr>
      <w:bookmarkStart w:id="27" w:name="_Toc28359009"/>
      <w:bookmarkStart w:id="28" w:name="_Toc28359086"/>
      <w:r>
        <w:rPr>
          <w:rFonts w:hint="eastAsia" w:cs="宋体"/>
          <w:sz w:val="24"/>
        </w:rPr>
        <w:t>名 称：南通新通安投资开发有限公司</w:t>
      </w:r>
    </w:p>
    <w:p w14:paraId="22217915">
      <w:pPr>
        <w:spacing w:line="360" w:lineRule="auto"/>
        <w:ind w:firstLine="480" w:firstLineChars="200"/>
        <w:jc w:val="left"/>
        <w:rPr>
          <w:rFonts w:hint="eastAsia" w:cs="宋体"/>
          <w:sz w:val="24"/>
        </w:rPr>
      </w:pPr>
      <w:r>
        <w:rPr>
          <w:rFonts w:hint="eastAsia" w:cs="宋体"/>
          <w:sz w:val="24"/>
        </w:rPr>
        <w:t>地址：南通市如东县小洋口金蛤大道</w:t>
      </w:r>
    </w:p>
    <w:p w14:paraId="32562802">
      <w:pPr>
        <w:spacing w:line="360" w:lineRule="auto"/>
        <w:ind w:firstLine="480" w:firstLineChars="200"/>
        <w:jc w:val="left"/>
        <w:rPr>
          <w:rFonts w:hint="eastAsia" w:cs="宋体"/>
          <w:sz w:val="24"/>
        </w:rPr>
      </w:pPr>
      <w:r>
        <w:rPr>
          <w:rFonts w:hint="eastAsia" w:cs="宋体"/>
          <w:sz w:val="24"/>
        </w:rPr>
        <w:t>联系人：张先生</w:t>
      </w:r>
    </w:p>
    <w:p w14:paraId="346EA4B5">
      <w:pPr>
        <w:spacing w:line="360" w:lineRule="auto"/>
        <w:ind w:firstLine="480" w:firstLineChars="200"/>
        <w:jc w:val="left"/>
        <w:rPr>
          <w:rFonts w:hint="eastAsia" w:cs="宋体"/>
          <w:sz w:val="24"/>
        </w:rPr>
      </w:pPr>
      <w:r>
        <w:rPr>
          <w:rFonts w:hint="eastAsia" w:cs="宋体"/>
          <w:sz w:val="24"/>
        </w:rPr>
        <w:t>联系电话：18816262852</w:t>
      </w:r>
    </w:p>
    <w:p w14:paraId="69CAED80">
      <w:pPr>
        <w:spacing w:line="360" w:lineRule="auto"/>
        <w:ind w:firstLine="480" w:firstLineChars="200"/>
        <w:jc w:val="left"/>
        <w:rPr>
          <w:sz w:val="24"/>
        </w:rPr>
      </w:pPr>
      <w:r>
        <w:rPr>
          <w:rFonts w:hint="eastAsia" w:cs="宋体"/>
          <w:sz w:val="24"/>
        </w:rPr>
        <w:t>2.招标代理机构信息</w:t>
      </w:r>
      <w:bookmarkEnd w:id="27"/>
      <w:bookmarkEnd w:id="28"/>
    </w:p>
    <w:p w14:paraId="545F1B9A">
      <w:pPr>
        <w:spacing w:line="360" w:lineRule="auto"/>
        <w:ind w:firstLine="480" w:firstLineChars="200"/>
        <w:rPr>
          <w:rFonts w:hint="eastAsia"/>
          <w:sz w:val="24"/>
        </w:rPr>
      </w:pPr>
      <w:r>
        <w:rPr>
          <w:rFonts w:hint="eastAsia"/>
          <w:sz w:val="24"/>
        </w:rPr>
        <w:t>名 称：</w:t>
      </w:r>
      <w:r>
        <w:rPr>
          <w:rFonts w:hint="eastAsia"/>
          <w:iCs/>
          <w:sz w:val="24"/>
        </w:rPr>
        <w:t>宏信天德工程顾问有限公司</w:t>
      </w:r>
    </w:p>
    <w:p w14:paraId="56DA3155">
      <w:pPr>
        <w:spacing w:line="360" w:lineRule="auto"/>
        <w:ind w:firstLine="480" w:firstLineChars="200"/>
        <w:rPr>
          <w:i/>
          <w:sz w:val="24"/>
        </w:rPr>
      </w:pPr>
      <w:r>
        <w:rPr>
          <w:rFonts w:hint="eastAsia"/>
          <w:sz w:val="24"/>
        </w:rPr>
        <w:t>地　址：</w:t>
      </w:r>
      <w:r>
        <w:rPr>
          <w:rFonts w:hint="eastAsia" w:cs="宋体"/>
          <w:sz w:val="24"/>
        </w:rPr>
        <w:t>南通市崇川区北大街108号金域商业中心1幢8楼北区</w:t>
      </w:r>
      <w:r>
        <w:rPr>
          <w:rFonts w:hint="eastAsia"/>
          <w:iCs/>
          <w:sz w:val="24"/>
        </w:rPr>
        <w:t xml:space="preserve"> </w:t>
      </w:r>
      <w:r>
        <w:rPr>
          <w:i/>
          <w:sz w:val="24"/>
        </w:rPr>
        <w:t xml:space="preserve"> </w:t>
      </w:r>
    </w:p>
    <w:p w14:paraId="31A6CB3F">
      <w:pPr>
        <w:spacing w:line="360" w:lineRule="auto"/>
        <w:ind w:firstLine="480" w:firstLineChars="200"/>
        <w:rPr>
          <w:rFonts w:hint="eastAsia"/>
          <w:i/>
          <w:sz w:val="24"/>
        </w:rPr>
      </w:pPr>
      <w:bookmarkStart w:id="29" w:name="_Toc28359010"/>
      <w:bookmarkStart w:id="30" w:name="_Toc28359087"/>
      <w:r>
        <w:rPr>
          <w:rFonts w:hint="eastAsia"/>
          <w:sz w:val="24"/>
        </w:rPr>
        <w:t>联系人：董安国</w:t>
      </w:r>
      <w:r>
        <w:rPr>
          <w:rFonts w:hint="eastAsia" w:cs="宋体"/>
          <w:bCs/>
          <w:sz w:val="24"/>
        </w:rPr>
        <w:t xml:space="preserve"> </w:t>
      </w:r>
    </w:p>
    <w:p w14:paraId="43AF1B06">
      <w:pPr>
        <w:spacing w:line="360" w:lineRule="auto"/>
        <w:ind w:firstLine="480" w:firstLineChars="200"/>
        <w:rPr>
          <w:rFonts w:hint="eastAsia"/>
          <w:sz w:val="24"/>
        </w:rPr>
      </w:pPr>
      <w:r>
        <w:rPr>
          <w:rFonts w:hint="eastAsia"/>
          <w:sz w:val="24"/>
        </w:rPr>
        <w:t xml:space="preserve">联系电话：18912299056 </w:t>
      </w:r>
    </w:p>
    <w:p w14:paraId="7CA2AF6D">
      <w:pPr>
        <w:pStyle w:val="38"/>
        <w:spacing w:line="360" w:lineRule="auto"/>
        <w:ind w:firstLine="480" w:firstLineChars="200"/>
      </w:pPr>
      <w:r>
        <w:rPr>
          <w:rFonts w:hint="eastAsia"/>
        </w:rPr>
        <w:t>邮箱：812298892@qq.com</w:t>
      </w:r>
    </w:p>
    <w:bookmarkEnd w:id="29"/>
    <w:bookmarkEnd w:id="30"/>
    <w:p w14:paraId="7E377D5C">
      <w:pPr>
        <w:pStyle w:val="17"/>
        <w:spacing w:line="360" w:lineRule="auto"/>
        <w:rPr>
          <w:rFonts w:hint="eastAsia" w:ascii="Times New Roman" w:eastAsia="宋体"/>
          <w:szCs w:val="24"/>
        </w:rPr>
      </w:pPr>
    </w:p>
    <w:p w14:paraId="483E2AE8">
      <w:pPr>
        <w:spacing w:line="360" w:lineRule="auto"/>
        <w:jc w:val="center"/>
        <w:outlineLvl w:val="0"/>
        <w:rPr>
          <w:rFonts w:hint="eastAsia"/>
          <w:b/>
          <w:sz w:val="36"/>
          <w:szCs w:val="36"/>
        </w:rPr>
      </w:pPr>
      <w:r>
        <w:rPr>
          <w:b/>
          <w:sz w:val="36"/>
          <w:szCs w:val="36"/>
        </w:rPr>
        <w:br w:type="page"/>
      </w:r>
      <w:r>
        <w:rPr>
          <w:rFonts w:hint="eastAsia"/>
          <w:b/>
          <w:sz w:val="36"/>
          <w:szCs w:val="36"/>
        </w:rPr>
        <w:t>第二部分 投标须知</w:t>
      </w:r>
    </w:p>
    <w:p w14:paraId="21374325">
      <w:pPr>
        <w:spacing w:line="360" w:lineRule="auto"/>
        <w:jc w:val="center"/>
        <w:rPr>
          <w:b/>
          <w:sz w:val="24"/>
        </w:rPr>
      </w:pPr>
      <w:bookmarkStart w:id="31" w:name="_Toc29821365"/>
      <w:bookmarkStart w:id="32" w:name="_Toc535667659"/>
      <w:bookmarkStart w:id="33" w:name="_Toc513029203"/>
      <w:bookmarkStart w:id="34" w:name="_Toc16938519"/>
      <w:bookmarkStart w:id="35" w:name="_Toc20823275"/>
      <w:bookmarkStart w:id="36" w:name="_Toc120614214"/>
      <w:r>
        <w:rPr>
          <w:rFonts w:hint="eastAsia"/>
          <w:b/>
          <w:sz w:val="24"/>
        </w:rPr>
        <w:t>一、总  则</w:t>
      </w:r>
      <w:bookmarkEnd w:id="31"/>
      <w:bookmarkEnd w:id="32"/>
      <w:bookmarkEnd w:id="33"/>
      <w:bookmarkEnd w:id="34"/>
      <w:bookmarkEnd w:id="35"/>
      <w:bookmarkEnd w:id="36"/>
    </w:p>
    <w:p w14:paraId="7D475FDD">
      <w:pPr>
        <w:spacing w:line="360" w:lineRule="auto"/>
        <w:ind w:firstLine="482" w:firstLineChars="200"/>
        <w:rPr>
          <w:b/>
          <w:sz w:val="24"/>
        </w:rPr>
      </w:pPr>
      <w:bookmarkStart w:id="37" w:name="_Hlt16619475"/>
      <w:bookmarkEnd w:id="37"/>
      <w:bookmarkStart w:id="38" w:name="_Toc458694821"/>
      <w:bookmarkStart w:id="39" w:name="_Toc20823276"/>
      <w:bookmarkStart w:id="40" w:name="_Toc16938520"/>
      <w:bookmarkStart w:id="41" w:name="_Toc513029204"/>
      <w:r>
        <w:rPr>
          <w:rFonts w:hint="eastAsia"/>
          <w:b/>
          <w:sz w:val="24"/>
        </w:rPr>
        <w:t>1.</w:t>
      </w:r>
      <w:bookmarkEnd w:id="38"/>
      <w:r>
        <w:rPr>
          <w:rFonts w:hint="eastAsia"/>
          <w:b/>
          <w:sz w:val="24"/>
        </w:rPr>
        <w:t>招标方式</w:t>
      </w:r>
      <w:bookmarkEnd w:id="39"/>
      <w:bookmarkEnd w:id="40"/>
      <w:bookmarkEnd w:id="41"/>
    </w:p>
    <w:p w14:paraId="6B5174A8">
      <w:pPr>
        <w:spacing w:line="360" w:lineRule="auto"/>
        <w:ind w:firstLine="480" w:firstLineChars="200"/>
        <w:rPr>
          <w:sz w:val="24"/>
        </w:rPr>
      </w:pPr>
      <w:r>
        <w:rPr>
          <w:rFonts w:hint="eastAsia"/>
          <w:sz w:val="24"/>
        </w:rPr>
        <w:t>1.1 本次招标采取公开招标方式，本招标文件仅适用于招标公告中所述项目。</w:t>
      </w:r>
    </w:p>
    <w:p w14:paraId="0770AFB2">
      <w:pPr>
        <w:spacing w:line="360" w:lineRule="auto"/>
        <w:ind w:firstLine="482" w:firstLineChars="200"/>
        <w:rPr>
          <w:b/>
          <w:sz w:val="24"/>
        </w:rPr>
      </w:pPr>
      <w:bookmarkStart w:id="42" w:name="_Toc16938521"/>
      <w:bookmarkStart w:id="43" w:name="_Toc513029205"/>
      <w:bookmarkStart w:id="44" w:name="_Toc20823277"/>
      <w:r>
        <w:rPr>
          <w:rFonts w:hint="eastAsia"/>
          <w:b/>
          <w:sz w:val="24"/>
        </w:rPr>
        <w:t>2.合格的投标人</w:t>
      </w:r>
      <w:bookmarkEnd w:id="42"/>
      <w:bookmarkEnd w:id="43"/>
      <w:bookmarkEnd w:id="44"/>
    </w:p>
    <w:p w14:paraId="09C8FCCA">
      <w:pPr>
        <w:spacing w:line="360" w:lineRule="auto"/>
        <w:ind w:firstLine="480" w:firstLineChars="200"/>
        <w:rPr>
          <w:sz w:val="24"/>
        </w:rPr>
      </w:pPr>
      <w:r>
        <w:rPr>
          <w:rFonts w:hint="eastAsia"/>
          <w:sz w:val="24"/>
        </w:rPr>
        <w:t>2.1满足招标公告中供应商的资格要求的规定。</w:t>
      </w:r>
    </w:p>
    <w:p w14:paraId="50BE317E">
      <w:pPr>
        <w:spacing w:line="360" w:lineRule="auto"/>
        <w:ind w:firstLine="480" w:firstLineChars="200"/>
        <w:rPr>
          <w:sz w:val="24"/>
        </w:rPr>
      </w:pPr>
      <w:r>
        <w:rPr>
          <w:rFonts w:hint="eastAsia"/>
          <w:sz w:val="24"/>
        </w:rPr>
        <w:t>2.2 满足本文件实质性条款的规定。</w:t>
      </w:r>
    </w:p>
    <w:p w14:paraId="2F012EC5">
      <w:pPr>
        <w:spacing w:line="360" w:lineRule="auto"/>
        <w:ind w:firstLine="482" w:firstLineChars="200"/>
        <w:rPr>
          <w:b/>
          <w:sz w:val="24"/>
        </w:rPr>
      </w:pPr>
      <w:bookmarkStart w:id="45" w:name="_Toc16938522"/>
      <w:bookmarkStart w:id="46" w:name="_Toc513029206"/>
      <w:bookmarkStart w:id="47" w:name="_Toc20823278"/>
      <w:r>
        <w:rPr>
          <w:rFonts w:hint="eastAsia"/>
          <w:b/>
          <w:sz w:val="24"/>
        </w:rPr>
        <w:t>3.适用法律</w:t>
      </w:r>
      <w:bookmarkEnd w:id="45"/>
      <w:bookmarkEnd w:id="46"/>
      <w:bookmarkEnd w:id="47"/>
    </w:p>
    <w:p w14:paraId="32B1BB25">
      <w:pPr>
        <w:spacing w:line="360" w:lineRule="auto"/>
        <w:ind w:firstLine="480" w:firstLineChars="200"/>
        <w:rPr>
          <w:sz w:val="24"/>
        </w:rPr>
      </w:pPr>
      <w:r>
        <w:rPr>
          <w:rFonts w:hint="eastAsia"/>
          <w:sz w:val="24"/>
        </w:rPr>
        <w:t>3.1 本次招标及由此产生的合同受中华人民共和国有关的法律法规制约和保护</w:t>
      </w:r>
      <w:r>
        <w:rPr>
          <w:sz w:val="24"/>
        </w:rPr>
        <w:t>。</w:t>
      </w:r>
    </w:p>
    <w:p w14:paraId="7B3EFECA">
      <w:pPr>
        <w:spacing w:line="360" w:lineRule="auto"/>
        <w:ind w:firstLine="482" w:firstLineChars="200"/>
        <w:rPr>
          <w:b/>
          <w:sz w:val="24"/>
        </w:rPr>
      </w:pPr>
      <w:bookmarkStart w:id="48" w:name="_Toc513029207"/>
      <w:bookmarkStart w:id="49" w:name="_Toc16938523"/>
      <w:bookmarkStart w:id="50" w:name="_Toc462564067"/>
      <w:bookmarkStart w:id="51" w:name="_Toc20823279"/>
      <w:r>
        <w:rPr>
          <w:rFonts w:hint="eastAsia"/>
          <w:b/>
          <w:sz w:val="24"/>
        </w:rPr>
        <w:t>4.投标费用</w:t>
      </w:r>
      <w:bookmarkEnd w:id="48"/>
      <w:bookmarkEnd w:id="49"/>
      <w:bookmarkEnd w:id="50"/>
      <w:bookmarkEnd w:id="51"/>
    </w:p>
    <w:p w14:paraId="4872A2FE">
      <w:pPr>
        <w:spacing w:line="360" w:lineRule="auto"/>
        <w:ind w:firstLine="480" w:firstLineChars="200"/>
        <w:rPr>
          <w:rFonts w:hint="eastAsia"/>
          <w:sz w:val="24"/>
        </w:rPr>
      </w:pPr>
      <w:r>
        <w:rPr>
          <w:rFonts w:hint="eastAsia"/>
          <w:sz w:val="24"/>
        </w:rPr>
        <w:t xml:space="preserve">4.1 </w:t>
      </w:r>
      <w:r>
        <w:rPr>
          <w:rFonts w:hint="eastAsia"/>
          <w:bCs/>
          <w:sz w:val="24"/>
        </w:rPr>
        <w:t>本项目招标代理服务费由中标人支付，招标代理服务费应包含（分摊）在响应报价中，但不单独列出。（中标人在领取中标通知书前向招标代理人支付，每标段采购服务费的收费标准</w:t>
      </w:r>
      <w:r>
        <w:rPr>
          <w:rFonts w:hint="eastAsia" w:cs="宋体"/>
          <w:sz w:val="24"/>
        </w:rPr>
        <w:t>参照发改价格［2011］534号文件</w:t>
      </w:r>
      <w:r>
        <w:rPr>
          <w:rFonts w:hint="eastAsia"/>
          <w:bCs/>
          <w:sz w:val="24"/>
        </w:rPr>
        <w:t>所规定的货物类招标的收费标准的50%计算），不满2000元按2000元收取</w:t>
      </w:r>
      <w:r>
        <w:rPr>
          <w:rFonts w:hint="eastAsia" w:cs="仿宋"/>
          <w:sz w:val="24"/>
        </w:rPr>
        <w:t>。</w:t>
      </w:r>
    </w:p>
    <w:p w14:paraId="224E00C5">
      <w:pPr>
        <w:spacing w:line="360" w:lineRule="auto"/>
        <w:ind w:firstLine="480" w:firstLineChars="200"/>
        <w:rPr>
          <w:rFonts w:hint="eastAsia"/>
          <w:b/>
          <w:sz w:val="24"/>
        </w:rPr>
      </w:pPr>
      <w:r>
        <w:rPr>
          <w:rFonts w:hint="eastAsia"/>
          <w:sz w:val="24"/>
        </w:rPr>
        <w:t xml:space="preserve">4.2 </w:t>
      </w:r>
      <w:r>
        <w:rPr>
          <w:sz w:val="24"/>
        </w:rPr>
        <w:t>投标人应承担其编制</w:t>
      </w:r>
      <w:r>
        <w:rPr>
          <w:rFonts w:hint="eastAsia"/>
          <w:sz w:val="24"/>
        </w:rPr>
        <w:t>投标</w:t>
      </w:r>
      <w:r>
        <w:rPr>
          <w:sz w:val="24"/>
        </w:rPr>
        <w:t>文件以及递交</w:t>
      </w:r>
      <w:r>
        <w:rPr>
          <w:rFonts w:hint="eastAsia"/>
          <w:sz w:val="24"/>
        </w:rPr>
        <w:t>投标</w:t>
      </w:r>
      <w:r>
        <w:rPr>
          <w:sz w:val="24"/>
        </w:rPr>
        <w:t>文件所涉及的一切费用</w:t>
      </w:r>
      <w:r>
        <w:rPr>
          <w:rFonts w:hint="eastAsia"/>
          <w:sz w:val="24"/>
        </w:rPr>
        <w:t xml:space="preserve">。 </w:t>
      </w:r>
    </w:p>
    <w:p w14:paraId="5C0153B9">
      <w:pPr>
        <w:spacing w:line="360" w:lineRule="auto"/>
        <w:ind w:firstLine="482" w:firstLineChars="200"/>
        <w:rPr>
          <w:b/>
          <w:sz w:val="24"/>
        </w:rPr>
      </w:pPr>
      <w:r>
        <w:rPr>
          <w:rFonts w:hint="eastAsia"/>
          <w:b/>
          <w:sz w:val="24"/>
        </w:rPr>
        <w:t>5.招标文件的约束力</w:t>
      </w:r>
    </w:p>
    <w:p w14:paraId="5FDB34EC">
      <w:pPr>
        <w:spacing w:line="360" w:lineRule="auto"/>
        <w:ind w:firstLine="480" w:firstLineChars="200"/>
        <w:rPr>
          <w:sz w:val="24"/>
        </w:rPr>
      </w:pPr>
      <w:r>
        <w:rPr>
          <w:rFonts w:hint="eastAsia"/>
          <w:sz w:val="24"/>
        </w:rPr>
        <w:t>5.1 投标人一旦参加本项目采购活动，即被认为接受了本招标文件的规定和约束并且视为自招标公告期限届满之日起知道或应当知道自身权益是否受到了损害。</w:t>
      </w:r>
    </w:p>
    <w:p w14:paraId="74EEF2A8">
      <w:pPr>
        <w:spacing w:line="360" w:lineRule="auto"/>
        <w:ind w:firstLine="480" w:firstLineChars="200"/>
        <w:rPr>
          <w:sz w:val="24"/>
        </w:rPr>
      </w:pPr>
      <w:r>
        <w:rPr>
          <w:rFonts w:hint="eastAsia"/>
          <w:bCs/>
          <w:sz w:val="24"/>
        </w:rPr>
        <w:t>5.2</w:t>
      </w:r>
      <w:r>
        <w:rPr>
          <w:rFonts w:hint="eastAsia"/>
          <w:sz w:val="24"/>
        </w:rPr>
        <w:t>本招标文件由代理机构负责解释。</w:t>
      </w:r>
    </w:p>
    <w:p w14:paraId="6AD085F1">
      <w:pPr>
        <w:spacing w:line="360" w:lineRule="auto"/>
        <w:jc w:val="center"/>
        <w:rPr>
          <w:b/>
          <w:sz w:val="24"/>
        </w:rPr>
      </w:pPr>
      <w:bookmarkStart w:id="52" w:name="_Toc16938525"/>
      <w:bookmarkStart w:id="53" w:name="_Toc20823281"/>
      <w:bookmarkStart w:id="54" w:name="_Toc29821366"/>
      <w:bookmarkStart w:id="55" w:name="_Toc513029209"/>
      <w:bookmarkStart w:id="56" w:name="_Toc535667660"/>
      <w:bookmarkStart w:id="57" w:name="_Toc120614215"/>
      <w:r>
        <w:rPr>
          <w:rFonts w:hint="eastAsia"/>
          <w:b/>
          <w:sz w:val="24"/>
        </w:rPr>
        <w:t>二、招标文件</w:t>
      </w:r>
      <w:bookmarkEnd w:id="52"/>
      <w:bookmarkEnd w:id="53"/>
      <w:bookmarkEnd w:id="54"/>
      <w:bookmarkEnd w:id="55"/>
      <w:bookmarkEnd w:id="56"/>
      <w:bookmarkEnd w:id="57"/>
    </w:p>
    <w:p w14:paraId="192FE3F9">
      <w:pPr>
        <w:spacing w:line="360" w:lineRule="auto"/>
        <w:ind w:firstLine="482" w:firstLineChars="200"/>
        <w:rPr>
          <w:b/>
          <w:sz w:val="24"/>
        </w:rPr>
      </w:pPr>
      <w:bookmarkStart w:id="58" w:name="_Toc20823282"/>
      <w:bookmarkStart w:id="59" w:name="_Toc513029210"/>
      <w:bookmarkStart w:id="60" w:name="_Toc16938526"/>
      <w:r>
        <w:rPr>
          <w:rFonts w:hint="eastAsia"/>
          <w:b/>
          <w:sz w:val="24"/>
        </w:rPr>
        <w:t>6.招标文件构成</w:t>
      </w:r>
      <w:bookmarkEnd w:id="58"/>
      <w:bookmarkEnd w:id="59"/>
      <w:bookmarkEnd w:id="60"/>
    </w:p>
    <w:p w14:paraId="09297F5B">
      <w:pPr>
        <w:spacing w:line="360" w:lineRule="auto"/>
        <w:ind w:firstLine="480" w:firstLineChars="200"/>
        <w:rPr>
          <w:sz w:val="24"/>
        </w:rPr>
      </w:pPr>
      <w:r>
        <w:rPr>
          <w:rFonts w:hint="eastAsia"/>
          <w:bCs/>
          <w:sz w:val="24"/>
        </w:rPr>
        <w:t>6.1</w:t>
      </w:r>
      <w:r>
        <w:rPr>
          <w:rFonts w:hint="eastAsia"/>
          <w:sz w:val="24"/>
        </w:rPr>
        <w:t xml:space="preserve"> 招标文件由以下部分组成：</w:t>
      </w:r>
    </w:p>
    <w:p w14:paraId="61F9EE94">
      <w:pPr>
        <w:spacing w:line="360" w:lineRule="auto"/>
        <w:ind w:firstLine="480" w:firstLineChars="200"/>
        <w:rPr>
          <w:sz w:val="24"/>
        </w:rPr>
      </w:pPr>
      <w:r>
        <w:rPr>
          <w:rFonts w:hint="eastAsia"/>
          <w:sz w:val="24"/>
        </w:rPr>
        <w:t>（1）招标公告</w:t>
      </w:r>
    </w:p>
    <w:p w14:paraId="10D6AF66">
      <w:pPr>
        <w:spacing w:line="360" w:lineRule="auto"/>
        <w:ind w:firstLine="480" w:firstLineChars="200"/>
        <w:rPr>
          <w:sz w:val="24"/>
        </w:rPr>
      </w:pPr>
      <w:r>
        <w:rPr>
          <w:rFonts w:hint="eastAsia"/>
          <w:sz w:val="24"/>
        </w:rPr>
        <w:t>（2）投标人须知</w:t>
      </w:r>
    </w:p>
    <w:p w14:paraId="5BF60DEC">
      <w:pPr>
        <w:spacing w:line="360" w:lineRule="auto"/>
        <w:ind w:firstLine="480" w:firstLineChars="200"/>
        <w:rPr>
          <w:sz w:val="24"/>
        </w:rPr>
      </w:pPr>
      <w:r>
        <w:rPr>
          <w:rFonts w:hint="eastAsia"/>
          <w:sz w:val="24"/>
        </w:rPr>
        <w:t>（3）项目需求</w:t>
      </w:r>
    </w:p>
    <w:p w14:paraId="21C5778A">
      <w:pPr>
        <w:spacing w:line="360" w:lineRule="auto"/>
        <w:ind w:firstLine="480" w:firstLineChars="200"/>
        <w:rPr>
          <w:sz w:val="24"/>
        </w:rPr>
      </w:pPr>
      <w:r>
        <w:rPr>
          <w:rFonts w:hint="eastAsia"/>
          <w:sz w:val="24"/>
        </w:rPr>
        <w:t>（4）开标和评标</w:t>
      </w:r>
    </w:p>
    <w:p w14:paraId="4D960889">
      <w:pPr>
        <w:spacing w:line="360" w:lineRule="auto"/>
        <w:ind w:firstLine="480" w:firstLineChars="200"/>
        <w:rPr>
          <w:sz w:val="24"/>
        </w:rPr>
      </w:pPr>
      <w:r>
        <w:rPr>
          <w:rFonts w:hint="eastAsia"/>
          <w:sz w:val="24"/>
        </w:rPr>
        <w:t>（5）采购合同</w:t>
      </w:r>
    </w:p>
    <w:p w14:paraId="69FA9D6B">
      <w:pPr>
        <w:spacing w:line="360" w:lineRule="auto"/>
        <w:ind w:firstLine="480" w:firstLineChars="200"/>
        <w:rPr>
          <w:sz w:val="24"/>
        </w:rPr>
      </w:pPr>
      <w:r>
        <w:rPr>
          <w:rFonts w:hint="eastAsia"/>
          <w:sz w:val="24"/>
        </w:rPr>
        <w:t>（6）合同签订与验收付款</w:t>
      </w:r>
    </w:p>
    <w:p w14:paraId="41FA3A72">
      <w:pPr>
        <w:spacing w:line="360" w:lineRule="auto"/>
        <w:ind w:firstLine="480" w:firstLineChars="200"/>
        <w:rPr>
          <w:rFonts w:hint="eastAsia"/>
          <w:sz w:val="24"/>
        </w:rPr>
      </w:pPr>
      <w:r>
        <w:rPr>
          <w:rFonts w:hint="eastAsia"/>
          <w:sz w:val="24"/>
        </w:rPr>
        <w:t>（7）质疑提出和处理</w:t>
      </w:r>
    </w:p>
    <w:p w14:paraId="7D5C0340">
      <w:pPr>
        <w:spacing w:line="360" w:lineRule="auto"/>
        <w:ind w:firstLine="480" w:firstLineChars="200"/>
        <w:rPr>
          <w:sz w:val="24"/>
        </w:rPr>
      </w:pPr>
      <w:r>
        <w:rPr>
          <w:rFonts w:hint="eastAsia"/>
          <w:sz w:val="24"/>
        </w:rPr>
        <w:t>（8）投标文件组成</w:t>
      </w:r>
    </w:p>
    <w:p w14:paraId="1C92C66E">
      <w:pPr>
        <w:spacing w:line="360" w:lineRule="auto"/>
        <w:ind w:firstLine="480" w:firstLineChars="200"/>
        <w:rPr>
          <w:sz w:val="24"/>
        </w:rPr>
      </w:pPr>
      <w:r>
        <w:rPr>
          <w:rFonts w:hint="eastAsia"/>
          <w:sz w:val="24"/>
        </w:rPr>
        <w:t>请仔细检查招标文件是否齐全，如有缺漏请立即与代理机构联系解决。</w:t>
      </w:r>
    </w:p>
    <w:p w14:paraId="508FC574">
      <w:pPr>
        <w:spacing w:line="360" w:lineRule="auto"/>
        <w:ind w:firstLine="480" w:firstLineChars="200"/>
        <w:rPr>
          <w:sz w:val="24"/>
        </w:rPr>
      </w:pPr>
      <w:r>
        <w:rPr>
          <w:rFonts w:hint="eastAsia"/>
          <w:sz w:val="24"/>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2B5E4AD">
      <w:pPr>
        <w:spacing w:line="360" w:lineRule="auto"/>
        <w:ind w:firstLine="482" w:firstLineChars="200"/>
        <w:rPr>
          <w:b/>
          <w:sz w:val="24"/>
        </w:rPr>
      </w:pPr>
      <w:bookmarkStart w:id="61" w:name="_Toc20823283"/>
      <w:bookmarkStart w:id="62" w:name="_Toc513029211"/>
      <w:bookmarkStart w:id="63" w:name="_Toc462564070"/>
      <w:bookmarkStart w:id="64" w:name="_Toc16938527"/>
      <w:r>
        <w:rPr>
          <w:rFonts w:hint="eastAsia"/>
          <w:b/>
          <w:sz w:val="24"/>
        </w:rPr>
        <w:t>7.招标文件的</w:t>
      </w:r>
      <w:bookmarkEnd w:id="61"/>
      <w:bookmarkEnd w:id="62"/>
      <w:bookmarkEnd w:id="63"/>
      <w:bookmarkEnd w:id="64"/>
      <w:r>
        <w:rPr>
          <w:rFonts w:hint="eastAsia"/>
          <w:b/>
          <w:sz w:val="24"/>
        </w:rPr>
        <w:t>询问</w:t>
      </w:r>
    </w:p>
    <w:p w14:paraId="435A68C5">
      <w:pPr>
        <w:spacing w:line="360" w:lineRule="auto"/>
        <w:ind w:firstLine="480" w:firstLineChars="200"/>
        <w:rPr>
          <w:sz w:val="24"/>
        </w:rPr>
      </w:pPr>
      <w:r>
        <w:rPr>
          <w:rFonts w:hint="eastAsia"/>
          <w:sz w:val="24"/>
        </w:rPr>
        <w:t>7.1任何要求对招标文件进行询问的供应商，均应在提交首次投标文件截止时间</w:t>
      </w:r>
      <w:r>
        <w:rPr>
          <w:rFonts w:hint="eastAsia"/>
          <w:b/>
          <w:sz w:val="24"/>
        </w:rPr>
        <w:t>3日前以电子文件形式（不具单位名称）发送至</w:t>
      </w:r>
      <w:r>
        <w:rPr>
          <w:rFonts w:hint="eastAsia" w:cs="宋体"/>
          <w:kern w:val="0"/>
          <w:sz w:val="24"/>
        </w:rPr>
        <w:t>812298892@qq.com</w:t>
      </w:r>
      <w:r>
        <w:rPr>
          <w:rFonts w:hint="eastAsia"/>
          <w:b/>
          <w:sz w:val="24"/>
        </w:rPr>
        <w:t>邮箱</w:t>
      </w:r>
      <w:r>
        <w:rPr>
          <w:rFonts w:hint="eastAsia"/>
          <w:sz w:val="24"/>
        </w:rPr>
        <w:t>，向代理机构或招标人提出。</w:t>
      </w:r>
    </w:p>
    <w:p w14:paraId="0A8657B2">
      <w:pPr>
        <w:spacing w:line="360" w:lineRule="auto"/>
        <w:ind w:firstLine="482" w:firstLineChars="200"/>
        <w:rPr>
          <w:b/>
          <w:sz w:val="24"/>
        </w:rPr>
      </w:pPr>
      <w:bookmarkStart w:id="65" w:name="_Toc20823284"/>
      <w:bookmarkStart w:id="66" w:name="_Toc16938528"/>
      <w:bookmarkStart w:id="67" w:name="_Toc462564071"/>
      <w:bookmarkStart w:id="68" w:name="_Toc513029212"/>
      <w:r>
        <w:rPr>
          <w:rFonts w:hint="eastAsia"/>
          <w:b/>
          <w:sz w:val="24"/>
        </w:rPr>
        <w:t>8.招标文件的修改</w:t>
      </w:r>
      <w:bookmarkEnd w:id="65"/>
      <w:bookmarkEnd w:id="66"/>
      <w:bookmarkEnd w:id="67"/>
      <w:bookmarkEnd w:id="68"/>
    </w:p>
    <w:p w14:paraId="15FE788F">
      <w:pPr>
        <w:spacing w:line="360" w:lineRule="auto"/>
        <w:ind w:firstLine="480" w:firstLineChars="200"/>
        <w:rPr>
          <w:b/>
          <w:sz w:val="24"/>
        </w:rPr>
      </w:pPr>
      <w:r>
        <w:rPr>
          <w:rFonts w:hint="eastAsia"/>
          <w:sz w:val="24"/>
        </w:rPr>
        <w:t xml:space="preserve">8.1 </w:t>
      </w:r>
      <w:r>
        <w:rPr>
          <w:rFonts w:hint="eastAsia"/>
          <w:b/>
          <w:sz w:val="24"/>
        </w:rPr>
        <w:t>在投标截止时间3天前，代理机构可以对招标文件进行修改。</w:t>
      </w:r>
    </w:p>
    <w:p w14:paraId="3683557E">
      <w:pPr>
        <w:spacing w:line="360" w:lineRule="auto"/>
        <w:ind w:firstLine="480" w:firstLineChars="200"/>
        <w:rPr>
          <w:sz w:val="24"/>
        </w:rPr>
      </w:pPr>
      <w:r>
        <w:rPr>
          <w:rFonts w:hint="eastAsia"/>
          <w:sz w:val="24"/>
        </w:rPr>
        <w:t>8.2代理机构有权按照法定的要求推迟投标截止日期和开标日期。</w:t>
      </w:r>
    </w:p>
    <w:p w14:paraId="733F8C70">
      <w:pPr>
        <w:spacing w:line="360" w:lineRule="auto"/>
        <w:ind w:firstLine="480" w:firstLineChars="200"/>
        <w:rPr>
          <w:sz w:val="24"/>
        </w:rPr>
      </w:pPr>
      <w:r>
        <w:rPr>
          <w:rFonts w:hint="eastAsia"/>
          <w:sz w:val="24"/>
        </w:rPr>
        <w:t>8.3招标文件的修改将在 “</w:t>
      </w:r>
      <w:r>
        <w:rPr>
          <w:rFonts w:hint="eastAsia"/>
          <w:b/>
          <w:bCs/>
          <w:sz w:val="24"/>
        </w:rPr>
        <w:t>南通市公安局官网</w:t>
      </w:r>
      <w:r>
        <w:rPr>
          <w:rFonts w:hint="eastAsia"/>
          <w:sz w:val="24"/>
        </w:rPr>
        <w:t>”向所有投标单位公示。补充文件将作为招标文件的组成部分，并对投标人具有约束力。</w:t>
      </w:r>
    </w:p>
    <w:p w14:paraId="2A6C2D48">
      <w:pPr>
        <w:spacing w:line="360" w:lineRule="auto"/>
        <w:jc w:val="center"/>
        <w:rPr>
          <w:b/>
          <w:sz w:val="24"/>
        </w:rPr>
      </w:pPr>
      <w:bookmarkStart w:id="69" w:name="_Toc535667661"/>
      <w:bookmarkStart w:id="70" w:name="_Toc120614216"/>
      <w:bookmarkStart w:id="71" w:name="_Toc16938529"/>
      <w:bookmarkStart w:id="72" w:name="_Toc29821367"/>
      <w:bookmarkStart w:id="73" w:name="_Toc20823285"/>
      <w:bookmarkStart w:id="74" w:name="_Toc513029213"/>
      <w:bookmarkStart w:id="75" w:name="_Toc462564072"/>
      <w:r>
        <w:rPr>
          <w:rFonts w:hint="eastAsia"/>
          <w:b/>
          <w:sz w:val="24"/>
        </w:rPr>
        <w:t>三、投标文件的编制</w:t>
      </w:r>
      <w:bookmarkEnd w:id="69"/>
      <w:bookmarkEnd w:id="70"/>
      <w:bookmarkEnd w:id="71"/>
      <w:bookmarkEnd w:id="72"/>
      <w:bookmarkEnd w:id="73"/>
      <w:bookmarkEnd w:id="74"/>
      <w:bookmarkEnd w:id="75"/>
    </w:p>
    <w:p w14:paraId="71F1895A">
      <w:pPr>
        <w:spacing w:line="360" w:lineRule="auto"/>
        <w:ind w:firstLine="482" w:firstLineChars="200"/>
        <w:rPr>
          <w:b/>
          <w:sz w:val="24"/>
        </w:rPr>
      </w:pPr>
      <w:bookmarkStart w:id="76" w:name="_Toc16938530"/>
      <w:bookmarkStart w:id="77" w:name="_Toc462564073"/>
      <w:bookmarkStart w:id="78" w:name="_Toc513029214"/>
      <w:bookmarkStart w:id="79" w:name="_Toc20823286"/>
      <w:r>
        <w:rPr>
          <w:rFonts w:hint="eastAsia"/>
          <w:b/>
          <w:sz w:val="24"/>
        </w:rPr>
        <w:t>9.投标文件的语言及度量衡单位</w:t>
      </w:r>
      <w:bookmarkEnd w:id="76"/>
      <w:bookmarkEnd w:id="77"/>
      <w:bookmarkEnd w:id="78"/>
      <w:bookmarkEnd w:id="79"/>
    </w:p>
    <w:p w14:paraId="454BAC45">
      <w:pPr>
        <w:spacing w:line="360" w:lineRule="auto"/>
        <w:ind w:firstLine="480" w:firstLineChars="200"/>
        <w:rPr>
          <w:sz w:val="24"/>
        </w:rPr>
      </w:pPr>
      <w:r>
        <w:rPr>
          <w:rFonts w:hint="eastAsia"/>
          <w:sz w:val="24"/>
        </w:rPr>
        <w:t>9.1 投标人提交的投标文件以及投标人与代理机构就有关投标的所有来往通知、函件和文件均应使用</w:t>
      </w:r>
      <w:r>
        <w:rPr>
          <w:rFonts w:hint="eastAsia"/>
          <w:b/>
          <w:sz w:val="24"/>
        </w:rPr>
        <w:t>简体中文</w:t>
      </w:r>
      <w:r>
        <w:rPr>
          <w:rFonts w:hint="eastAsia"/>
          <w:sz w:val="24"/>
        </w:rPr>
        <w:t>。</w:t>
      </w:r>
    </w:p>
    <w:p w14:paraId="7EEE355B">
      <w:pPr>
        <w:spacing w:line="360" w:lineRule="auto"/>
        <w:ind w:firstLine="480" w:firstLineChars="200"/>
        <w:rPr>
          <w:sz w:val="24"/>
        </w:rPr>
      </w:pPr>
      <w:r>
        <w:rPr>
          <w:rFonts w:hint="eastAsia"/>
          <w:sz w:val="24"/>
        </w:rPr>
        <w:t>9.2 除技术性能另有规定外，投标文件所使用的度量衡单位，均须采用国家法定计量单位。</w:t>
      </w:r>
    </w:p>
    <w:p w14:paraId="765B618F">
      <w:pPr>
        <w:spacing w:line="360" w:lineRule="auto"/>
        <w:ind w:firstLine="482" w:firstLineChars="200"/>
        <w:rPr>
          <w:rFonts w:hint="eastAsia" w:ascii="宋体" w:hAnsi="宋体" w:cs="宋体"/>
          <w:b/>
          <w:bCs/>
          <w:sz w:val="24"/>
        </w:rPr>
      </w:pPr>
      <w:bookmarkStart w:id="80" w:name="_Toc49090507"/>
      <w:bookmarkStart w:id="81" w:name="_Toc14577354"/>
      <w:bookmarkStart w:id="82" w:name="_Toc513029216"/>
      <w:r>
        <w:rPr>
          <w:rFonts w:hint="eastAsia" w:ascii="宋体" w:hAnsi="宋体" w:cs="宋体"/>
          <w:b/>
          <w:bCs/>
          <w:sz w:val="24"/>
        </w:rPr>
        <w:t>四、投标文件的组成及装订、密封</w:t>
      </w:r>
    </w:p>
    <w:p w14:paraId="7BBBFF6A">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1.投标文件的组成（分为纸质投标文件、电子投标文件）</w:t>
      </w:r>
    </w:p>
    <w:p w14:paraId="5FB5D0A9">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kern w:val="0"/>
          <w:sz w:val="24"/>
        </w:rPr>
        <w:t>1.1</w:t>
      </w:r>
      <w:bookmarkStart w:id="83" w:name="_Hlt26670360"/>
      <w:bookmarkEnd w:id="83"/>
      <w:bookmarkStart w:id="84" w:name="_Hlt26954838"/>
      <w:bookmarkEnd w:id="84"/>
      <w:bookmarkStart w:id="85" w:name="_Hlt26668975"/>
      <w:bookmarkEnd w:id="85"/>
      <w:r>
        <w:rPr>
          <w:rFonts w:hint="eastAsia" w:ascii="宋体" w:hAnsi="宋体" w:cs="宋体"/>
          <w:b/>
          <w:bCs/>
          <w:kern w:val="0"/>
          <w:sz w:val="24"/>
        </w:rPr>
        <w:t>纸质</w:t>
      </w:r>
      <w:r>
        <w:rPr>
          <w:rFonts w:hint="eastAsia" w:ascii="宋体" w:hAnsi="宋体" w:cs="宋体"/>
          <w:b/>
          <w:bCs/>
          <w:sz w:val="24"/>
        </w:rPr>
        <w:t>投标文件应包括资格审查部分、技术标部分、商务标部分三部分；</w:t>
      </w:r>
    </w:p>
    <w:p w14:paraId="0411F983">
      <w:pPr>
        <w:spacing w:line="360" w:lineRule="auto"/>
        <w:ind w:firstLine="480" w:firstLineChars="200"/>
        <w:rPr>
          <w:rFonts w:hint="eastAsia" w:ascii="宋体" w:hAnsi="宋体" w:cs="宋体"/>
          <w:bCs/>
          <w:sz w:val="24"/>
        </w:rPr>
      </w:pPr>
      <w:r>
        <w:rPr>
          <w:rFonts w:hint="eastAsia" w:ascii="宋体" w:hAnsi="宋体" w:cs="宋体"/>
          <w:bCs/>
          <w:sz w:val="24"/>
        </w:rPr>
        <w:t>1.1.1 投标人应将按招标文件要求编写投标文件，并牢固装订成册。投标文件均需采用A4纸（图纸等除外），不允许使用活页夹、拉杆夹、文件夹、塑料方便式书脊（插入式或穿孔式）装订。投标文件不得行间插字、涂改、增删，如修改错漏处，须经投标文件签署人签字并加盖公章。</w:t>
      </w:r>
    </w:p>
    <w:p w14:paraId="20175419">
      <w:pPr>
        <w:spacing w:line="360" w:lineRule="auto"/>
        <w:ind w:firstLine="482" w:firstLineChars="200"/>
        <w:rPr>
          <w:rFonts w:hint="eastAsia"/>
        </w:rPr>
      </w:pPr>
      <w:r>
        <w:rPr>
          <w:rFonts w:hint="eastAsia" w:ascii="宋体" w:hAnsi="宋体" w:cs="宋体"/>
          <w:b/>
          <w:sz w:val="24"/>
          <w:u w:val="single"/>
        </w:rPr>
        <w:t>1.1.2投标文件的资格审查部分、技术标部分、商务标部分三部分装订成一本，装订成册。</w:t>
      </w:r>
    </w:p>
    <w:p w14:paraId="614271BA">
      <w:pPr>
        <w:spacing w:line="360" w:lineRule="auto"/>
        <w:ind w:firstLine="482" w:firstLineChars="200"/>
        <w:rPr>
          <w:rFonts w:hint="eastAsia" w:ascii="宋体" w:hAnsi="宋体" w:cs="宋体"/>
          <w:b/>
          <w:sz w:val="24"/>
        </w:rPr>
      </w:pPr>
      <w:r>
        <w:rPr>
          <w:rFonts w:hint="eastAsia" w:ascii="宋体" w:hAnsi="宋体" w:cs="宋体"/>
          <w:b/>
          <w:sz w:val="24"/>
        </w:rPr>
        <w:t>1.2</w:t>
      </w:r>
      <w:r>
        <w:rPr>
          <w:rFonts w:hint="eastAsia" w:ascii="宋体" w:hAnsi="宋体" w:cs="宋体"/>
          <w:b/>
          <w:bCs/>
          <w:sz w:val="24"/>
        </w:rPr>
        <w:t>投标文件的份数、签署</w:t>
      </w:r>
    </w:p>
    <w:p w14:paraId="2C60C7E4">
      <w:pPr>
        <w:spacing w:line="360" w:lineRule="auto"/>
        <w:ind w:firstLine="480" w:firstLineChars="200"/>
        <w:rPr>
          <w:rFonts w:hint="eastAsia" w:ascii="宋体" w:hAnsi="宋体" w:cs="宋体"/>
          <w:sz w:val="24"/>
        </w:rPr>
      </w:pPr>
      <w:r>
        <w:rPr>
          <w:rFonts w:hint="eastAsia" w:ascii="宋体" w:hAnsi="宋体" w:cs="宋体"/>
          <w:sz w:val="24"/>
        </w:rPr>
        <w:t>1.2.1投标供应商应按照所投标段分别准备</w:t>
      </w:r>
      <w:r>
        <w:rPr>
          <w:rFonts w:hint="eastAsia" w:ascii="宋体" w:hAnsi="宋体" w:cs="宋体"/>
          <w:sz w:val="24"/>
          <w:u w:val="single"/>
        </w:rPr>
        <w:t xml:space="preserve"> 叁 </w:t>
      </w:r>
      <w:r>
        <w:rPr>
          <w:rFonts w:hint="eastAsia" w:ascii="宋体" w:hAnsi="宋体" w:cs="宋体"/>
          <w:sz w:val="24"/>
        </w:rPr>
        <w:t>份完整的投标文件，其中正本</w:t>
      </w:r>
      <w:r>
        <w:rPr>
          <w:rFonts w:hint="eastAsia" w:ascii="宋体" w:hAnsi="宋体" w:cs="宋体"/>
          <w:sz w:val="24"/>
          <w:u w:val="single"/>
        </w:rPr>
        <w:t xml:space="preserve"> 壹 </w:t>
      </w:r>
      <w:r>
        <w:rPr>
          <w:rFonts w:hint="eastAsia" w:ascii="宋体" w:hAnsi="宋体" w:cs="宋体"/>
          <w:sz w:val="24"/>
        </w:rPr>
        <w:t>份，副本</w:t>
      </w:r>
      <w:r>
        <w:rPr>
          <w:rFonts w:hint="eastAsia" w:ascii="宋体" w:hAnsi="宋体" w:cs="宋体"/>
          <w:sz w:val="24"/>
          <w:u w:val="single"/>
        </w:rPr>
        <w:t xml:space="preserve"> 贰 </w:t>
      </w:r>
      <w:r>
        <w:rPr>
          <w:rFonts w:hint="eastAsia" w:ascii="宋体" w:hAnsi="宋体" w:cs="宋体"/>
          <w:sz w:val="24"/>
        </w:rPr>
        <w:t>份，并标明“正本”或“副本”字样，若有差异，概以“正本”为准。</w:t>
      </w:r>
    </w:p>
    <w:p w14:paraId="47E70968">
      <w:pPr>
        <w:spacing w:line="360" w:lineRule="auto"/>
        <w:ind w:firstLine="480" w:firstLineChars="200"/>
        <w:rPr>
          <w:rFonts w:hint="eastAsia" w:ascii="宋体" w:hAnsi="宋体" w:cs="宋体"/>
          <w:sz w:val="24"/>
        </w:rPr>
      </w:pPr>
      <w:r>
        <w:rPr>
          <w:rFonts w:hint="eastAsia" w:ascii="宋体" w:hAnsi="宋体" w:cs="宋体"/>
          <w:sz w:val="24"/>
        </w:rPr>
        <w:t>1.2.2每标段投标文件密封后，应在投标文件的密封包上明确标注投标项目名称、投标供应商全称及日期、标段名称，同时加盖投标供应商公章。</w:t>
      </w:r>
    </w:p>
    <w:p w14:paraId="07BDAFEC">
      <w:pPr>
        <w:spacing w:line="360" w:lineRule="auto"/>
        <w:ind w:firstLine="480" w:firstLineChars="200"/>
        <w:rPr>
          <w:rFonts w:hint="eastAsia" w:ascii="宋体" w:hAnsi="宋体" w:cs="宋体"/>
          <w:sz w:val="24"/>
        </w:rPr>
      </w:pPr>
      <w:r>
        <w:rPr>
          <w:rFonts w:hint="eastAsia" w:ascii="宋体" w:hAnsi="宋体" w:cs="宋体"/>
          <w:sz w:val="24"/>
        </w:rPr>
        <w:t>1.2.3投标供应商可将投标文件正副本统一密封或分别密封，并加盖骑缝章，如正本和副本分别密封的，应在封袋上标明正、副本字样。</w:t>
      </w:r>
    </w:p>
    <w:p w14:paraId="485766CF">
      <w:pPr>
        <w:spacing w:line="360" w:lineRule="auto"/>
        <w:ind w:firstLine="480" w:firstLineChars="200"/>
        <w:rPr>
          <w:rFonts w:hint="eastAsia" w:ascii="宋体" w:hAnsi="宋体" w:cs="宋体"/>
          <w:sz w:val="24"/>
        </w:rPr>
      </w:pPr>
      <w:r>
        <w:rPr>
          <w:rFonts w:hint="eastAsia" w:ascii="宋体" w:hAnsi="宋体" w:cs="宋体"/>
          <w:sz w:val="24"/>
        </w:rPr>
        <w:t>1.2.4投标文件正本须按招标文件要求由法定代表人或被授权人签字或盖章并加盖投标供应商印章。副本可复印，但须加盖投标供应商印章。</w:t>
      </w:r>
    </w:p>
    <w:p w14:paraId="42EB5117">
      <w:pPr>
        <w:spacing w:line="360" w:lineRule="auto"/>
        <w:ind w:firstLine="480" w:firstLineChars="200"/>
        <w:rPr>
          <w:rFonts w:hint="eastAsia" w:ascii="宋体" w:hAnsi="宋体" w:cs="宋体"/>
          <w:kern w:val="0"/>
          <w:sz w:val="24"/>
        </w:rPr>
      </w:pPr>
      <w:r>
        <w:rPr>
          <w:rFonts w:hint="eastAsia" w:ascii="宋体" w:hAnsi="宋体" w:cs="宋体"/>
          <w:sz w:val="24"/>
        </w:rPr>
        <w:t>1.2.5开标程序顺利进行后，所有投标文件都将作为档案保存，不论</w:t>
      </w:r>
      <w:r>
        <w:rPr>
          <w:rFonts w:hint="eastAsia" w:ascii="宋体" w:hAnsi="宋体" w:cs="宋体"/>
          <w:sz w:val="24"/>
          <w:szCs w:val="21"/>
        </w:rPr>
        <w:t>中标</w:t>
      </w:r>
      <w:r>
        <w:rPr>
          <w:rFonts w:hint="eastAsia" w:ascii="宋体" w:hAnsi="宋体" w:cs="宋体"/>
          <w:sz w:val="24"/>
        </w:rPr>
        <w:t>与否，代理机构均不退回（未拆封的除外）。</w:t>
      </w:r>
    </w:p>
    <w:p w14:paraId="1804C478">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1.2.6纸质投标文件须采用A4纸（图纸等除外），正、副本须打印并由法定代表人或授权人签字并加盖单位印章。文件内容中不得行间插字、涂改、增删，如修补错漏处，须由投标文件签署人签字并加盖公章。</w:t>
      </w:r>
    </w:p>
    <w:p w14:paraId="4D6E2031">
      <w:pPr>
        <w:adjustRightInd w:val="0"/>
        <w:snapToGrid w:val="0"/>
        <w:spacing w:line="360" w:lineRule="auto"/>
        <w:ind w:firstLine="482" w:firstLineChars="200"/>
        <w:rPr>
          <w:rFonts w:hint="eastAsia" w:ascii="宋体" w:hAnsi="宋体" w:cs="宋体"/>
          <w:b/>
          <w:bCs/>
          <w:kern w:val="0"/>
          <w:sz w:val="24"/>
        </w:rPr>
      </w:pPr>
      <w:r>
        <w:rPr>
          <w:rFonts w:hint="eastAsia" w:ascii="宋体" w:hAnsi="宋体" w:cs="宋体"/>
          <w:b/>
          <w:bCs/>
          <w:kern w:val="0"/>
          <w:sz w:val="24"/>
        </w:rPr>
        <w:t>注：凡是投标文件中涉及投标人资信认证、人员证书、业绩荣誉等复印件，和要求法定代表人或授权委托人签字，和以投标人名称落款并注明需要盖章的，均需相应盖章或签字。否则视为未按照招标文件要求盖章或签字。</w:t>
      </w:r>
    </w:p>
    <w:p w14:paraId="3C5CD4DD">
      <w:pPr>
        <w:adjustRightInd w:val="0"/>
        <w:snapToGrid w:val="0"/>
        <w:spacing w:line="360" w:lineRule="auto"/>
        <w:ind w:firstLine="482" w:firstLineChars="200"/>
        <w:rPr>
          <w:rFonts w:hint="eastAsia" w:ascii="宋体" w:hAnsi="宋体" w:cs="宋体"/>
          <w:b/>
          <w:bCs/>
          <w:kern w:val="0"/>
          <w:sz w:val="24"/>
        </w:rPr>
      </w:pPr>
      <w:r>
        <w:rPr>
          <w:rFonts w:hint="eastAsia" w:ascii="宋体" w:hAnsi="宋体" w:cs="宋体"/>
          <w:b/>
          <w:bCs/>
          <w:kern w:val="0"/>
          <w:sz w:val="24"/>
        </w:rPr>
        <w:t>1.3电子投标文件（一份，单独密封提交）</w:t>
      </w:r>
    </w:p>
    <w:p w14:paraId="49E9F5B4">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本项目要求每标段提供电子投标文件一份，电子投标文件的内容为纸质投标文件打印盖章（或电子签章）后的投标文件的扫描件，可以采取U盘方式提交，需单独密封提交。</w:t>
      </w:r>
    </w:p>
    <w:p w14:paraId="6D43C88B">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电子投标文件内容应与提交的纸质投标文件内容一致。否则，由此产生的后果投标人自负。</w:t>
      </w:r>
    </w:p>
    <w:p w14:paraId="603DE8DE">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1.4投标文件密封后应标明投标文件项目名称、项目编号、边缝处加盖单位骑缝章或骑缝签字等关键信息，</w:t>
      </w:r>
      <w:r>
        <w:rPr>
          <w:rFonts w:hint="eastAsia" w:ascii="宋体" w:hAnsi="宋体" w:cs="宋体"/>
          <w:b/>
          <w:bCs/>
          <w:kern w:val="0"/>
          <w:sz w:val="24"/>
        </w:rPr>
        <w:t>密封完好以不泄露投标文件内容为主要判断依据</w:t>
      </w:r>
      <w:r>
        <w:rPr>
          <w:rFonts w:hint="eastAsia" w:ascii="宋体" w:hAnsi="宋体" w:cs="宋体"/>
          <w:kern w:val="0"/>
          <w:sz w:val="24"/>
        </w:rPr>
        <w:t>。</w:t>
      </w:r>
    </w:p>
    <w:p w14:paraId="2A463FD1">
      <w:pPr>
        <w:spacing w:line="360" w:lineRule="auto"/>
        <w:ind w:firstLine="494" w:firstLineChars="206"/>
        <w:outlineLvl w:val="1"/>
        <w:rPr>
          <w:rFonts w:hint="eastAsia" w:ascii="宋体" w:hAnsi="宋体" w:cs="宋体"/>
          <w:kern w:val="0"/>
          <w:sz w:val="24"/>
        </w:rPr>
      </w:pPr>
      <w:r>
        <w:rPr>
          <w:rFonts w:hint="eastAsia" w:ascii="宋体" w:hAnsi="宋体" w:cs="宋体"/>
          <w:kern w:val="0"/>
          <w:sz w:val="24"/>
        </w:rPr>
        <w:t>1.5递交时间：投标人须在规定的投标文件接收截止时间前送达指定地点。投标人提交投标文件，即视为已响应参加采购活动。</w:t>
      </w:r>
    </w:p>
    <w:p w14:paraId="07EF0809">
      <w:pPr>
        <w:spacing w:line="360" w:lineRule="auto"/>
        <w:ind w:firstLine="482" w:firstLineChars="200"/>
        <w:rPr>
          <w:b/>
          <w:sz w:val="24"/>
        </w:rPr>
      </w:pPr>
      <w:r>
        <w:rPr>
          <w:rFonts w:hint="eastAsia"/>
          <w:b/>
          <w:sz w:val="24"/>
        </w:rPr>
        <w:t>12.投标文件的内容</w:t>
      </w:r>
    </w:p>
    <w:bookmarkEnd w:id="80"/>
    <w:bookmarkEnd w:id="81"/>
    <w:bookmarkEnd w:id="82"/>
    <w:p w14:paraId="51DD4923">
      <w:pPr>
        <w:spacing w:line="360" w:lineRule="auto"/>
        <w:ind w:firstLine="482" w:firstLineChars="200"/>
        <w:rPr>
          <w:rFonts w:hint="eastAsia" w:cs="宋体"/>
          <w:b/>
          <w:sz w:val="24"/>
        </w:rPr>
      </w:pPr>
      <w:bookmarkStart w:id="86" w:name="_Toc535667662"/>
      <w:bookmarkStart w:id="87" w:name="_Toc29821368"/>
      <w:bookmarkStart w:id="88" w:name="_Toc29821164"/>
      <w:bookmarkStart w:id="89" w:name="_Toc14577355"/>
      <w:bookmarkStart w:id="90" w:name="_Toc49090508"/>
      <w:r>
        <w:rPr>
          <w:rFonts w:hint="eastAsia" w:cs="宋体"/>
          <w:b/>
          <w:sz w:val="24"/>
        </w:rPr>
        <w:t>12.1</w:t>
      </w:r>
      <w:bookmarkEnd w:id="86"/>
      <w:r>
        <w:rPr>
          <w:bCs/>
          <w:sz w:val="24"/>
        </w:rPr>
        <w:t xml:space="preserve"> </w:t>
      </w:r>
      <w:bookmarkStart w:id="91" w:name="_Toc535667663"/>
      <w:r>
        <w:rPr>
          <w:rFonts w:hint="eastAsia" w:cs="宋体"/>
          <w:b/>
          <w:sz w:val="24"/>
        </w:rPr>
        <w:t>资格证明资料</w:t>
      </w:r>
      <w:bookmarkEnd w:id="91"/>
      <w:bookmarkStart w:id="92" w:name="_Toc535667664"/>
      <w:r>
        <w:rPr>
          <w:rFonts w:hint="eastAsia" w:cs="宋体"/>
          <w:b/>
          <w:sz w:val="24"/>
        </w:rPr>
        <w:t>（须加盖公章）</w:t>
      </w:r>
      <w:bookmarkEnd w:id="87"/>
      <w:bookmarkEnd w:id="88"/>
    </w:p>
    <w:bookmarkEnd w:id="92"/>
    <w:p w14:paraId="38FC0DD6">
      <w:pPr>
        <w:spacing w:line="360" w:lineRule="auto"/>
        <w:ind w:firstLine="480" w:firstLineChars="200"/>
        <w:rPr>
          <w:rFonts w:hint="eastAsia"/>
          <w:bCs/>
          <w:sz w:val="24"/>
        </w:rPr>
      </w:pPr>
      <w:bookmarkStart w:id="93" w:name="_Toc535667668"/>
      <w:bookmarkStart w:id="94" w:name="_Toc29821374"/>
      <w:bookmarkStart w:id="95" w:name="_Toc29821170"/>
      <w:r>
        <w:rPr>
          <w:rFonts w:hint="eastAsia"/>
          <w:bCs/>
          <w:sz w:val="24"/>
        </w:rPr>
        <w:t>（1）投标人具有独立承担民事责任的能力，提供法人或者其他组织的营业执照等证明文件；</w:t>
      </w:r>
    </w:p>
    <w:p w14:paraId="2AEA7506">
      <w:pPr>
        <w:spacing w:line="360" w:lineRule="auto"/>
        <w:ind w:firstLine="480" w:firstLineChars="200"/>
        <w:rPr>
          <w:rFonts w:hint="eastAsia"/>
          <w:bCs/>
          <w:sz w:val="24"/>
        </w:rPr>
      </w:pPr>
      <w:r>
        <w:rPr>
          <w:rFonts w:hint="eastAsia"/>
          <w:bCs/>
          <w:sz w:val="24"/>
        </w:rPr>
        <w:t>（2）</w:t>
      </w:r>
      <w:r>
        <w:rPr>
          <w:rFonts w:hint="eastAsia"/>
          <w:sz w:val="24"/>
        </w:rPr>
        <w:t>法定代表人参加投标的，必须提供法定代表人身份证明及法定代表人本人身份证复印件；非法定代表人参加投标的，必须提供法定代表人签字或盖章的授权委托书、法定代表人本人身份证复印件及被授权人本人身份证复印件（</w:t>
      </w:r>
      <w:r>
        <w:rPr>
          <w:rFonts w:hint="eastAsia" w:cs="宋体"/>
          <w:sz w:val="24"/>
        </w:rPr>
        <w:t>格式参见附件）</w:t>
      </w:r>
      <w:r>
        <w:rPr>
          <w:rFonts w:hint="eastAsia"/>
          <w:bCs/>
          <w:sz w:val="24"/>
        </w:rPr>
        <w:t>；</w:t>
      </w:r>
    </w:p>
    <w:p w14:paraId="24655E99">
      <w:pPr>
        <w:spacing w:line="360" w:lineRule="auto"/>
        <w:ind w:firstLine="480" w:firstLineChars="200"/>
        <w:rPr>
          <w:rFonts w:hint="eastAsia" w:cs="宋体"/>
          <w:sz w:val="24"/>
        </w:rPr>
      </w:pPr>
      <w:r>
        <w:rPr>
          <w:rFonts w:hint="eastAsia"/>
          <w:bCs/>
          <w:sz w:val="24"/>
        </w:rPr>
        <w:t>（3）</w:t>
      </w:r>
      <w:r>
        <w:rPr>
          <w:rFonts w:hint="eastAsia" w:cs="宋体"/>
          <w:sz w:val="24"/>
        </w:rPr>
        <w:t>供应商须提供诚信承诺书（格式参见附件）；</w:t>
      </w:r>
    </w:p>
    <w:p w14:paraId="4183B0CE">
      <w:pPr>
        <w:spacing w:line="360" w:lineRule="auto"/>
        <w:ind w:firstLine="480" w:firstLineChars="200"/>
        <w:rPr>
          <w:rFonts w:hint="eastAsia"/>
          <w:bCs/>
          <w:sz w:val="24"/>
        </w:rPr>
      </w:pPr>
      <w:r>
        <w:rPr>
          <w:rFonts w:hint="eastAsia"/>
          <w:bCs/>
          <w:sz w:val="24"/>
        </w:rPr>
        <w:t>（4）投标单位认为其他必要的材料。</w:t>
      </w:r>
    </w:p>
    <w:p w14:paraId="68184D6F">
      <w:pPr>
        <w:spacing w:line="360" w:lineRule="auto"/>
        <w:ind w:firstLine="482" w:firstLineChars="200"/>
        <w:rPr>
          <w:rFonts w:hint="eastAsia"/>
          <w:b/>
          <w:bCs/>
          <w:sz w:val="24"/>
        </w:rPr>
      </w:pPr>
      <w:r>
        <w:rPr>
          <w:rFonts w:hint="eastAsia" w:ascii="宋体" w:cs="宋体"/>
          <w:b/>
          <w:bCs/>
          <w:kern w:val="0"/>
          <w:sz w:val="24"/>
        </w:rPr>
        <w:t>以上材料如为复印件均需加盖供应商单位公章。</w:t>
      </w:r>
    </w:p>
    <w:p w14:paraId="1ECF8C8A">
      <w:pPr>
        <w:spacing w:line="360" w:lineRule="auto"/>
        <w:ind w:firstLine="482" w:firstLineChars="200"/>
        <w:rPr>
          <w:rFonts w:hint="eastAsia" w:cs="宋体"/>
          <w:b/>
          <w:sz w:val="24"/>
        </w:rPr>
      </w:pPr>
      <w:r>
        <w:rPr>
          <w:rFonts w:hint="eastAsia" w:cs="宋体"/>
          <w:b/>
          <w:sz w:val="24"/>
        </w:rPr>
        <w:t>12.</w:t>
      </w:r>
      <w:bookmarkEnd w:id="93"/>
      <w:bookmarkStart w:id="96" w:name="_Toc535667675"/>
      <w:r>
        <w:rPr>
          <w:rFonts w:hint="eastAsia" w:cs="宋体"/>
          <w:b/>
          <w:sz w:val="24"/>
        </w:rPr>
        <w:t>2技术标</w:t>
      </w:r>
      <w:bookmarkEnd w:id="96"/>
      <w:r>
        <w:rPr>
          <w:rFonts w:hint="eastAsia" w:cs="宋体"/>
          <w:b/>
          <w:sz w:val="24"/>
        </w:rPr>
        <w:t>（须加盖公章）</w:t>
      </w:r>
    </w:p>
    <w:bookmarkEnd w:id="89"/>
    <w:bookmarkEnd w:id="90"/>
    <w:bookmarkEnd w:id="94"/>
    <w:bookmarkEnd w:id="95"/>
    <w:p w14:paraId="472AAFB2">
      <w:pPr>
        <w:spacing w:line="360" w:lineRule="auto"/>
        <w:ind w:firstLine="480" w:firstLineChars="200"/>
        <w:rPr>
          <w:rFonts w:hint="eastAsia" w:ascii="宋体" w:cs="宋体"/>
          <w:sz w:val="24"/>
        </w:rPr>
      </w:pPr>
      <w:r>
        <w:rPr>
          <w:rFonts w:hint="eastAsia" w:ascii="宋体" w:cs="宋体"/>
          <w:sz w:val="24"/>
        </w:rPr>
        <w:t>（1）供应商一般情况表</w:t>
      </w:r>
    </w:p>
    <w:p w14:paraId="060B7E47">
      <w:pPr>
        <w:spacing w:line="360" w:lineRule="auto"/>
        <w:ind w:firstLine="480" w:firstLineChars="200"/>
        <w:rPr>
          <w:rFonts w:hint="eastAsia" w:ascii="宋体" w:cs="宋体"/>
          <w:sz w:val="24"/>
        </w:rPr>
      </w:pPr>
      <w:r>
        <w:rPr>
          <w:rFonts w:hint="eastAsia" w:ascii="宋体" w:cs="宋体"/>
          <w:sz w:val="24"/>
        </w:rPr>
        <w:t>（2）技术部分正负偏离表</w:t>
      </w:r>
    </w:p>
    <w:p w14:paraId="6040D575">
      <w:pPr>
        <w:spacing w:line="360" w:lineRule="auto"/>
        <w:ind w:firstLine="480" w:firstLineChars="200"/>
        <w:rPr>
          <w:rFonts w:hint="eastAsia" w:ascii="宋体" w:cs="宋体"/>
          <w:sz w:val="24"/>
        </w:rPr>
      </w:pPr>
      <w:r>
        <w:rPr>
          <w:rFonts w:hint="eastAsia" w:ascii="宋体" w:cs="宋体"/>
          <w:sz w:val="24"/>
        </w:rPr>
        <w:t>（3）商务部分正负偏离表</w:t>
      </w:r>
    </w:p>
    <w:p w14:paraId="689421FC">
      <w:pPr>
        <w:spacing w:line="360" w:lineRule="auto"/>
        <w:ind w:firstLine="480" w:firstLineChars="200"/>
        <w:rPr>
          <w:rFonts w:hint="eastAsia" w:ascii="宋体" w:cs="宋体"/>
          <w:sz w:val="24"/>
          <w:u w:val="single"/>
        </w:rPr>
      </w:pPr>
      <w:r>
        <w:rPr>
          <w:rFonts w:hint="eastAsia" w:ascii="宋体" w:cs="宋体"/>
          <w:sz w:val="24"/>
        </w:rPr>
        <w:t>（4）</w:t>
      </w:r>
      <w:r>
        <w:rPr>
          <w:rFonts w:hint="eastAsia" w:ascii="宋体" w:hAnsi="宋体" w:cs="宋体"/>
          <w:b/>
          <w:sz w:val="24"/>
          <w:u w:val="single"/>
        </w:rPr>
        <w:t>本项目标记“★”的内容为实质性响应技术参数，供应商的投标文件中技术参数不接受负偏离，否则视为无效响应。</w:t>
      </w:r>
    </w:p>
    <w:p w14:paraId="160E74DB">
      <w:pPr>
        <w:spacing w:line="360" w:lineRule="auto"/>
        <w:ind w:firstLine="480" w:firstLineChars="200"/>
        <w:rPr>
          <w:rFonts w:hint="eastAsia" w:ascii="宋体" w:cs="宋体"/>
          <w:sz w:val="24"/>
        </w:rPr>
      </w:pPr>
      <w:r>
        <w:rPr>
          <w:rFonts w:hint="eastAsia" w:ascii="宋体" w:cs="宋体"/>
          <w:sz w:val="24"/>
        </w:rPr>
        <w:t>（5）按第四部分技术标的评分要点提供相关材料 </w:t>
      </w:r>
    </w:p>
    <w:p w14:paraId="5F2AB647">
      <w:pPr>
        <w:spacing w:line="360" w:lineRule="auto"/>
        <w:ind w:firstLine="482" w:firstLineChars="200"/>
        <w:rPr>
          <w:rFonts w:hint="eastAsia" w:cs="宋体"/>
          <w:b/>
          <w:sz w:val="24"/>
        </w:rPr>
      </w:pPr>
      <w:r>
        <w:rPr>
          <w:rFonts w:hint="eastAsia" w:cs="宋体"/>
          <w:b/>
          <w:sz w:val="24"/>
        </w:rPr>
        <w:t>12.3 商务标（须加盖公章）</w:t>
      </w:r>
    </w:p>
    <w:p w14:paraId="3108967B">
      <w:pPr>
        <w:spacing w:line="360" w:lineRule="auto"/>
        <w:ind w:firstLine="480" w:firstLineChars="200"/>
        <w:rPr>
          <w:rFonts w:hint="eastAsia" w:cs="宋体"/>
          <w:bCs/>
          <w:sz w:val="24"/>
        </w:rPr>
      </w:pPr>
      <w:r>
        <w:rPr>
          <w:rFonts w:hint="eastAsia" w:cs="宋体"/>
          <w:bCs/>
          <w:sz w:val="24"/>
        </w:rPr>
        <w:t>（1）投标函</w:t>
      </w:r>
    </w:p>
    <w:p w14:paraId="12842BE4">
      <w:pPr>
        <w:spacing w:line="360" w:lineRule="auto"/>
        <w:ind w:firstLine="480" w:firstLineChars="200"/>
        <w:rPr>
          <w:rFonts w:hint="eastAsia"/>
          <w:sz w:val="24"/>
        </w:rPr>
      </w:pPr>
      <w:r>
        <w:rPr>
          <w:rFonts w:hint="eastAsia"/>
          <w:sz w:val="24"/>
        </w:rPr>
        <w:t>（2）投标报价表</w:t>
      </w:r>
    </w:p>
    <w:p w14:paraId="4729B2B0">
      <w:pPr>
        <w:spacing w:line="360" w:lineRule="auto"/>
        <w:ind w:firstLine="480" w:firstLineChars="200"/>
        <w:rPr>
          <w:rFonts w:hint="eastAsia"/>
          <w:sz w:val="24"/>
        </w:rPr>
      </w:pPr>
      <w:r>
        <w:rPr>
          <w:rFonts w:hint="eastAsia"/>
          <w:sz w:val="24"/>
        </w:rPr>
        <w:t>（3）投标报价明细表</w:t>
      </w:r>
    </w:p>
    <w:p w14:paraId="2D0DCA79">
      <w:pPr>
        <w:snapToGrid w:val="0"/>
        <w:spacing w:line="360" w:lineRule="auto"/>
        <w:ind w:firstLine="463" w:firstLineChars="192"/>
        <w:contextualSpacing/>
        <w:rPr>
          <w:rFonts w:hint="eastAsia" w:ascii="宋体" w:hAnsi="宋体" w:cs="宋体"/>
          <w:b/>
          <w:bCs/>
          <w:kern w:val="0"/>
          <w:sz w:val="24"/>
          <w:lang w:val="zh-CN"/>
        </w:rPr>
      </w:pPr>
      <w:r>
        <w:rPr>
          <w:rFonts w:hint="eastAsia" w:cs="宋体"/>
          <w:b/>
          <w:sz w:val="24"/>
        </w:rPr>
        <w:t xml:space="preserve">12.4 </w:t>
      </w:r>
      <w:r>
        <w:rPr>
          <w:rFonts w:hint="eastAsia" w:ascii="宋体" w:hAnsi="宋体" w:cs="宋体"/>
          <w:b/>
          <w:bCs/>
          <w:kern w:val="0"/>
          <w:sz w:val="24"/>
          <w:lang w:val="zh-CN"/>
        </w:rPr>
        <w:t>电子投标文件（一份、单独密封提供）</w:t>
      </w:r>
    </w:p>
    <w:p w14:paraId="1EA6476C">
      <w:pPr>
        <w:snapToGrid w:val="0"/>
        <w:spacing w:line="360" w:lineRule="auto"/>
        <w:ind w:firstLine="460" w:firstLineChars="192"/>
        <w:contextualSpacing/>
        <w:rPr>
          <w:rFonts w:hint="eastAsia" w:ascii="宋体" w:hAnsi="宋体" w:cs="宋体"/>
          <w:kern w:val="0"/>
          <w:sz w:val="24"/>
          <w:lang w:val="zh-CN"/>
        </w:rPr>
      </w:pPr>
      <w:r>
        <w:rPr>
          <w:rFonts w:hint="eastAsia" w:ascii="宋体" w:hAnsi="宋体" w:cs="宋体"/>
          <w:kern w:val="0"/>
          <w:sz w:val="24"/>
          <w:lang w:val="zh-CN"/>
        </w:rPr>
        <w:t>电子投标文件的内容为“资格审查文件、技术标文件、商务标文件”的打印盖章（或电子签章）后的投标文件的扫描件（资格审查文件、技术标文件、商务标文件需分别逐页连续扫描为一个PDF文件）。</w:t>
      </w:r>
    </w:p>
    <w:p w14:paraId="05A0245B">
      <w:pPr>
        <w:spacing w:line="360" w:lineRule="auto"/>
        <w:ind w:firstLine="482" w:firstLineChars="200"/>
        <w:rPr>
          <w:rFonts w:hint="eastAsia"/>
          <w:b/>
          <w:sz w:val="24"/>
        </w:rPr>
      </w:pPr>
      <w:r>
        <w:rPr>
          <w:rFonts w:hint="eastAsia"/>
          <w:b/>
          <w:sz w:val="24"/>
        </w:rPr>
        <w:t>13.标的物</w:t>
      </w:r>
    </w:p>
    <w:p w14:paraId="76ED671B">
      <w:pPr>
        <w:spacing w:line="360" w:lineRule="auto"/>
        <w:ind w:firstLine="482" w:firstLineChars="200"/>
        <w:rPr>
          <w:b/>
          <w:sz w:val="24"/>
        </w:rPr>
      </w:pPr>
      <w:r>
        <w:rPr>
          <w:rFonts w:hint="eastAsia"/>
          <w:b/>
          <w:sz w:val="24"/>
        </w:rPr>
        <w:t>详见项目需求。</w:t>
      </w:r>
    </w:p>
    <w:p w14:paraId="1ECC101C">
      <w:pPr>
        <w:spacing w:line="360" w:lineRule="auto"/>
        <w:ind w:firstLine="482" w:firstLineChars="200"/>
        <w:rPr>
          <w:rFonts w:hint="eastAsia"/>
          <w:sz w:val="24"/>
        </w:rPr>
      </w:pPr>
      <w:r>
        <w:rPr>
          <w:rFonts w:hint="eastAsia"/>
          <w:b/>
          <w:sz w:val="24"/>
        </w:rPr>
        <w:t>14.</w:t>
      </w:r>
      <w:r>
        <w:rPr>
          <w:b/>
          <w:bCs/>
          <w:sz w:val="24"/>
        </w:rPr>
        <w:t>投标报价</w:t>
      </w:r>
    </w:p>
    <w:p w14:paraId="135F1560">
      <w:pPr>
        <w:widowControl/>
        <w:topLinePunct/>
        <w:spacing w:line="360" w:lineRule="auto"/>
        <w:ind w:firstLine="494" w:firstLineChars="206"/>
        <w:rPr>
          <w:sz w:val="24"/>
        </w:rPr>
      </w:pPr>
      <w:r>
        <w:rPr>
          <w:rFonts w:hint="eastAsia"/>
          <w:sz w:val="24"/>
        </w:rPr>
        <w:t>14.1</w:t>
      </w:r>
      <w:r>
        <w:rPr>
          <w:sz w:val="24"/>
        </w:rPr>
        <w:t>本项目不接受任何有选择的报价。</w:t>
      </w:r>
    </w:p>
    <w:p w14:paraId="2E223AF7">
      <w:pPr>
        <w:widowControl/>
        <w:topLinePunct/>
        <w:spacing w:line="360" w:lineRule="auto"/>
        <w:ind w:firstLine="494" w:firstLineChars="206"/>
        <w:rPr>
          <w:sz w:val="24"/>
        </w:rPr>
      </w:pPr>
      <w:r>
        <w:rPr>
          <w:rFonts w:hint="eastAsia"/>
          <w:sz w:val="24"/>
        </w:rPr>
        <w:t>14.2</w:t>
      </w:r>
      <w:r>
        <w:rPr>
          <w:sz w:val="24"/>
        </w:rPr>
        <w:t>投标报价均以人民币为报价的币种。</w:t>
      </w:r>
    </w:p>
    <w:p w14:paraId="28638E6D">
      <w:pPr>
        <w:widowControl/>
        <w:topLinePunct/>
        <w:spacing w:line="360" w:lineRule="auto"/>
        <w:ind w:firstLine="494" w:firstLineChars="206"/>
        <w:rPr>
          <w:sz w:val="24"/>
        </w:rPr>
      </w:pPr>
      <w:r>
        <w:rPr>
          <w:rFonts w:hint="eastAsia"/>
          <w:sz w:val="24"/>
        </w:rPr>
        <w:t>14.3</w:t>
      </w:r>
      <w:r>
        <w:rPr>
          <w:sz w:val="24"/>
        </w:rPr>
        <w:t>报价表必须加盖投标供应商公章且必须经法定代表人或被授权人签字或盖章。</w:t>
      </w:r>
    </w:p>
    <w:p w14:paraId="331B53BD">
      <w:pPr>
        <w:snapToGrid w:val="0"/>
        <w:spacing w:line="360" w:lineRule="auto"/>
        <w:ind w:firstLine="480" w:firstLineChars="200"/>
        <w:rPr>
          <w:rFonts w:hint="eastAsia"/>
        </w:rPr>
      </w:pPr>
      <w:r>
        <w:rPr>
          <w:rFonts w:hint="eastAsia"/>
          <w:sz w:val="24"/>
        </w:rPr>
        <w:t>14.4</w:t>
      </w:r>
      <w:r>
        <w:rPr>
          <w:rFonts w:hint="eastAsia" w:cs="宋体"/>
          <w:sz w:val="24"/>
        </w:rPr>
        <w:t>供应商应充分考虑服务实施期间各类市场价格和政策性价格调整因素，确定价格风险计入总报价，今后不作调整。（投标报价应包括完成本项目所需的一切费用，包括但不限于</w:t>
      </w:r>
      <w:r>
        <w:rPr>
          <w:rFonts w:hint="eastAsia" w:ascii="宋体"/>
          <w:bCs/>
          <w:sz w:val="24"/>
        </w:rPr>
        <w:t>成本、利润、税金、开办费、政策性调整风险费等的所有费用；人工费、检测费、管理费；国家税务部门规定的各项税金；相关伴随服务以及售后服务等一切费用</w:t>
      </w:r>
      <w:r>
        <w:rPr>
          <w:rFonts w:hint="eastAsia" w:cs="宋体"/>
          <w:sz w:val="24"/>
        </w:rPr>
        <w:t>。同时，报价也应包含合同履行过程中可能发生的一切风险。）</w:t>
      </w:r>
    </w:p>
    <w:p w14:paraId="027C08BC">
      <w:pPr>
        <w:spacing w:line="360" w:lineRule="auto"/>
        <w:ind w:firstLine="482" w:firstLineChars="200"/>
        <w:rPr>
          <w:b/>
          <w:sz w:val="24"/>
        </w:rPr>
      </w:pPr>
      <w:r>
        <w:rPr>
          <w:rFonts w:hint="eastAsia"/>
          <w:b/>
          <w:sz w:val="24"/>
        </w:rPr>
        <w:t>15.其他费用处理</w:t>
      </w:r>
    </w:p>
    <w:p w14:paraId="17486EF8">
      <w:pPr>
        <w:spacing w:line="360" w:lineRule="auto"/>
        <w:ind w:firstLine="480" w:firstLineChars="200"/>
        <w:rPr>
          <w:sz w:val="24"/>
        </w:rPr>
      </w:pPr>
      <w:r>
        <w:rPr>
          <w:rFonts w:hint="eastAsia"/>
          <w:sz w:val="24"/>
        </w:rPr>
        <w:t>招标文件未列明，而投标人认为必需的费用也需列入报价。</w:t>
      </w:r>
    </w:p>
    <w:p w14:paraId="04927041">
      <w:pPr>
        <w:spacing w:line="360" w:lineRule="auto"/>
        <w:ind w:firstLine="482" w:firstLineChars="200"/>
        <w:rPr>
          <w:b/>
          <w:sz w:val="24"/>
        </w:rPr>
      </w:pPr>
      <w:r>
        <w:rPr>
          <w:rFonts w:hint="eastAsia"/>
          <w:b/>
          <w:sz w:val="24"/>
        </w:rPr>
        <w:t>16.投标货币</w:t>
      </w:r>
    </w:p>
    <w:p w14:paraId="04610A1F">
      <w:pPr>
        <w:spacing w:line="360" w:lineRule="auto"/>
        <w:ind w:firstLine="480" w:firstLineChars="200"/>
        <w:rPr>
          <w:rFonts w:cs="宋体"/>
          <w:bCs/>
          <w:sz w:val="24"/>
        </w:rPr>
      </w:pPr>
      <w:r>
        <w:rPr>
          <w:rFonts w:hint="eastAsia" w:cs="宋体"/>
          <w:bCs/>
          <w:sz w:val="24"/>
        </w:rPr>
        <w:t>16.1投标文件中的单价和总价，无特殊规定的采用人民币报价，以元为单位标注。招标文件中另有规定的按规定执行。</w:t>
      </w:r>
    </w:p>
    <w:p w14:paraId="05A608B9">
      <w:pPr>
        <w:spacing w:line="360" w:lineRule="auto"/>
        <w:ind w:firstLine="480" w:firstLineChars="200"/>
        <w:rPr>
          <w:sz w:val="24"/>
        </w:rPr>
      </w:pPr>
      <w:r>
        <w:rPr>
          <w:rFonts w:hint="eastAsia"/>
          <w:sz w:val="24"/>
        </w:rPr>
        <w:t>16.2</w:t>
      </w:r>
      <w:r>
        <w:rPr>
          <w:rFonts w:hint="eastAsia" w:cs="宋体"/>
          <w:sz w:val="24"/>
        </w:rPr>
        <w:t>投标函</w:t>
      </w:r>
      <w:r>
        <w:rPr>
          <w:rFonts w:hint="eastAsia" w:cs="宋体"/>
          <w:bCs/>
          <w:sz w:val="24"/>
        </w:rPr>
        <w:t>应按招标文件规定填写</w:t>
      </w:r>
      <w:r>
        <w:rPr>
          <w:rFonts w:hint="eastAsia"/>
          <w:sz w:val="24"/>
        </w:rPr>
        <w:t>。</w:t>
      </w:r>
    </w:p>
    <w:p w14:paraId="6F4112BB">
      <w:pPr>
        <w:spacing w:line="360" w:lineRule="auto"/>
        <w:ind w:firstLine="482" w:firstLineChars="200"/>
        <w:rPr>
          <w:rFonts w:hint="eastAsia"/>
          <w:b/>
          <w:sz w:val="24"/>
        </w:rPr>
      </w:pPr>
      <w:bookmarkStart w:id="97" w:name="_Hlt26670482"/>
      <w:bookmarkEnd w:id="97"/>
      <w:bookmarkStart w:id="98" w:name="_Hlt26954731"/>
      <w:bookmarkEnd w:id="98"/>
      <w:bookmarkStart w:id="99" w:name="_Hlt26954848"/>
      <w:bookmarkEnd w:id="99"/>
      <w:bookmarkStart w:id="100" w:name="_Hlt26670403"/>
      <w:bookmarkEnd w:id="100"/>
      <w:bookmarkStart w:id="101" w:name="_Hlt26668983"/>
      <w:bookmarkEnd w:id="101"/>
      <w:bookmarkStart w:id="102" w:name="_Hlt26670425"/>
      <w:bookmarkEnd w:id="102"/>
      <w:bookmarkStart w:id="103" w:name="_Hlt26954844"/>
      <w:bookmarkEnd w:id="103"/>
      <w:bookmarkStart w:id="104" w:name="_Hlt26954842"/>
      <w:bookmarkEnd w:id="104"/>
      <w:bookmarkStart w:id="105" w:name="_Hlt26670486"/>
      <w:bookmarkEnd w:id="105"/>
      <w:bookmarkStart w:id="106" w:name="_Hlt26954846"/>
      <w:bookmarkEnd w:id="106"/>
      <w:bookmarkStart w:id="107" w:name="_Toc14577359"/>
      <w:bookmarkStart w:id="108" w:name="_Toc49090510"/>
      <w:r>
        <w:rPr>
          <w:rFonts w:hint="eastAsia"/>
          <w:b/>
          <w:sz w:val="24"/>
        </w:rPr>
        <w:t>17.投标保证金</w:t>
      </w:r>
      <w:bookmarkEnd w:id="107"/>
      <w:bookmarkEnd w:id="108"/>
    </w:p>
    <w:p w14:paraId="6B8BC41B">
      <w:pPr>
        <w:pStyle w:val="17"/>
        <w:spacing w:line="360" w:lineRule="auto"/>
        <w:ind w:firstLine="482" w:firstLineChars="200"/>
        <w:rPr>
          <w:rFonts w:ascii="Times New Roman" w:eastAsia="宋体" w:cs="宋体"/>
          <w:kern w:val="2"/>
          <w:szCs w:val="24"/>
        </w:rPr>
      </w:pPr>
      <w:r>
        <w:rPr>
          <w:rFonts w:hint="eastAsia" w:ascii="Times New Roman" w:eastAsia="宋体"/>
          <w:b/>
        </w:rPr>
        <w:t>本项目不收投标保证金，采购文件中涉及投标保证金的事项，均按免收保证金执行。</w:t>
      </w:r>
    </w:p>
    <w:p w14:paraId="05CF7F06">
      <w:pPr>
        <w:spacing w:line="360" w:lineRule="auto"/>
        <w:ind w:firstLine="482" w:firstLineChars="200"/>
        <w:rPr>
          <w:b/>
          <w:sz w:val="24"/>
        </w:rPr>
      </w:pPr>
      <w:bookmarkStart w:id="109" w:name="_Hlt26954734"/>
      <w:bookmarkEnd w:id="109"/>
      <w:bookmarkStart w:id="110" w:name="_Hlt26670489"/>
      <w:bookmarkEnd w:id="110"/>
      <w:bookmarkStart w:id="111" w:name="_Hlt26954850"/>
      <w:bookmarkEnd w:id="111"/>
      <w:bookmarkStart w:id="112" w:name="_Toc14577360"/>
      <w:bookmarkStart w:id="113" w:name="_Toc49090511"/>
      <w:r>
        <w:rPr>
          <w:rFonts w:hint="eastAsia"/>
          <w:b/>
          <w:sz w:val="24"/>
        </w:rPr>
        <w:t>18.投标有效期</w:t>
      </w:r>
      <w:bookmarkEnd w:id="112"/>
      <w:bookmarkEnd w:id="113"/>
    </w:p>
    <w:p w14:paraId="4F7030A3">
      <w:pPr>
        <w:spacing w:line="360" w:lineRule="auto"/>
        <w:ind w:firstLine="480" w:firstLineChars="200"/>
        <w:rPr>
          <w:bCs/>
          <w:sz w:val="24"/>
        </w:rPr>
      </w:pPr>
      <w:r>
        <w:rPr>
          <w:rFonts w:hint="eastAsia"/>
          <w:sz w:val="24"/>
        </w:rPr>
        <w:t>18.1</w:t>
      </w:r>
      <w:r>
        <w:rPr>
          <w:rFonts w:hint="eastAsia"/>
          <w:bCs/>
          <w:sz w:val="24"/>
        </w:rPr>
        <w:t xml:space="preserve"> 投标有效期为代理机构规定的开标之日后</w:t>
      </w:r>
      <w:r>
        <w:rPr>
          <w:rFonts w:hint="eastAsia"/>
          <w:b/>
          <w:sz w:val="24"/>
          <w:u w:val="single"/>
        </w:rPr>
        <w:t>四十五（45）天</w:t>
      </w:r>
      <w:r>
        <w:rPr>
          <w:rFonts w:hint="eastAsia"/>
          <w:bCs/>
          <w:sz w:val="24"/>
        </w:rPr>
        <w:t>。投标有效期比规定短的将被视为非响应性投标而予以拒绝。</w:t>
      </w:r>
    </w:p>
    <w:p w14:paraId="5D9643FC">
      <w:pPr>
        <w:spacing w:line="360" w:lineRule="auto"/>
        <w:ind w:firstLine="480" w:firstLineChars="200"/>
        <w:rPr>
          <w:rFonts w:hint="eastAsia"/>
          <w:bCs/>
          <w:sz w:val="24"/>
        </w:rPr>
      </w:pPr>
      <w:r>
        <w:rPr>
          <w:rFonts w:hint="eastAsia"/>
          <w:sz w:val="24"/>
        </w:rPr>
        <w:t>18.2</w:t>
      </w:r>
      <w:r>
        <w:rPr>
          <w:rFonts w:hint="eastAsia"/>
          <w:bCs/>
          <w:sz w:val="24"/>
        </w:rPr>
        <w:t xml:space="preserve"> 在特殊情况下，代理机构于原投标有效期满之前，可向投标人提出延长投标有效期的要求。</w:t>
      </w:r>
    </w:p>
    <w:p w14:paraId="2E9A9266">
      <w:pPr>
        <w:spacing w:line="360" w:lineRule="auto"/>
        <w:ind w:firstLine="480" w:firstLineChars="200"/>
        <w:rPr>
          <w:bCs/>
          <w:sz w:val="24"/>
        </w:rPr>
      </w:pPr>
      <w:r>
        <w:rPr>
          <w:rFonts w:hint="eastAsia"/>
          <w:bCs/>
          <w:sz w:val="24"/>
        </w:rPr>
        <w:t>这种要求与答复均应采用书面形式。投标人可以拒绝代理机构的这一要求而放弃投标，</w:t>
      </w:r>
      <w:r>
        <w:rPr>
          <w:rFonts w:hint="eastAsia"/>
          <w:sz w:val="24"/>
        </w:rPr>
        <w:t>代理机构在接到投标人书面答复后，将在原投标有效期满后五日内</w:t>
      </w:r>
      <w:r>
        <w:rPr>
          <w:rFonts w:hint="eastAsia"/>
          <w:bCs/>
          <w:sz w:val="24"/>
        </w:rPr>
        <w:t>退还其投标保证金</w:t>
      </w:r>
      <w:r>
        <w:rPr>
          <w:rFonts w:hint="eastAsia"/>
          <w:sz w:val="24"/>
        </w:rPr>
        <w:t>。</w:t>
      </w:r>
      <w:r>
        <w:rPr>
          <w:rFonts w:hint="eastAsia"/>
          <w:bCs/>
          <w:sz w:val="24"/>
        </w:rPr>
        <w:t>同意延长投标有效期的投标人既不能要求也不允许修改其投标文件。</w:t>
      </w:r>
    </w:p>
    <w:p w14:paraId="1A97A8B6">
      <w:pPr>
        <w:spacing w:line="360" w:lineRule="auto"/>
        <w:jc w:val="center"/>
        <w:rPr>
          <w:b/>
          <w:sz w:val="24"/>
        </w:rPr>
      </w:pPr>
      <w:bookmarkStart w:id="114" w:name="_Hlt26954852"/>
      <w:bookmarkEnd w:id="114"/>
      <w:bookmarkStart w:id="115" w:name="_Hlt26954739"/>
      <w:bookmarkEnd w:id="115"/>
      <w:bookmarkStart w:id="116" w:name="_Toc120614217"/>
      <w:bookmarkStart w:id="117" w:name="_Toc535667676"/>
      <w:bookmarkStart w:id="118" w:name="_Toc16938540"/>
      <w:bookmarkStart w:id="119" w:name="_Toc29821381"/>
      <w:bookmarkStart w:id="120" w:name="_Toc20823296"/>
      <w:bookmarkStart w:id="121" w:name="_Toc29821177"/>
      <w:bookmarkStart w:id="122" w:name="_Toc513029224"/>
      <w:r>
        <w:rPr>
          <w:rFonts w:hint="eastAsia"/>
          <w:b/>
          <w:sz w:val="24"/>
        </w:rPr>
        <w:t>四、投标文件的递交</w:t>
      </w:r>
      <w:bookmarkEnd w:id="116"/>
      <w:bookmarkEnd w:id="117"/>
      <w:bookmarkEnd w:id="118"/>
      <w:bookmarkEnd w:id="119"/>
      <w:bookmarkEnd w:id="120"/>
      <w:bookmarkEnd w:id="121"/>
      <w:bookmarkEnd w:id="122"/>
      <w:bookmarkStart w:id="123" w:name="_Toc387526399"/>
      <w:bookmarkStart w:id="124" w:name="_Toc387526203"/>
      <w:bookmarkStart w:id="125" w:name="_Toc397928574"/>
      <w:bookmarkStart w:id="126" w:name="_Toc27481"/>
      <w:bookmarkStart w:id="127" w:name="_Toc387526307"/>
      <w:bookmarkStart w:id="128" w:name="_Toc120614218"/>
      <w:bookmarkStart w:id="129" w:name="_Toc20823301"/>
      <w:bookmarkStart w:id="130" w:name="_Toc513029229"/>
      <w:bookmarkStart w:id="131" w:name="_Toc16938545"/>
    </w:p>
    <w:bookmarkEnd w:id="123"/>
    <w:bookmarkEnd w:id="124"/>
    <w:bookmarkEnd w:id="125"/>
    <w:bookmarkEnd w:id="126"/>
    <w:bookmarkEnd w:id="127"/>
    <w:p w14:paraId="549E6539">
      <w:pPr>
        <w:spacing w:line="360" w:lineRule="auto"/>
        <w:ind w:firstLine="482" w:firstLineChars="200"/>
        <w:rPr>
          <w:b/>
          <w:sz w:val="24"/>
        </w:rPr>
      </w:pPr>
      <w:bookmarkStart w:id="132" w:name="_Toc387526400"/>
      <w:bookmarkStart w:id="133" w:name="_Toc397928575"/>
      <w:bookmarkStart w:id="134" w:name="_Toc387526308"/>
      <w:bookmarkStart w:id="135" w:name="_Toc387526204"/>
      <w:bookmarkStart w:id="136" w:name="_Toc7888"/>
      <w:r>
        <w:rPr>
          <w:rFonts w:hint="eastAsia"/>
          <w:b/>
          <w:sz w:val="24"/>
        </w:rPr>
        <w:t>19.</w:t>
      </w:r>
      <w:r>
        <w:rPr>
          <w:b/>
          <w:sz w:val="24"/>
        </w:rPr>
        <w:t>投标文件的递交</w:t>
      </w:r>
      <w:bookmarkEnd w:id="132"/>
      <w:bookmarkEnd w:id="133"/>
      <w:bookmarkEnd w:id="134"/>
      <w:bookmarkEnd w:id="135"/>
      <w:bookmarkEnd w:id="136"/>
    </w:p>
    <w:p w14:paraId="6839F445">
      <w:pPr>
        <w:spacing w:line="360" w:lineRule="auto"/>
        <w:ind w:firstLine="480" w:firstLineChars="200"/>
        <w:rPr>
          <w:sz w:val="24"/>
        </w:rPr>
      </w:pPr>
      <w:r>
        <w:rPr>
          <w:rFonts w:hint="eastAsia"/>
          <w:sz w:val="24"/>
        </w:rPr>
        <w:t>19.1 投标人应在投标人须知前附表规定的投标截止时间前递交投标文件。</w:t>
      </w:r>
    </w:p>
    <w:p w14:paraId="76999E61">
      <w:pPr>
        <w:spacing w:line="360" w:lineRule="auto"/>
        <w:ind w:firstLine="480" w:firstLineChars="200"/>
        <w:rPr>
          <w:sz w:val="24"/>
        </w:rPr>
      </w:pPr>
      <w:r>
        <w:rPr>
          <w:rFonts w:hint="eastAsia"/>
          <w:sz w:val="24"/>
        </w:rPr>
        <w:t>19.2 投标人递交投标文件的地点：见投标人须知前附表。</w:t>
      </w:r>
    </w:p>
    <w:p w14:paraId="7E62706A">
      <w:pPr>
        <w:spacing w:line="360" w:lineRule="auto"/>
        <w:ind w:firstLine="480" w:firstLineChars="200"/>
        <w:rPr>
          <w:rFonts w:hint="eastAsia"/>
          <w:sz w:val="24"/>
        </w:rPr>
      </w:pPr>
      <w:r>
        <w:rPr>
          <w:rFonts w:hint="eastAsia"/>
          <w:sz w:val="24"/>
        </w:rPr>
        <w:t>19.3 除投标人须知前附表另有规定外，投标人所递交的投标文件不予退还。</w:t>
      </w:r>
    </w:p>
    <w:p w14:paraId="5A3AD340">
      <w:pPr>
        <w:spacing w:line="360" w:lineRule="auto"/>
        <w:ind w:firstLine="482" w:firstLineChars="200"/>
        <w:rPr>
          <w:b/>
          <w:sz w:val="24"/>
        </w:rPr>
      </w:pPr>
      <w:bookmarkStart w:id="137" w:name="_Toc397928576"/>
      <w:bookmarkStart w:id="138" w:name="_Toc12008"/>
      <w:bookmarkStart w:id="139" w:name="_Toc387526205"/>
      <w:bookmarkStart w:id="140" w:name="_Toc387526401"/>
      <w:bookmarkStart w:id="141" w:name="_Toc387526309"/>
      <w:r>
        <w:rPr>
          <w:rFonts w:hint="eastAsia"/>
          <w:b/>
          <w:sz w:val="24"/>
        </w:rPr>
        <w:t>20.投标文件的修改与撤回</w:t>
      </w:r>
      <w:bookmarkEnd w:id="137"/>
      <w:bookmarkEnd w:id="138"/>
      <w:bookmarkEnd w:id="139"/>
      <w:bookmarkEnd w:id="140"/>
      <w:bookmarkEnd w:id="141"/>
    </w:p>
    <w:p w14:paraId="2E3095EE">
      <w:pPr>
        <w:spacing w:line="360" w:lineRule="auto"/>
        <w:ind w:firstLine="480" w:firstLineChars="200"/>
        <w:rPr>
          <w:rFonts w:hint="eastAsia"/>
          <w:sz w:val="24"/>
        </w:rPr>
      </w:pPr>
      <w:r>
        <w:rPr>
          <w:rFonts w:hint="eastAsia"/>
          <w:sz w:val="24"/>
        </w:rPr>
        <w:t>20.1 在投标人须知前附表规定的投标截止时间前，投标人可以修改或撤回已递交的投标文件。</w:t>
      </w:r>
    </w:p>
    <w:p w14:paraId="07B3BD30">
      <w:pPr>
        <w:spacing w:line="360" w:lineRule="auto"/>
        <w:ind w:firstLine="480" w:firstLineChars="200"/>
        <w:rPr>
          <w:rFonts w:hint="eastAsia"/>
          <w:sz w:val="24"/>
        </w:rPr>
      </w:pPr>
      <w:r>
        <w:rPr>
          <w:rFonts w:hint="eastAsia"/>
          <w:sz w:val="24"/>
        </w:rPr>
        <w:t>20.2投标人修改或撤回投标文件的，必须在投标截止时间前重新递交投标文件，否则视为放弃投标，其责任由投标人自己承担。</w:t>
      </w:r>
    </w:p>
    <w:p w14:paraId="1B3D2DB4">
      <w:pPr>
        <w:spacing w:line="360" w:lineRule="auto"/>
        <w:ind w:firstLine="480" w:firstLineChars="200"/>
        <w:rPr>
          <w:rFonts w:hint="eastAsia"/>
          <w:sz w:val="24"/>
        </w:rPr>
      </w:pPr>
      <w:r>
        <w:rPr>
          <w:rFonts w:hint="eastAsia"/>
          <w:sz w:val="24"/>
        </w:rPr>
        <w:t>20.3 修改的内容为投标文件的组成部分。修改的投标文件应按照本章第3条、第4条规定进行编制、密封、标记和递交，并标明“修改”字样。</w:t>
      </w:r>
    </w:p>
    <w:p w14:paraId="1A1F42A8">
      <w:pPr>
        <w:spacing w:line="360" w:lineRule="auto"/>
        <w:jc w:val="center"/>
        <w:rPr>
          <w:b/>
          <w:sz w:val="24"/>
        </w:rPr>
      </w:pPr>
      <w:bookmarkStart w:id="142" w:name="_Toc29821178"/>
      <w:bookmarkStart w:id="143" w:name="_Toc29821382"/>
      <w:bookmarkStart w:id="144" w:name="_Toc535667677"/>
      <w:r>
        <w:rPr>
          <w:rFonts w:hint="eastAsia"/>
          <w:b/>
          <w:sz w:val="24"/>
        </w:rPr>
        <w:t>五、开标与评标</w:t>
      </w:r>
      <w:bookmarkEnd w:id="128"/>
      <w:bookmarkEnd w:id="129"/>
      <w:bookmarkEnd w:id="130"/>
      <w:bookmarkEnd w:id="131"/>
      <w:bookmarkEnd w:id="142"/>
      <w:bookmarkEnd w:id="143"/>
      <w:bookmarkEnd w:id="144"/>
    </w:p>
    <w:p w14:paraId="2594468E">
      <w:pPr>
        <w:spacing w:line="360" w:lineRule="auto"/>
        <w:ind w:firstLine="482" w:firstLineChars="200"/>
        <w:rPr>
          <w:b/>
          <w:sz w:val="24"/>
        </w:rPr>
      </w:pPr>
      <w:bookmarkStart w:id="145" w:name="_Toc20823302"/>
      <w:bookmarkStart w:id="146" w:name="_Toc16938546"/>
      <w:bookmarkStart w:id="147" w:name="_Toc513029230"/>
      <w:r>
        <w:rPr>
          <w:rFonts w:hint="eastAsia"/>
          <w:b/>
          <w:sz w:val="24"/>
        </w:rPr>
        <w:t>21.开标</w:t>
      </w:r>
      <w:bookmarkEnd w:id="145"/>
      <w:bookmarkEnd w:id="146"/>
      <w:bookmarkEnd w:id="147"/>
    </w:p>
    <w:p w14:paraId="5662AA52">
      <w:pPr>
        <w:spacing w:line="360" w:lineRule="auto"/>
        <w:ind w:firstLine="482" w:firstLineChars="200"/>
        <w:rPr>
          <w:rFonts w:hint="eastAsia"/>
          <w:b/>
          <w:bCs/>
          <w:sz w:val="24"/>
        </w:rPr>
      </w:pPr>
      <w:bookmarkStart w:id="148" w:name="_Toc20823303"/>
      <w:bookmarkStart w:id="149" w:name="_Toc16938547"/>
      <w:bookmarkStart w:id="150" w:name="_Toc513029231"/>
      <w:r>
        <w:rPr>
          <w:rFonts w:hint="eastAsia"/>
          <w:b/>
          <w:bCs/>
          <w:sz w:val="24"/>
        </w:rPr>
        <w:t>招标人按本招标文件规定的时间、地点公开开标。</w:t>
      </w:r>
    </w:p>
    <w:p w14:paraId="30B7DA5D">
      <w:pPr>
        <w:spacing w:line="360" w:lineRule="auto"/>
        <w:ind w:firstLine="482" w:firstLineChars="200"/>
        <w:rPr>
          <w:b/>
          <w:sz w:val="24"/>
        </w:rPr>
      </w:pPr>
      <w:r>
        <w:rPr>
          <w:rFonts w:hint="eastAsia"/>
          <w:b/>
          <w:sz w:val="24"/>
        </w:rPr>
        <w:t>22.评标委员会</w:t>
      </w:r>
    </w:p>
    <w:p w14:paraId="7A65A167">
      <w:pPr>
        <w:spacing w:line="360" w:lineRule="auto"/>
        <w:ind w:firstLine="480" w:firstLineChars="200"/>
        <w:rPr>
          <w:bCs/>
          <w:sz w:val="24"/>
        </w:rPr>
      </w:pPr>
      <w:r>
        <w:rPr>
          <w:rFonts w:hint="eastAsia"/>
          <w:bCs/>
          <w:sz w:val="24"/>
        </w:rPr>
        <w:t>22.1 开标后，代理机构将立即组织评标委员会（以下简称评委会）进行评标。</w:t>
      </w:r>
    </w:p>
    <w:p w14:paraId="48E8D084">
      <w:pPr>
        <w:spacing w:line="360" w:lineRule="auto"/>
        <w:ind w:firstLine="480" w:firstLineChars="200"/>
        <w:rPr>
          <w:bCs/>
          <w:sz w:val="24"/>
        </w:rPr>
      </w:pPr>
      <w:r>
        <w:rPr>
          <w:rFonts w:hint="eastAsia"/>
          <w:bCs/>
          <w:sz w:val="24"/>
        </w:rPr>
        <w:t>22.2 评委会由采购人代表和有关技术、经济等方面的专家组成，且人员构成符合采购有关规定。</w:t>
      </w:r>
    </w:p>
    <w:p w14:paraId="2272D6DE">
      <w:pPr>
        <w:spacing w:line="360" w:lineRule="auto"/>
        <w:ind w:firstLine="480" w:firstLineChars="200"/>
        <w:rPr>
          <w:rFonts w:hint="eastAsia"/>
          <w:bCs/>
          <w:sz w:val="24"/>
        </w:rPr>
      </w:pPr>
      <w:r>
        <w:rPr>
          <w:rFonts w:hint="eastAsia"/>
          <w:bCs/>
          <w:sz w:val="24"/>
        </w:rPr>
        <w:t>22.3评委会独立工作，负责评审所有投标文件并确定中标人。</w:t>
      </w:r>
    </w:p>
    <w:p w14:paraId="724B9CF9">
      <w:pPr>
        <w:spacing w:line="360" w:lineRule="auto"/>
        <w:ind w:firstLine="482" w:firstLineChars="200"/>
        <w:rPr>
          <w:b/>
          <w:sz w:val="24"/>
        </w:rPr>
      </w:pPr>
      <w:r>
        <w:rPr>
          <w:rFonts w:hint="eastAsia"/>
          <w:b/>
          <w:sz w:val="24"/>
        </w:rPr>
        <w:t>23.评标过程的保密与公正</w:t>
      </w:r>
    </w:p>
    <w:bookmarkEnd w:id="148"/>
    <w:bookmarkEnd w:id="149"/>
    <w:bookmarkEnd w:id="150"/>
    <w:p w14:paraId="287A35F1">
      <w:pPr>
        <w:spacing w:line="360" w:lineRule="auto"/>
        <w:ind w:firstLine="480" w:firstLineChars="200"/>
        <w:rPr>
          <w:bCs/>
          <w:sz w:val="24"/>
        </w:rPr>
      </w:pPr>
      <w:r>
        <w:rPr>
          <w:rFonts w:hint="eastAsia"/>
          <w:bCs/>
          <w:sz w:val="24"/>
        </w:rPr>
        <w:t>23.1公开开标后，直至向中标的投标人授予合同时止，凡是与审查、澄清、评价和比较投标的有关资料以及投标建议等，采购人、评委、代理机构均不得向投标人或与评标无关的其他人员透露。</w:t>
      </w:r>
    </w:p>
    <w:p w14:paraId="689CEACA">
      <w:pPr>
        <w:spacing w:line="360" w:lineRule="auto"/>
        <w:ind w:firstLine="480" w:firstLineChars="200"/>
        <w:rPr>
          <w:bCs/>
          <w:sz w:val="24"/>
        </w:rPr>
      </w:pPr>
      <w:r>
        <w:rPr>
          <w:rFonts w:hint="eastAsia"/>
          <w:bCs/>
          <w:sz w:val="24"/>
        </w:rPr>
        <w:t>23.2在评标过程中，投</w:t>
      </w:r>
      <w:r>
        <w:rPr>
          <w:rFonts w:hint="eastAsia"/>
          <w:sz w:val="24"/>
        </w:rPr>
        <w:t>标人不得以任何行为影响评标过程，否则其投标文件将被作</w:t>
      </w:r>
      <w:r>
        <w:rPr>
          <w:rFonts w:hint="eastAsia"/>
          <w:bCs/>
          <w:sz w:val="24"/>
        </w:rPr>
        <w:t>为无效投标文件。</w:t>
      </w:r>
    </w:p>
    <w:p w14:paraId="0C6AEF77">
      <w:pPr>
        <w:spacing w:line="360" w:lineRule="auto"/>
        <w:ind w:firstLine="480" w:firstLineChars="200"/>
        <w:rPr>
          <w:bCs/>
          <w:sz w:val="24"/>
        </w:rPr>
      </w:pPr>
      <w:r>
        <w:rPr>
          <w:rFonts w:hint="eastAsia"/>
          <w:bCs/>
          <w:sz w:val="24"/>
        </w:rPr>
        <w:t>23.3在评标期间，代理机构将设专门人员与投标人联系。</w:t>
      </w:r>
    </w:p>
    <w:p w14:paraId="48AE535C">
      <w:pPr>
        <w:spacing w:line="360" w:lineRule="auto"/>
        <w:ind w:firstLine="480" w:firstLineChars="200"/>
        <w:rPr>
          <w:bCs/>
          <w:sz w:val="24"/>
        </w:rPr>
      </w:pPr>
      <w:r>
        <w:rPr>
          <w:rFonts w:hint="eastAsia"/>
          <w:bCs/>
          <w:sz w:val="24"/>
        </w:rPr>
        <w:t>23.4 代理机构和评标委员会不得向落标的投标人解释未中标原因，也不公布评标过程中的相关细节。</w:t>
      </w:r>
    </w:p>
    <w:p w14:paraId="001712AF">
      <w:pPr>
        <w:spacing w:line="360" w:lineRule="auto"/>
        <w:ind w:firstLine="482" w:firstLineChars="200"/>
        <w:rPr>
          <w:b/>
          <w:sz w:val="24"/>
        </w:rPr>
      </w:pPr>
      <w:bookmarkStart w:id="151" w:name="_Toc513029232"/>
      <w:bookmarkStart w:id="152" w:name="_Toc20823304"/>
      <w:bookmarkStart w:id="153" w:name="_Toc16938548"/>
      <w:r>
        <w:rPr>
          <w:rFonts w:hint="eastAsia"/>
          <w:b/>
          <w:sz w:val="24"/>
        </w:rPr>
        <w:t>24.投标的澄清</w:t>
      </w:r>
      <w:bookmarkEnd w:id="151"/>
      <w:bookmarkEnd w:id="152"/>
      <w:bookmarkEnd w:id="153"/>
    </w:p>
    <w:p w14:paraId="7F8D7B36">
      <w:pPr>
        <w:spacing w:line="360" w:lineRule="auto"/>
        <w:ind w:firstLine="480" w:firstLineChars="200"/>
        <w:rPr>
          <w:rFonts w:hint="eastAsia"/>
          <w:bCs/>
          <w:sz w:val="24"/>
        </w:rPr>
      </w:pPr>
      <w:r>
        <w:rPr>
          <w:bCs/>
          <w:sz w:val="24"/>
        </w:rPr>
        <w:t>2</w:t>
      </w:r>
      <w:r>
        <w:rPr>
          <w:rFonts w:hint="eastAsia"/>
          <w:bCs/>
          <w:sz w:val="24"/>
        </w:rPr>
        <w:t>4.</w:t>
      </w:r>
      <w:r>
        <w:rPr>
          <w:bCs/>
          <w:sz w:val="24"/>
        </w:rPr>
        <w:t>1</w:t>
      </w:r>
      <w:r>
        <w:rPr>
          <w:rFonts w:hint="eastAsia"/>
          <w:bCs/>
          <w:sz w:val="24"/>
        </w:rPr>
        <w:t>评标期间，为有助于对投标文件的审查、评价和比较，评委会有权以书面形式要求投标人</w:t>
      </w:r>
    </w:p>
    <w:p w14:paraId="09FBF4B8">
      <w:pPr>
        <w:spacing w:line="360" w:lineRule="auto"/>
        <w:ind w:firstLine="480" w:firstLineChars="200"/>
        <w:rPr>
          <w:bCs/>
          <w:sz w:val="24"/>
        </w:rPr>
      </w:pPr>
      <w:r>
        <w:rPr>
          <w:rFonts w:hint="eastAsia"/>
          <w:bCs/>
          <w:sz w:val="24"/>
        </w:rPr>
        <w:t>对其投标文件进行澄清，但并非对每个投标人都作澄清要求。</w:t>
      </w:r>
    </w:p>
    <w:p w14:paraId="65DA5FA2">
      <w:pPr>
        <w:spacing w:line="360" w:lineRule="auto"/>
        <w:ind w:firstLine="480" w:firstLineChars="200"/>
        <w:rPr>
          <w:bCs/>
          <w:sz w:val="24"/>
        </w:rPr>
      </w:pPr>
      <w:r>
        <w:rPr>
          <w:rFonts w:hint="eastAsia"/>
          <w:bCs/>
          <w:sz w:val="24"/>
        </w:rPr>
        <w:t>24.2接到评委会澄清要求的投标人应派人按评委会通知的时间和地点做出书面澄清，书面澄清的内容须由投标人法人或授权代表签署，并作为投标文件的补充部分，但投标的价格和实质性的内容不得做任何更改。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013B8AD2">
      <w:pPr>
        <w:spacing w:line="360" w:lineRule="auto"/>
        <w:ind w:firstLine="480" w:firstLineChars="200"/>
        <w:rPr>
          <w:sz w:val="24"/>
        </w:rPr>
      </w:pPr>
      <w:r>
        <w:rPr>
          <w:rFonts w:hint="eastAsia"/>
          <w:bCs/>
          <w:sz w:val="24"/>
        </w:rPr>
        <w:t>24.3 接到评委会澄清要求的投标人如未按规定作出澄清，其风险由投标人自行承担。</w:t>
      </w:r>
    </w:p>
    <w:p w14:paraId="1B5F4544">
      <w:pPr>
        <w:spacing w:line="360" w:lineRule="auto"/>
        <w:ind w:firstLine="482" w:firstLineChars="200"/>
        <w:rPr>
          <w:b/>
          <w:sz w:val="24"/>
        </w:rPr>
      </w:pPr>
      <w:bookmarkStart w:id="154" w:name="_Toc513029233"/>
      <w:bookmarkStart w:id="155" w:name="_Toc20823305"/>
      <w:bookmarkStart w:id="156" w:name="_Toc16938549"/>
      <w:r>
        <w:rPr>
          <w:rFonts w:hint="eastAsia"/>
          <w:b/>
          <w:sz w:val="24"/>
        </w:rPr>
        <w:t>25.对投标文件的初审</w:t>
      </w:r>
      <w:bookmarkEnd w:id="154"/>
      <w:bookmarkEnd w:id="155"/>
      <w:bookmarkEnd w:id="156"/>
    </w:p>
    <w:p w14:paraId="43B8E5B3">
      <w:pPr>
        <w:spacing w:line="360" w:lineRule="auto"/>
        <w:ind w:firstLine="480" w:firstLineChars="200"/>
        <w:rPr>
          <w:bCs/>
          <w:sz w:val="24"/>
        </w:rPr>
      </w:pPr>
      <w:r>
        <w:rPr>
          <w:rFonts w:hint="eastAsia"/>
          <w:bCs/>
          <w:sz w:val="24"/>
        </w:rPr>
        <w:t>25.1投标文件初审分为资格性检查和符合性检查。</w:t>
      </w:r>
    </w:p>
    <w:p w14:paraId="05578351">
      <w:pPr>
        <w:spacing w:line="360" w:lineRule="auto"/>
        <w:ind w:firstLine="480" w:firstLineChars="200"/>
        <w:rPr>
          <w:bCs/>
          <w:sz w:val="24"/>
        </w:rPr>
      </w:pPr>
      <w:r>
        <w:rPr>
          <w:rFonts w:hint="eastAsia"/>
          <w:bCs/>
          <w:sz w:val="24"/>
        </w:rPr>
        <w:t>资格性检查：依据法律法规和招标文件的规定，对投标文件中的资格证明文件、投标保证金等进行审查，以确定投标供应商是否具备投标资格。</w:t>
      </w:r>
    </w:p>
    <w:p w14:paraId="2129AB2A">
      <w:pPr>
        <w:spacing w:line="360" w:lineRule="auto"/>
        <w:ind w:firstLine="480" w:firstLineChars="200"/>
        <w:rPr>
          <w:bCs/>
          <w:sz w:val="24"/>
        </w:rPr>
      </w:pPr>
      <w:r>
        <w:rPr>
          <w:rFonts w:hint="eastAsia"/>
          <w:bCs/>
          <w:sz w:val="24"/>
        </w:rPr>
        <w:t>符合性检查：依据招标文件的规定，从投标文件的有效性、完整性和对招标文件的响应程度进行审查，以确定是否对招标文件的实质性要求做出响应。</w:t>
      </w:r>
    </w:p>
    <w:p w14:paraId="04D0791E">
      <w:pPr>
        <w:spacing w:line="360" w:lineRule="auto"/>
        <w:ind w:firstLine="480" w:firstLineChars="200"/>
        <w:rPr>
          <w:bCs/>
          <w:sz w:val="24"/>
        </w:rPr>
      </w:pPr>
      <w:r>
        <w:rPr>
          <w:rFonts w:hint="eastAsia"/>
          <w:bCs/>
          <w:sz w:val="24"/>
        </w:rPr>
        <w:t>25.2在详细评标之前，评委会将首先审查每份投标文件是否实质性响应了招标文件的要求。实质性响应的投标应该是与招标文件要求的全部条款、条件和规格相符，没有重大偏离或保留的投标。</w:t>
      </w:r>
    </w:p>
    <w:p w14:paraId="41477833">
      <w:pPr>
        <w:spacing w:line="360" w:lineRule="auto"/>
        <w:ind w:firstLine="480" w:firstLineChars="200"/>
        <w:rPr>
          <w:bCs/>
          <w:sz w:val="24"/>
        </w:rPr>
      </w:pPr>
      <w:r>
        <w:rPr>
          <w:rFonts w:hint="eastAsia"/>
          <w:bCs/>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14:paraId="611FF616">
      <w:pPr>
        <w:spacing w:line="360" w:lineRule="auto"/>
        <w:ind w:firstLine="480" w:firstLineChars="200"/>
        <w:rPr>
          <w:bCs/>
          <w:sz w:val="24"/>
        </w:rPr>
      </w:pPr>
      <w:r>
        <w:rPr>
          <w:rFonts w:hint="eastAsia"/>
          <w:bCs/>
          <w:sz w:val="24"/>
        </w:rPr>
        <w:t>25.3如果投标文件实质上没有响应招标文件的要求，评委会将予以拒绝，投标人不得通过修改或撤销不符合要求的偏离或保留而使其投标成为实质性响应的投标。</w:t>
      </w:r>
    </w:p>
    <w:p w14:paraId="2CEC9B45">
      <w:pPr>
        <w:spacing w:line="360" w:lineRule="auto"/>
        <w:ind w:firstLine="480" w:firstLineChars="200"/>
        <w:rPr>
          <w:bCs/>
          <w:sz w:val="24"/>
        </w:rPr>
      </w:pPr>
      <w:r>
        <w:rPr>
          <w:rFonts w:hint="eastAsia"/>
          <w:bCs/>
          <w:sz w:val="24"/>
        </w:rPr>
        <w:t>25.4评委会将对确定为实质性响应的投标进行进一步审核，对投标文件中大小写金额不一致等问题的评审原则如下：</w:t>
      </w:r>
    </w:p>
    <w:p w14:paraId="5610CB93">
      <w:pPr>
        <w:spacing w:line="360" w:lineRule="auto"/>
        <w:ind w:firstLine="480" w:firstLineChars="200"/>
        <w:rPr>
          <w:bCs/>
          <w:sz w:val="24"/>
        </w:rPr>
      </w:pPr>
      <w:r>
        <w:rPr>
          <w:rFonts w:hint="eastAsia"/>
          <w:bCs/>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21F435B6">
      <w:pPr>
        <w:spacing w:line="360" w:lineRule="auto"/>
        <w:ind w:firstLine="480" w:firstLineChars="200"/>
        <w:rPr>
          <w:bCs/>
          <w:sz w:val="24"/>
        </w:rPr>
      </w:pPr>
      <w:r>
        <w:rPr>
          <w:rFonts w:hint="eastAsia"/>
          <w:bCs/>
          <w:sz w:val="24"/>
        </w:rPr>
        <w:t>25.5评委会将按上述修正错误的方法调整投标文件中的投标报价，调整后的价格对投标人具有约束力。如果投标人不接受修正后的价格，则其投标将被拒绝，其投标保证金不予退还。</w:t>
      </w:r>
    </w:p>
    <w:p w14:paraId="299A8CE5">
      <w:pPr>
        <w:spacing w:line="360" w:lineRule="auto"/>
        <w:ind w:firstLine="480" w:firstLineChars="200"/>
        <w:rPr>
          <w:bCs/>
          <w:sz w:val="24"/>
        </w:rPr>
      </w:pPr>
      <w:r>
        <w:rPr>
          <w:rFonts w:hint="eastAsia"/>
          <w:bCs/>
          <w:sz w:val="24"/>
        </w:rPr>
        <w:t>25.6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14:paraId="1F34C572">
      <w:pPr>
        <w:spacing w:line="360" w:lineRule="auto"/>
        <w:ind w:firstLine="482" w:firstLineChars="200"/>
        <w:rPr>
          <w:b/>
          <w:sz w:val="24"/>
        </w:rPr>
      </w:pPr>
      <w:bookmarkStart w:id="157" w:name="_Toc16938550"/>
      <w:bookmarkStart w:id="158" w:name="_Toc20823306"/>
      <w:bookmarkStart w:id="159" w:name="_Toc513029234"/>
      <w:r>
        <w:rPr>
          <w:rFonts w:hint="eastAsia"/>
          <w:b/>
          <w:sz w:val="24"/>
        </w:rPr>
        <w:t>26.</w:t>
      </w:r>
      <w:bookmarkEnd w:id="157"/>
      <w:bookmarkEnd w:id="158"/>
      <w:bookmarkEnd w:id="159"/>
      <w:r>
        <w:rPr>
          <w:rFonts w:hint="eastAsia"/>
          <w:b/>
          <w:sz w:val="24"/>
        </w:rPr>
        <w:t>无效投标条款和废标条款</w:t>
      </w:r>
    </w:p>
    <w:p w14:paraId="0B300A15">
      <w:pPr>
        <w:spacing w:line="360" w:lineRule="auto"/>
        <w:ind w:firstLine="482" w:firstLineChars="200"/>
        <w:rPr>
          <w:b/>
          <w:bCs/>
          <w:sz w:val="24"/>
        </w:rPr>
      </w:pPr>
      <w:bookmarkStart w:id="160" w:name="_Toc16938551"/>
      <w:bookmarkStart w:id="161" w:name="_Toc513029235"/>
      <w:bookmarkStart w:id="162" w:name="_Toc20823307"/>
      <w:r>
        <w:rPr>
          <w:rFonts w:hint="eastAsia"/>
          <w:b/>
          <w:bCs/>
          <w:sz w:val="24"/>
        </w:rPr>
        <w:t>26.1无效投标条款</w:t>
      </w:r>
    </w:p>
    <w:p w14:paraId="437B5BDF">
      <w:pPr>
        <w:spacing w:line="360" w:lineRule="auto"/>
        <w:ind w:firstLine="480" w:firstLineChars="200"/>
        <w:rPr>
          <w:bCs/>
          <w:sz w:val="24"/>
        </w:rPr>
      </w:pPr>
      <w:r>
        <w:rPr>
          <w:rFonts w:hint="eastAsia"/>
          <w:bCs/>
          <w:sz w:val="24"/>
        </w:rPr>
        <w:t>26.1.1未按要求缴纳投标保证金的（如有）；</w:t>
      </w:r>
    </w:p>
    <w:p w14:paraId="0048A628">
      <w:pPr>
        <w:spacing w:line="360" w:lineRule="auto"/>
        <w:ind w:firstLine="480" w:firstLineChars="200"/>
        <w:rPr>
          <w:bCs/>
          <w:sz w:val="24"/>
        </w:rPr>
      </w:pPr>
      <w:r>
        <w:rPr>
          <w:rFonts w:hint="eastAsia"/>
          <w:bCs/>
          <w:sz w:val="24"/>
        </w:rPr>
        <w:t>26.1.2未按照招标文件规定要求密封、签署、盖章的；</w:t>
      </w:r>
    </w:p>
    <w:p w14:paraId="438384E7">
      <w:pPr>
        <w:spacing w:line="360" w:lineRule="auto"/>
        <w:ind w:firstLine="480" w:firstLineChars="200"/>
        <w:rPr>
          <w:bCs/>
          <w:sz w:val="24"/>
        </w:rPr>
      </w:pPr>
      <w:r>
        <w:rPr>
          <w:rFonts w:hint="eastAsia"/>
          <w:bCs/>
          <w:sz w:val="24"/>
        </w:rPr>
        <w:t>26.1.3投标人在报价时采用选择性报价；</w:t>
      </w:r>
    </w:p>
    <w:p w14:paraId="1A99974F">
      <w:pPr>
        <w:spacing w:line="360" w:lineRule="auto"/>
        <w:ind w:firstLine="480" w:firstLineChars="200"/>
        <w:rPr>
          <w:bCs/>
          <w:sz w:val="24"/>
        </w:rPr>
      </w:pPr>
      <w:r>
        <w:rPr>
          <w:rFonts w:hint="eastAsia"/>
          <w:bCs/>
          <w:sz w:val="24"/>
        </w:rPr>
        <w:t>26.1.4投标人不具备招标文件中规定的资格要求的；</w:t>
      </w:r>
    </w:p>
    <w:p w14:paraId="65AF38FC">
      <w:pPr>
        <w:spacing w:line="360" w:lineRule="auto"/>
        <w:ind w:firstLine="480" w:firstLineChars="200"/>
        <w:rPr>
          <w:bCs/>
          <w:sz w:val="24"/>
        </w:rPr>
      </w:pPr>
      <w:r>
        <w:rPr>
          <w:rFonts w:hint="eastAsia"/>
          <w:bCs/>
          <w:sz w:val="24"/>
        </w:rPr>
        <w:t>26.1.5投标人的报价超过了采购预算的；</w:t>
      </w:r>
    </w:p>
    <w:p w14:paraId="5FAD7B89">
      <w:pPr>
        <w:spacing w:line="360" w:lineRule="auto"/>
        <w:ind w:firstLine="480" w:firstLineChars="200"/>
        <w:rPr>
          <w:bCs/>
          <w:sz w:val="24"/>
        </w:rPr>
      </w:pPr>
      <w:r>
        <w:rPr>
          <w:rFonts w:hint="eastAsia"/>
          <w:bCs/>
          <w:sz w:val="24"/>
        </w:rPr>
        <w:t>26.1.6未通过符合性检查的；</w:t>
      </w:r>
    </w:p>
    <w:p w14:paraId="254349CC">
      <w:pPr>
        <w:spacing w:line="360" w:lineRule="auto"/>
        <w:ind w:firstLine="480" w:firstLineChars="200"/>
        <w:rPr>
          <w:bCs/>
          <w:sz w:val="24"/>
        </w:rPr>
      </w:pPr>
      <w:r>
        <w:rPr>
          <w:rFonts w:hint="eastAsia"/>
          <w:bCs/>
          <w:sz w:val="24"/>
        </w:rPr>
        <w:t>26.1.7不符合招标文件中规定的其他实质性要求和条件的；</w:t>
      </w:r>
    </w:p>
    <w:p w14:paraId="7682AF10">
      <w:pPr>
        <w:spacing w:line="360" w:lineRule="auto"/>
        <w:ind w:firstLine="480" w:firstLineChars="200"/>
        <w:rPr>
          <w:bCs/>
          <w:sz w:val="24"/>
        </w:rPr>
      </w:pPr>
      <w:r>
        <w:rPr>
          <w:rFonts w:hint="eastAsia"/>
          <w:bCs/>
          <w:sz w:val="24"/>
        </w:rPr>
        <w:t>26.1.8其他法律、法规及本招标文件规定的无效投标的情形。</w:t>
      </w:r>
    </w:p>
    <w:p w14:paraId="61529CE6">
      <w:pPr>
        <w:spacing w:line="360" w:lineRule="auto"/>
        <w:ind w:firstLine="482" w:firstLineChars="200"/>
        <w:rPr>
          <w:b/>
          <w:bCs/>
          <w:sz w:val="24"/>
        </w:rPr>
      </w:pPr>
      <w:r>
        <w:rPr>
          <w:rFonts w:hint="eastAsia"/>
          <w:b/>
          <w:bCs/>
          <w:sz w:val="24"/>
        </w:rPr>
        <w:t xml:space="preserve">26.2废标条款：                                                                                                                                                                                                                                                                                                                                                                                                                                                                                                                                                                                                                                                                                                                                                                                                                                                                                                                                                                                                                                                                                                                                                                                                                                                                                                                                                                                                                                                                         </w:t>
      </w:r>
    </w:p>
    <w:p w14:paraId="4A5DCA9F">
      <w:pPr>
        <w:spacing w:line="360" w:lineRule="auto"/>
        <w:ind w:firstLine="480" w:firstLineChars="200"/>
        <w:rPr>
          <w:bCs/>
          <w:sz w:val="24"/>
        </w:rPr>
      </w:pPr>
      <w:r>
        <w:rPr>
          <w:rFonts w:hint="eastAsia"/>
          <w:bCs/>
          <w:sz w:val="24"/>
        </w:rPr>
        <w:t>26.2.1符合专业条件的供应商或者对招标文件作实质响应的供应商不足三家的；</w:t>
      </w:r>
    </w:p>
    <w:p w14:paraId="645D3742">
      <w:pPr>
        <w:spacing w:line="360" w:lineRule="auto"/>
        <w:ind w:firstLine="480" w:firstLineChars="200"/>
        <w:rPr>
          <w:bCs/>
          <w:sz w:val="24"/>
        </w:rPr>
      </w:pPr>
      <w:r>
        <w:rPr>
          <w:rFonts w:hint="eastAsia"/>
          <w:bCs/>
          <w:sz w:val="24"/>
        </w:rPr>
        <w:t>26.2.2出现影响采购公正的违法、违规行为的；</w:t>
      </w:r>
    </w:p>
    <w:p w14:paraId="12B27549">
      <w:pPr>
        <w:spacing w:line="360" w:lineRule="auto"/>
        <w:ind w:firstLine="480" w:firstLineChars="200"/>
        <w:rPr>
          <w:bCs/>
          <w:sz w:val="24"/>
        </w:rPr>
      </w:pPr>
      <w:r>
        <w:rPr>
          <w:rFonts w:hint="eastAsia"/>
          <w:bCs/>
          <w:sz w:val="24"/>
        </w:rPr>
        <w:t>26.2.3投标人的报价均超过最高限价，采购人不能支付的；</w:t>
      </w:r>
    </w:p>
    <w:p w14:paraId="4129434F">
      <w:pPr>
        <w:spacing w:line="360" w:lineRule="auto"/>
        <w:ind w:firstLine="480" w:firstLineChars="200"/>
        <w:rPr>
          <w:bCs/>
          <w:sz w:val="24"/>
        </w:rPr>
      </w:pPr>
      <w:r>
        <w:rPr>
          <w:rFonts w:hint="eastAsia"/>
          <w:bCs/>
          <w:sz w:val="24"/>
        </w:rPr>
        <w:t>26.2.4因重大变故，采购任务取消的；</w:t>
      </w:r>
    </w:p>
    <w:p w14:paraId="2F55D648">
      <w:pPr>
        <w:spacing w:line="360" w:lineRule="auto"/>
        <w:ind w:firstLine="480" w:firstLineChars="200"/>
        <w:rPr>
          <w:bCs/>
          <w:sz w:val="24"/>
        </w:rPr>
      </w:pPr>
      <w:r>
        <w:rPr>
          <w:rFonts w:hint="eastAsia"/>
          <w:bCs/>
          <w:sz w:val="24"/>
        </w:rPr>
        <w:t>26.2.5评标委员会认定招标文件存在歧义、 重大缺陷导致评审工作无法进行。</w:t>
      </w:r>
    </w:p>
    <w:p w14:paraId="6026C6C7">
      <w:pPr>
        <w:spacing w:line="360" w:lineRule="auto"/>
        <w:ind w:firstLine="480" w:firstLineChars="200"/>
        <w:rPr>
          <w:bCs/>
          <w:sz w:val="24"/>
        </w:rPr>
      </w:pPr>
      <w:r>
        <w:rPr>
          <w:rFonts w:hint="eastAsia"/>
          <w:bCs/>
          <w:sz w:val="24"/>
        </w:rPr>
        <w:t>26.3 投标截止时间结束后参加投标的供应商不足三家的处理：</w:t>
      </w:r>
    </w:p>
    <w:p w14:paraId="762BAD95">
      <w:pPr>
        <w:spacing w:line="360" w:lineRule="auto"/>
        <w:ind w:firstLine="480" w:firstLineChars="200"/>
        <w:rPr>
          <w:bCs/>
          <w:sz w:val="24"/>
        </w:rPr>
      </w:pPr>
      <w:r>
        <w:rPr>
          <w:rFonts w:hint="eastAsia"/>
          <w:bCs/>
          <w:sz w:val="24"/>
        </w:rPr>
        <w:t>26.3.1如出现投标截止时间结束后参加投标的供应商或者在评标期间对招标文件做出实质性响应的供应商不足三家情况，按照财政部第87号令第四十三条的规定执行。</w:t>
      </w:r>
    </w:p>
    <w:p w14:paraId="50D8997E">
      <w:pPr>
        <w:spacing w:line="360" w:lineRule="auto"/>
        <w:jc w:val="center"/>
        <w:rPr>
          <w:b/>
          <w:sz w:val="24"/>
        </w:rPr>
      </w:pPr>
      <w:bookmarkStart w:id="163" w:name="_Toc29821383"/>
      <w:bookmarkStart w:id="164" w:name="_Toc29821179"/>
      <w:bookmarkStart w:id="165" w:name="_Toc120614219"/>
      <w:bookmarkStart w:id="166" w:name="_Toc535667678"/>
      <w:r>
        <w:rPr>
          <w:rFonts w:hint="eastAsia"/>
          <w:b/>
          <w:sz w:val="24"/>
        </w:rPr>
        <w:t>六、</w:t>
      </w:r>
      <w:bookmarkEnd w:id="160"/>
      <w:bookmarkEnd w:id="161"/>
      <w:bookmarkEnd w:id="162"/>
      <w:r>
        <w:rPr>
          <w:rFonts w:hint="eastAsia"/>
          <w:b/>
          <w:sz w:val="24"/>
        </w:rPr>
        <w:t>定标</w:t>
      </w:r>
      <w:bookmarkEnd w:id="163"/>
      <w:bookmarkEnd w:id="164"/>
      <w:bookmarkEnd w:id="165"/>
      <w:bookmarkEnd w:id="166"/>
    </w:p>
    <w:p w14:paraId="07E6FF4F">
      <w:pPr>
        <w:spacing w:line="360" w:lineRule="auto"/>
        <w:ind w:firstLine="482" w:firstLineChars="200"/>
        <w:rPr>
          <w:b/>
          <w:sz w:val="24"/>
        </w:rPr>
      </w:pPr>
      <w:bookmarkStart w:id="167" w:name="_Toc513029238"/>
      <w:bookmarkStart w:id="168" w:name="_Toc20823310"/>
      <w:bookmarkStart w:id="169" w:name="_Toc16938554"/>
      <w:r>
        <w:rPr>
          <w:rFonts w:hint="eastAsia"/>
          <w:b/>
          <w:sz w:val="24"/>
        </w:rPr>
        <w:t>27.</w:t>
      </w:r>
      <w:bookmarkEnd w:id="167"/>
      <w:r>
        <w:rPr>
          <w:rFonts w:hint="eastAsia"/>
          <w:b/>
          <w:sz w:val="24"/>
        </w:rPr>
        <w:t>确定</w:t>
      </w:r>
      <w:bookmarkEnd w:id="168"/>
      <w:bookmarkEnd w:id="169"/>
      <w:r>
        <w:rPr>
          <w:rFonts w:hint="eastAsia"/>
          <w:b/>
          <w:sz w:val="24"/>
        </w:rPr>
        <w:t>中标单位</w:t>
      </w:r>
    </w:p>
    <w:p w14:paraId="1A361467">
      <w:pPr>
        <w:spacing w:line="360" w:lineRule="auto"/>
        <w:ind w:firstLine="480" w:firstLineChars="200"/>
        <w:rPr>
          <w:bCs/>
          <w:sz w:val="24"/>
        </w:rPr>
      </w:pPr>
      <w:r>
        <w:rPr>
          <w:rFonts w:hint="eastAsia"/>
          <w:bCs/>
          <w:sz w:val="24"/>
        </w:rPr>
        <w:t>27.1评委会根据本招标文件规定的评分办法与评分标准评出中标人。</w:t>
      </w:r>
    </w:p>
    <w:p w14:paraId="7FE561B7">
      <w:pPr>
        <w:spacing w:line="360" w:lineRule="auto"/>
        <w:ind w:firstLine="480" w:firstLineChars="200"/>
        <w:rPr>
          <w:b/>
          <w:bCs/>
          <w:sz w:val="24"/>
        </w:rPr>
      </w:pPr>
      <w:r>
        <w:rPr>
          <w:rFonts w:hint="eastAsia"/>
          <w:bCs/>
          <w:sz w:val="24"/>
        </w:rPr>
        <w:t>27.2</w:t>
      </w:r>
      <w:r>
        <w:rPr>
          <w:rFonts w:hint="eastAsia"/>
          <w:b/>
          <w:bCs/>
          <w:sz w:val="24"/>
        </w:rPr>
        <w:t>代理机构将在“南通市公安局官网”发布中标公告，公告期限为1个工作日。</w:t>
      </w:r>
    </w:p>
    <w:p w14:paraId="10BDBB43">
      <w:pPr>
        <w:spacing w:line="360" w:lineRule="auto"/>
        <w:ind w:firstLine="480" w:firstLineChars="200"/>
        <w:rPr>
          <w:b/>
          <w:bCs/>
          <w:sz w:val="24"/>
        </w:rPr>
      </w:pPr>
      <w:r>
        <w:rPr>
          <w:rFonts w:hint="eastAsia"/>
          <w:bCs/>
          <w:sz w:val="24"/>
        </w:rPr>
        <w:t>27.3</w:t>
      </w:r>
      <w:r>
        <w:rPr>
          <w:rFonts w:hint="eastAsia"/>
          <w:b/>
          <w:bCs/>
          <w:sz w:val="24"/>
        </w:rPr>
        <w:t>若有充分证据证明，中标人出现下列情况之一的，一经查实，将被取消中标资格：</w:t>
      </w:r>
    </w:p>
    <w:p w14:paraId="5B094033">
      <w:pPr>
        <w:spacing w:line="360" w:lineRule="auto"/>
        <w:ind w:firstLine="480" w:firstLineChars="200"/>
        <w:rPr>
          <w:bCs/>
          <w:sz w:val="24"/>
        </w:rPr>
      </w:pPr>
      <w:r>
        <w:rPr>
          <w:rFonts w:hint="eastAsia"/>
          <w:bCs/>
          <w:sz w:val="24"/>
        </w:rPr>
        <w:t>27.3.1提供虚假材料谋取中标的；</w:t>
      </w:r>
    </w:p>
    <w:p w14:paraId="7431EAB0">
      <w:pPr>
        <w:spacing w:line="360" w:lineRule="auto"/>
        <w:ind w:firstLine="480" w:firstLineChars="200"/>
        <w:rPr>
          <w:bCs/>
          <w:sz w:val="24"/>
        </w:rPr>
      </w:pPr>
      <w:r>
        <w:rPr>
          <w:rFonts w:hint="eastAsia"/>
          <w:bCs/>
          <w:sz w:val="24"/>
        </w:rPr>
        <w:t>27.3.2向采购人、代理机构行贿或者提供其他不正当利益的；</w:t>
      </w:r>
    </w:p>
    <w:p w14:paraId="74683515">
      <w:pPr>
        <w:spacing w:line="360" w:lineRule="auto"/>
        <w:ind w:firstLine="480" w:firstLineChars="200"/>
        <w:rPr>
          <w:bCs/>
          <w:sz w:val="24"/>
        </w:rPr>
      </w:pPr>
      <w:r>
        <w:rPr>
          <w:rFonts w:hint="eastAsia"/>
          <w:bCs/>
          <w:sz w:val="24"/>
        </w:rPr>
        <w:t>27.3.3恶意竞争，投标总报价明显低于其自身合理成本且又无法提供证明的；</w:t>
      </w:r>
    </w:p>
    <w:p w14:paraId="187D6E62">
      <w:pPr>
        <w:spacing w:line="360" w:lineRule="auto"/>
        <w:ind w:firstLine="480" w:firstLineChars="200"/>
        <w:rPr>
          <w:bCs/>
          <w:sz w:val="24"/>
        </w:rPr>
      </w:pPr>
      <w:r>
        <w:rPr>
          <w:rFonts w:hint="eastAsia"/>
          <w:bCs/>
          <w:sz w:val="24"/>
        </w:rPr>
        <w:t>27.3.4属于本文件规定的无效条件，但在评标过程中又未被评委会发现的；</w:t>
      </w:r>
    </w:p>
    <w:p w14:paraId="3613BC04">
      <w:pPr>
        <w:spacing w:line="360" w:lineRule="auto"/>
        <w:ind w:firstLine="480" w:firstLineChars="200"/>
        <w:rPr>
          <w:bCs/>
          <w:sz w:val="24"/>
        </w:rPr>
      </w:pPr>
      <w:r>
        <w:rPr>
          <w:rFonts w:hint="eastAsia"/>
          <w:bCs/>
          <w:sz w:val="24"/>
        </w:rPr>
        <w:t>27.3.5与采购人或者其他供应商恶意串通的；</w:t>
      </w:r>
    </w:p>
    <w:p w14:paraId="6CB6FB46">
      <w:pPr>
        <w:spacing w:line="360" w:lineRule="auto"/>
        <w:ind w:firstLine="480" w:firstLineChars="200"/>
        <w:rPr>
          <w:bCs/>
          <w:sz w:val="24"/>
        </w:rPr>
      </w:pPr>
      <w:r>
        <w:rPr>
          <w:rFonts w:hint="eastAsia"/>
          <w:bCs/>
          <w:sz w:val="24"/>
        </w:rPr>
        <w:t>27.3.6采取不正当手段诋毁、排挤其他供应商的；</w:t>
      </w:r>
    </w:p>
    <w:p w14:paraId="00369B48">
      <w:pPr>
        <w:spacing w:line="360" w:lineRule="auto"/>
        <w:ind w:firstLine="480" w:firstLineChars="200"/>
        <w:rPr>
          <w:bCs/>
          <w:sz w:val="24"/>
        </w:rPr>
      </w:pPr>
      <w:r>
        <w:rPr>
          <w:rFonts w:hint="eastAsia"/>
          <w:bCs/>
          <w:sz w:val="24"/>
        </w:rPr>
        <w:t>27.3.7不符合法律法规的规定的。</w:t>
      </w:r>
      <w:bookmarkStart w:id="170" w:name="_Toc200451960"/>
    </w:p>
    <w:p w14:paraId="5972CA1B">
      <w:pPr>
        <w:spacing w:line="360" w:lineRule="auto"/>
        <w:ind w:firstLine="480" w:firstLineChars="200"/>
        <w:rPr>
          <w:b/>
          <w:bCs/>
          <w:sz w:val="24"/>
        </w:rPr>
      </w:pPr>
      <w:r>
        <w:rPr>
          <w:rFonts w:hint="eastAsia"/>
          <w:bCs/>
          <w:sz w:val="24"/>
        </w:rPr>
        <w:t>27.4.</w:t>
      </w:r>
      <w:r>
        <w:rPr>
          <w:b/>
          <w:bCs/>
          <w:sz w:val="24"/>
        </w:rPr>
        <w:t>有下列情形之一的，属于恶意串通</w:t>
      </w:r>
      <w:r>
        <w:rPr>
          <w:rFonts w:hint="eastAsia"/>
          <w:b/>
          <w:bCs/>
          <w:sz w:val="24"/>
        </w:rPr>
        <w:t>：</w:t>
      </w:r>
    </w:p>
    <w:p w14:paraId="04A3727D">
      <w:pPr>
        <w:spacing w:line="360" w:lineRule="auto"/>
        <w:ind w:firstLine="480" w:firstLineChars="200"/>
        <w:rPr>
          <w:bCs/>
          <w:sz w:val="24"/>
        </w:rPr>
      </w:pPr>
      <w:r>
        <w:rPr>
          <w:rFonts w:hint="eastAsia"/>
          <w:bCs/>
          <w:sz w:val="24"/>
        </w:rPr>
        <w:t>27.4.1</w:t>
      </w:r>
      <w:r>
        <w:rPr>
          <w:bCs/>
          <w:sz w:val="24"/>
        </w:rPr>
        <w:t>供应商直接或者间接从采购人或者采购代理机构处获得其他供应商的相关情况并修改其投标文件或者响应文件；</w:t>
      </w:r>
    </w:p>
    <w:p w14:paraId="32164522">
      <w:pPr>
        <w:spacing w:line="360" w:lineRule="auto"/>
        <w:ind w:firstLine="480" w:firstLineChars="200"/>
        <w:rPr>
          <w:bCs/>
          <w:sz w:val="24"/>
        </w:rPr>
      </w:pPr>
      <w:r>
        <w:rPr>
          <w:rFonts w:hint="eastAsia"/>
          <w:bCs/>
          <w:sz w:val="24"/>
        </w:rPr>
        <w:t>27.4.2</w:t>
      </w:r>
      <w:r>
        <w:rPr>
          <w:bCs/>
          <w:sz w:val="24"/>
        </w:rPr>
        <w:t>供应商按照采购人或者采购代理机构的授意撤换、修改投标文件或者响应文件；</w:t>
      </w:r>
    </w:p>
    <w:p w14:paraId="1BEF6FC1">
      <w:pPr>
        <w:spacing w:line="360" w:lineRule="auto"/>
        <w:ind w:firstLine="480" w:firstLineChars="200"/>
        <w:rPr>
          <w:bCs/>
          <w:sz w:val="24"/>
        </w:rPr>
      </w:pPr>
      <w:r>
        <w:rPr>
          <w:rFonts w:hint="eastAsia"/>
          <w:bCs/>
          <w:sz w:val="24"/>
        </w:rPr>
        <w:t>27.4.3</w:t>
      </w:r>
      <w:r>
        <w:rPr>
          <w:bCs/>
          <w:sz w:val="24"/>
        </w:rPr>
        <w:t>供应商之间协商报价、技术方案等投标文件或者响应文件的实质性内容；</w:t>
      </w:r>
    </w:p>
    <w:p w14:paraId="1A131EDE">
      <w:pPr>
        <w:spacing w:line="360" w:lineRule="auto"/>
        <w:ind w:firstLine="480" w:firstLineChars="200"/>
        <w:rPr>
          <w:bCs/>
          <w:sz w:val="24"/>
        </w:rPr>
      </w:pPr>
      <w:r>
        <w:rPr>
          <w:rFonts w:hint="eastAsia"/>
          <w:bCs/>
          <w:sz w:val="24"/>
        </w:rPr>
        <w:t>27.4.4</w:t>
      </w:r>
      <w:r>
        <w:rPr>
          <w:bCs/>
          <w:sz w:val="24"/>
        </w:rPr>
        <w:t>属于同一集团、协会、商会等组织成员的供应商按照该组织要求协同参加采购活动；</w:t>
      </w:r>
    </w:p>
    <w:p w14:paraId="779AF7DE">
      <w:pPr>
        <w:spacing w:line="360" w:lineRule="auto"/>
        <w:ind w:firstLine="480" w:firstLineChars="200"/>
        <w:rPr>
          <w:bCs/>
          <w:sz w:val="24"/>
        </w:rPr>
      </w:pPr>
      <w:r>
        <w:rPr>
          <w:rFonts w:hint="eastAsia"/>
          <w:bCs/>
          <w:sz w:val="24"/>
        </w:rPr>
        <w:t>27.4.5</w:t>
      </w:r>
      <w:r>
        <w:rPr>
          <w:bCs/>
          <w:sz w:val="24"/>
        </w:rPr>
        <w:t>供应商之间事先约定由某一特定供应商中标、成交；</w:t>
      </w:r>
    </w:p>
    <w:p w14:paraId="10978B56">
      <w:pPr>
        <w:spacing w:line="360" w:lineRule="auto"/>
        <w:ind w:firstLine="480" w:firstLineChars="200"/>
        <w:rPr>
          <w:bCs/>
          <w:sz w:val="24"/>
        </w:rPr>
      </w:pPr>
      <w:r>
        <w:rPr>
          <w:rFonts w:hint="eastAsia"/>
          <w:bCs/>
          <w:sz w:val="24"/>
        </w:rPr>
        <w:t>27.4.6</w:t>
      </w:r>
      <w:r>
        <w:rPr>
          <w:bCs/>
          <w:sz w:val="24"/>
        </w:rPr>
        <w:t>供应商之间商定部分供应商放弃参加采购活动或者放弃中标、成交；</w:t>
      </w:r>
    </w:p>
    <w:p w14:paraId="22EEAF77">
      <w:pPr>
        <w:spacing w:line="360" w:lineRule="auto"/>
        <w:ind w:firstLine="480" w:firstLineChars="200"/>
        <w:rPr>
          <w:bCs/>
          <w:sz w:val="24"/>
        </w:rPr>
      </w:pPr>
      <w:r>
        <w:rPr>
          <w:rFonts w:hint="eastAsia"/>
          <w:bCs/>
          <w:sz w:val="24"/>
        </w:rPr>
        <w:t>27.4.7</w:t>
      </w:r>
      <w:r>
        <w:rPr>
          <w:bCs/>
          <w:sz w:val="24"/>
        </w:rPr>
        <w:t>供应商与采购人或者采购代理机构之间、供应商相互之间，为谋求特定供应商中标、成交或者排斥其他供应商的其他串通行为。</w:t>
      </w:r>
    </w:p>
    <w:p w14:paraId="45DAE703">
      <w:pPr>
        <w:spacing w:line="360" w:lineRule="auto"/>
        <w:ind w:firstLine="482" w:firstLineChars="200"/>
        <w:rPr>
          <w:b/>
          <w:sz w:val="24"/>
        </w:rPr>
      </w:pPr>
      <w:r>
        <w:rPr>
          <w:rFonts w:hint="eastAsia"/>
          <w:b/>
          <w:sz w:val="24"/>
        </w:rPr>
        <w:t>28.质疑处理</w:t>
      </w:r>
      <w:bookmarkEnd w:id="170"/>
    </w:p>
    <w:p w14:paraId="2F3840D5">
      <w:pPr>
        <w:spacing w:line="360" w:lineRule="auto"/>
        <w:ind w:firstLine="480" w:firstLineChars="200"/>
        <w:rPr>
          <w:bCs/>
          <w:sz w:val="24"/>
        </w:rPr>
      </w:pPr>
      <w:r>
        <w:rPr>
          <w:rFonts w:hint="eastAsia"/>
          <w:bCs/>
          <w:sz w:val="24"/>
        </w:rPr>
        <w:t>28.1参加投标供应商认为采购文件、采购过程和采购结果使自己的权益受到损害的，</w:t>
      </w:r>
      <w:r>
        <w:rPr>
          <w:rFonts w:hint="eastAsia"/>
          <w:b/>
          <w:bCs/>
          <w:sz w:val="24"/>
        </w:rPr>
        <w:t>可以在知道或应知其权益受到损害之日起七个工作日内</w:t>
      </w:r>
      <w:r>
        <w:rPr>
          <w:rFonts w:hint="eastAsia"/>
          <w:bCs/>
          <w:sz w:val="24"/>
        </w:rPr>
        <w:t>，以书面形式向代理机构或采购人提出质疑。上述应知其权益受到损害之日，是指：</w:t>
      </w:r>
    </w:p>
    <w:p w14:paraId="19579A94">
      <w:pPr>
        <w:spacing w:line="360" w:lineRule="auto"/>
        <w:ind w:firstLine="480" w:firstLineChars="200"/>
        <w:rPr>
          <w:rFonts w:hint="eastAsia"/>
          <w:bCs/>
          <w:sz w:val="24"/>
        </w:rPr>
      </w:pPr>
      <w:r>
        <w:rPr>
          <w:rFonts w:hint="eastAsia"/>
          <w:bCs/>
          <w:sz w:val="24"/>
        </w:rPr>
        <w:t>28.1.1</w:t>
      </w:r>
      <w:r>
        <w:rPr>
          <w:bCs/>
          <w:sz w:val="24"/>
        </w:rPr>
        <w:t>对可以质疑的采购文件提出质疑的，为收到采购文件之日或者采购文件公告期限届满之日；</w:t>
      </w:r>
    </w:p>
    <w:p w14:paraId="34D7AC03">
      <w:pPr>
        <w:spacing w:line="360" w:lineRule="auto"/>
        <w:ind w:firstLine="480" w:firstLineChars="200"/>
        <w:rPr>
          <w:rFonts w:hint="eastAsia"/>
          <w:bCs/>
          <w:sz w:val="24"/>
        </w:rPr>
      </w:pPr>
      <w:r>
        <w:rPr>
          <w:rFonts w:hint="eastAsia"/>
          <w:bCs/>
          <w:sz w:val="24"/>
        </w:rPr>
        <w:t>28.1.2</w:t>
      </w:r>
      <w:r>
        <w:rPr>
          <w:bCs/>
          <w:sz w:val="24"/>
        </w:rPr>
        <w:t>对采购过程提出质疑的，为各采购程序环节结束之日；</w:t>
      </w:r>
    </w:p>
    <w:p w14:paraId="6A18BD87">
      <w:pPr>
        <w:spacing w:line="360" w:lineRule="auto"/>
        <w:ind w:firstLine="480" w:firstLineChars="200"/>
        <w:rPr>
          <w:bCs/>
          <w:sz w:val="24"/>
        </w:rPr>
      </w:pPr>
      <w:r>
        <w:rPr>
          <w:rFonts w:hint="eastAsia"/>
          <w:bCs/>
          <w:sz w:val="24"/>
        </w:rPr>
        <w:t>28.1.3</w:t>
      </w:r>
      <w:r>
        <w:rPr>
          <w:bCs/>
          <w:sz w:val="24"/>
        </w:rPr>
        <w:t>对中标或者成交结果提出质疑的，为中标或者成交结果公告期限届满之日。</w:t>
      </w:r>
    </w:p>
    <w:p w14:paraId="68679C5A">
      <w:pPr>
        <w:spacing w:line="360" w:lineRule="auto"/>
        <w:ind w:firstLine="480" w:firstLineChars="200"/>
        <w:rPr>
          <w:bCs/>
          <w:sz w:val="24"/>
        </w:rPr>
      </w:pPr>
      <w:r>
        <w:rPr>
          <w:rFonts w:hint="eastAsia"/>
          <w:bCs/>
          <w:sz w:val="24"/>
        </w:rPr>
        <w:t>28.2质疑必须以参加投标供应商法定代表人或授权代表（投标文件中所确定的）原件送达的方式提交，未按上述要求提交的质疑函（含传真、电子邮件等）代理机构有权不予受理。</w:t>
      </w:r>
    </w:p>
    <w:p w14:paraId="2789D7C8">
      <w:pPr>
        <w:spacing w:line="360" w:lineRule="auto"/>
        <w:ind w:firstLine="480" w:firstLineChars="200"/>
        <w:rPr>
          <w:bCs/>
          <w:sz w:val="24"/>
        </w:rPr>
      </w:pPr>
      <w:r>
        <w:rPr>
          <w:rFonts w:hint="eastAsia"/>
          <w:bCs/>
          <w:sz w:val="24"/>
        </w:rPr>
        <w:t>28.3未参加投标活动的供应商或在投标活动中自身权益未受到损害的供应商所提出的质疑不予受理。</w:t>
      </w:r>
    </w:p>
    <w:p w14:paraId="7C3C1899">
      <w:pPr>
        <w:spacing w:line="360" w:lineRule="auto"/>
        <w:ind w:firstLine="480" w:firstLineChars="200"/>
        <w:rPr>
          <w:b/>
          <w:bCs/>
          <w:sz w:val="24"/>
        </w:rPr>
      </w:pPr>
      <w:r>
        <w:rPr>
          <w:rFonts w:hint="eastAsia"/>
          <w:bCs/>
          <w:sz w:val="24"/>
        </w:rPr>
        <w:t>28.4</w:t>
      </w:r>
      <w:r>
        <w:rPr>
          <w:rFonts w:hint="eastAsia"/>
          <w:b/>
          <w:bCs/>
          <w:sz w:val="24"/>
        </w:rPr>
        <w:t>质疑函应当包括下列内容：</w:t>
      </w:r>
    </w:p>
    <w:p w14:paraId="7311EA99">
      <w:pPr>
        <w:spacing w:line="360" w:lineRule="auto"/>
        <w:ind w:firstLine="480" w:firstLineChars="200"/>
        <w:rPr>
          <w:bCs/>
          <w:sz w:val="24"/>
        </w:rPr>
      </w:pPr>
      <w:r>
        <w:rPr>
          <w:rFonts w:hint="eastAsia"/>
          <w:bCs/>
          <w:sz w:val="24"/>
        </w:rPr>
        <w:t>28.4.1质疑投标人的名称、地址、邮编、联系人、联系电话；</w:t>
      </w:r>
    </w:p>
    <w:p w14:paraId="028811E8">
      <w:pPr>
        <w:spacing w:line="360" w:lineRule="auto"/>
        <w:ind w:firstLine="480" w:firstLineChars="200"/>
        <w:rPr>
          <w:bCs/>
          <w:sz w:val="24"/>
        </w:rPr>
      </w:pPr>
      <w:r>
        <w:rPr>
          <w:rFonts w:hint="eastAsia"/>
          <w:bCs/>
          <w:sz w:val="24"/>
        </w:rPr>
        <w:t>28.4.2具体的质疑事项及明确的请求；</w:t>
      </w:r>
    </w:p>
    <w:p w14:paraId="6F833D9F">
      <w:pPr>
        <w:spacing w:line="360" w:lineRule="auto"/>
        <w:ind w:firstLine="480" w:firstLineChars="200"/>
        <w:rPr>
          <w:bCs/>
          <w:sz w:val="24"/>
        </w:rPr>
      </w:pPr>
      <w:r>
        <w:rPr>
          <w:rFonts w:hint="eastAsia"/>
          <w:bCs/>
          <w:sz w:val="24"/>
        </w:rPr>
        <w:t>28.4.3认为自己合法权益受到损害或可能受到损害的相关证据材料；</w:t>
      </w:r>
    </w:p>
    <w:p w14:paraId="6D8F2385">
      <w:pPr>
        <w:spacing w:line="360" w:lineRule="auto"/>
        <w:ind w:firstLine="480" w:firstLineChars="200"/>
        <w:rPr>
          <w:bCs/>
          <w:sz w:val="24"/>
        </w:rPr>
      </w:pPr>
      <w:r>
        <w:rPr>
          <w:rFonts w:hint="eastAsia"/>
          <w:bCs/>
          <w:sz w:val="24"/>
        </w:rPr>
        <w:t>28.4.4提起质疑的日期；</w:t>
      </w:r>
    </w:p>
    <w:p w14:paraId="37E23A0A">
      <w:pPr>
        <w:spacing w:line="360" w:lineRule="auto"/>
        <w:ind w:firstLine="480" w:firstLineChars="200"/>
        <w:rPr>
          <w:bCs/>
          <w:sz w:val="24"/>
        </w:rPr>
      </w:pPr>
      <w:r>
        <w:rPr>
          <w:rFonts w:hint="eastAsia"/>
          <w:bCs/>
          <w:sz w:val="24"/>
        </w:rPr>
        <w:t>28.4.5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14:paraId="4B97EDA3">
      <w:pPr>
        <w:spacing w:line="360" w:lineRule="auto"/>
        <w:ind w:firstLine="480" w:firstLineChars="200"/>
        <w:rPr>
          <w:bCs/>
          <w:sz w:val="24"/>
        </w:rPr>
      </w:pPr>
      <w:r>
        <w:rPr>
          <w:rFonts w:hint="eastAsia"/>
          <w:bCs/>
          <w:sz w:val="24"/>
        </w:rPr>
        <w:t>28.5代理机构收到质疑函后，将对质疑的形式和内容进行审查，如质疑函内容、格式不符合规定，代理机构将告知质疑人进行补正。</w:t>
      </w:r>
    </w:p>
    <w:p w14:paraId="3A0D9B79">
      <w:pPr>
        <w:spacing w:line="360" w:lineRule="auto"/>
        <w:ind w:firstLine="480" w:firstLineChars="200"/>
        <w:rPr>
          <w:bCs/>
          <w:sz w:val="24"/>
        </w:rPr>
      </w:pPr>
      <w:r>
        <w:rPr>
          <w:rFonts w:hint="eastAsia"/>
          <w:bCs/>
          <w:sz w:val="24"/>
        </w:rPr>
        <w:t>28.6质疑人应当在法定质疑期限内进行补正并重新提交质疑函，拒不补正或者在法定期限内未重新提交质疑函的，为无效质疑，代理机构有权不予受理。</w:t>
      </w:r>
    </w:p>
    <w:p w14:paraId="3F719ACB">
      <w:pPr>
        <w:spacing w:line="360" w:lineRule="auto"/>
        <w:ind w:firstLine="480" w:firstLineChars="200"/>
        <w:rPr>
          <w:bCs/>
          <w:sz w:val="24"/>
        </w:rPr>
      </w:pPr>
      <w:r>
        <w:rPr>
          <w:rFonts w:hint="eastAsia"/>
          <w:bCs/>
          <w:sz w:val="24"/>
        </w:rPr>
        <w:t>28.7对于内容、格式符合规定的质疑函，</w:t>
      </w:r>
      <w:r>
        <w:rPr>
          <w:rFonts w:hint="eastAsia"/>
          <w:b/>
          <w:bCs/>
          <w:sz w:val="24"/>
        </w:rPr>
        <w:t>代理机构应当在收到投标供应商的书面质疑后作出答复</w:t>
      </w:r>
      <w:r>
        <w:rPr>
          <w:rFonts w:hint="eastAsia"/>
          <w:bCs/>
          <w:sz w:val="24"/>
        </w:rPr>
        <w:t>，并以书面形式通知质疑供应商和其他有关供应商，但答复的内容不得涉及商业秘密。</w:t>
      </w:r>
    </w:p>
    <w:p w14:paraId="44B8C68D">
      <w:pPr>
        <w:spacing w:line="360" w:lineRule="auto"/>
        <w:ind w:firstLine="480" w:firstLineChars="200"/>
        <w:rPr>
          <w:bCs/>
          <w:sz w:val="24"/>
        </w:rPr>
      </w:pPr>
      <w:r>
        <w:rPr>
          <w:rFonts w:hint="eastAsia"/>
          <w:bCs/>
          <w:sz w:val="24"/>
        </w:rPr>
        <w:t>28.8投标人提出书面质疑必须有理、有据，不得恶意质疑或提交虚假质疑。</w:t>
      </w:r>
    </w:p>
    <w:p w14:paraId="0A129F51">
      <w:pPr>
        <w:spacing w:line="360" w:lineRule="auto"/>
        <w:ind w:firstLine="482" w:firstLineChars="200"/>
        <w:rPr>
          <w:b/>
          <w:sz w:val="24"/>
        </w:rPr>
      </w:pPr>
      <w:r>
        <w:rPr>
          <w:rFonts w:hint="eastAsia"/>
          <w:b/>
          <w:sz w:val="24"/>
        </w:rPr>
        <w:t>29.中标通知书</w:t>
      </w:r>
    </w:p>
    <w:p w14:paraId="6BF475EB">
      <w:pPr>
        <w:spacing w:line="360" w:lineRule="auto"/>
        <w:ind w:firstLine="480" w:firstLineChars="200"/>
        <w:rPr>
          <w:bCs/>
          <w:sz w:val="24"/>
        </w:rPr>
      </w:pPr>
      <w:r>
        <w:rPr>
          <w:rFonts w:hint="eastAsia"/>
          <w:sz w:val="24"/>
        </w:rPr>
        <w:t>29</w:t>
      </w:r>
      <w:r>
        <w:rPr>
          <w:rFonts w:hint="eastAsia"/>
          <w:bCs/>
          <w:sz w:val="24"/>
        </w:rPr>
        <w:t>.l 中标结果确定后，代理机构将向中标供应商发出中标通知书。</w:t>
      </w:r>
    </w:p>
    <w:p w14:paraId="53D5C42A">
      <w:pPr>
        <w:spacing w:line="360" w:lineRule="auto"/>
        <w:ind w:firstLine="480" w:firstLineChars="200"/>
        <w:rPr>
          <w:bCs/>
          <w:sz w:val="24"/>
        </w:rPr>
      </w:pPr>
      <w:r>
        <w:rPr>
          <w:rFonts w:hint="eastAsia"/>
          <w:sz w:val="24"/>
        </w:rPr>
        <w:t>29</w:t>
      </w:r>
      <w:r>
        <w:rPr>
          <w:rFonts w:hint="eastAsia"/>
          <w:bCs/>
          <w:sz w:val="24"/>
        </w:rPr>
        <w:t>.2 中标供应商法定代表人或授权代表（投标文件中所确定的）须到代理机构现场签收中标通知书。</w:t>
      </w:r>
    </w:p>
    <w:p w14:paraId="223EEDE3">
      <w:pPr>
        <w:spacing w:line="360" w:lineRule="auto"/>
        <w:ind w:firstLine="480" w:firstLineChars="200"/>
        <w:rPr>
          <w:bCs/>
          <w:sz w:val="24"/>
        </w:rPr>
      </w:pPr>
      <w:r>
        <w:rPr>
          <w:rFonts w:hint="eastAsia"/>
          <w:sz w:val="24"/>
        </w:rPr>
        <w:t>29</w:t>
      </w:r>
      <w:r>
        <w:rPr>
          <w:rFonts w:hint="eastAsia"/>
          <w:bCs/>
          <w:sz w:val="24"/>
        </w:rPr>
        <w:t>.3中标通知书将是合同的一个组成部分。对采购人和中标供应商均具有法律效力。中标通知书发出后，采购人改变中标结果的，或者中标供应商放弃中标项目的，应当依法承担法律责任。</w:t>
      </w:r>
    </w:p>
    <w:p w14:paraId="34E0F485">
      <w:pPr>
        <w:spacing w:line="360" w:lineRule="auto"/>
        <w:jc w:val="center"/>
        <w:rPr>
          <w:b/>
          <w:sz w:val="24"/>
        </w:rPr>
      </w:pPr>
      <w:bookmarkStart w:id="171" w:name="_Toc120614220"/>
      <w:bookmarkStart w:id="172" w:name="_Toc29821384"/>
      <w:bookmarkStart w:id="173" w:name="_Toc29821180"/>
      <w:bookmarkStart w:id="174" w:name="_Toc535667679"/>
      <w:bookmarkStart w:id="175" w:name="_Toc16938552"/>
      <w:bookmarkStart w:id="176" w:name="_Toc20823308"/>
      <w:bookmarkStart w:id="177" w:name="_Toc513029236"/>
      <w:r>
        <w:rPr>
          <w:rFonts w:hint="eastAsia"/>
          <w:b/>
          <w:sz w:val="24"/>
        </w:rPr>
        <w:t>七、合同</w:t>
      </w:r>
      <w:bookmarkEnd w:id="171"/>
      <w:r>
        <w:rPr>
          <w:rFonts w:hint="eastAsia"/>
          <w:b/>
          <w:sz w:val="24"/>
        </w:rPr>
        <w:t>签订相关事项</w:t>
      </w:r>
      <w:bookmarkEnd w:id="172"/>
      <w:bookmarkEnd w:id="173"/>
      <w:bookmarkEnd w:id="174"/>
    </w:p>
    <w:bookmarkEnd w:id="175"/>
    <w:bookmarkEnd w:id="176"/>
    <w:bookmarkEnd w:id="177"/>
    <w:p w14:paraId="0DE93C88">
      <w:pPr>
        <w:spacing w:line="360" w:lineRule="auto"/>
        <w:ind w:firstLine="482" w:firstLineChars="200"/>
        <w:rPr>
          <w:b/>
          <w:sz w:val="24"/>
        </w:rPr>
      </w:pPr>
      <w:bookmarkStart w:id="178" w:name="_Toc20823309"/>
      <w:bookmarkStart w:id="179" w:name="_Toc16938553"/>
      <w:bookmarkStart w:id="180" w:name="_Toc513029237"/>
      <w:r>
        <w:rPr>
          <w:rFonts w:hint="eastAsia"/>
          <w:b/>
          <w:sz w:val="24"/>
        </w:rPr>
        <w:t>30.签订合同</w:t>
      </w:r>
    </w:p>
    <w:p w14:paraId="66F52A53">
      <w:pPr>
        <w:spacing w:line="360" w:lineRule="auto"/>
        <w:ind w:firstLine="480" w:firstLineChars="200"/>
        <w:jc w:val="left"/>
        <w:rPr>
          <w:bCs/>
          <w:sz w:val="24"/>
        </w:rPr>
      </w:pPr>
      <w:r>
        <w:rPr>
          <w:rFonts w:hint="eastAsia"/>
          <w:sz w:val="24"/>
        </w:rPr>
        <w:t>30</w:t>
      </w:r>
      <w:r>
        <w:rPr>
          <w:rFonts w:hint="eastAsia"/>
          <w:bCs/>
          <w:sz w:val="24"/>
        </w:rPr>
        <w:t>.l中标人应按中标通知书规定的时间、地点，按照招标文件确定的事项与采购人签订采购合同，且不得迟于中标通知书发出之日起三十日内，否则给采购人造成损失的，中标人应承担赔偿责任。若同一投标人中标多个标段，应与招标人就每个标段分别签订采购合同。</w:t>
      </w:r>
    </w:p>
    <w:p w14:paraId="0955E857">
      <w:pPr>
        <w:spacing w:line="360" w:lineRule="auto"/>
        <w:ind w:firstLine="480" w:firstLineChars="200"/>
        <w:jc w:val="left"/>
        <w:rPr>
          <w:bCs/>
          <w:sz w:val="24"/>
        </w:rPr>
      </w:pPr>
      <w:r>
        <w:rPr>
          <w:rFonts w:hint="eastAsia"/>
          <w:sz w:val="24"/>
        </w:rPr>
        <w:t>30</w:t>
      </w:r>
      <w:r>
        <w:rPr>
          <w:rFonts w:hint="eastAsia"/>
          <w:bCs/>
          <w:sz w:val="24"/>
        </w:rPr>
        <w:t>.2 招标文件、中标人的投标文件及招标过程中有关澄清、承诺文件均应作为合同附件。</w:t>
      </w:r>
    </w:p>
    <w:p w14:paraId="1867BDD6">
      <w:pPr>
        <w:spacing w:line="360" w:lineRule="auto"/>
        <w:ind w:firstLine="480" w:firstLineChars="200"/>
        <w:jc w:val="left"/>
        <w:rPr>
          <w:bCs/>
          <w:sz w:val="24"/>
        </w:rPr>
      </w:pPr>
      <w:r>
        <w:rPr>
          <w:rFonts w:hint="eastAsia"/>
          <w:sz w:val="24"/>
        </w:rPr>
        <w:t>30</w:t>
      </w:r>
      <w:r>
        <w:rPr>
          <w:rFonts w:hint="eastAsia"/>
          <w:bCs/>
          <w:sz w:val="24"/>
        </w:rPr>
        <w:t>.3 签订合同后，中标人不得将货物、服务及其他相关服务进行转包。未经采购人同意，中标人也不得采用分包的形式履行合同，否则采购人有权终止合同。转包或分包造成采购人损失的，中标人应承担相应赔偿责任。</w:t>
      </w:r>
    </w:p>
    <w:p w14:paraId="6F00AB16">
      <w:pPr>
        <w:spacing w:line="360" w:lineRule="auto"/>
        <w:ind w:firstLine="482" w:firstLineChars="200"/>
        <w:rPr>
          <w:b/>
          <w:sz w:val="24"/>
        </w:rPr>
      </w:pPr>
      <w:r>
        <w:rPr>
          <w:rFonts w:hint="eastAsia"/>
          <w:b/>
          <w:sz w:val="24"/>
        </w:rPr>
        <w:t>31.货物和服务的追加、减少和添购</w:t>
      </w:r>
    </w:p>
    <w:p w14:paraId="0FFDA4B8">
      <w:pPr>
        <w:spacing w:line="360" w:lineRule="auto"/>
        <w:ind w:firstLine="480" w:firstLineChars="200"/>
        <w:jc w:val="left"/>
        <w:rPr>
          <w:bCs/>
          <w:sz w:val="24"/>
        </w:rPr>
      </w:pPr>
      <w:r>
        <w:rPr>
          <w:rFonts w:hint="eastAsia"/>
          <w:bCs/>
          <w:sz w:val="24"/>
        </w:rPr>
        <w:t>31.1采购合同履行中，采购人需追加与合同标的相同的货物和服务的，在不改变合同其他条款的前提下，报主管预算单位同意后，可以与中标人协商签订补充合同，但所有补充合同的采购金额不超过原合同金额10%。</w:t>
      </w:r>
    </w:p>
    <w:p w14:paraId="1986CF71">
      <w:pPr>
        <w:spacing w:line="360" w:lineRule="auto"/>
        <w:ind w:firstLine="480" w:firstLineChars="200"/>
        <w:jc w:val="left"/>
        <w:rPr>
          <w:rFonts w:hint="eastAsia"/>
          <w:bCs/>
          <w:sz w:val="24"/>
        </w:rPr>
      </w:pPr>
      <w:r>
        <w:rPr>
          <w:rFonts w:hint="eastAsia"/>
          <w:bCs/>
          <w:sz w:val="24"/>
        </w:rPr>
        <w:t>31.2采购结束后，采购人若由于各种客观原因，必须对采购项目所牵涉的货物和服务进行适当的减少时，在双方协商一致的前提下，可以按照招标采购时的价格水平做相应的调减，并据此签订补充合同。</w:t>
      </w:r>
    </w:p>
    <w:p w14:paraId="78AA75CE">
      <w:pPr>
        <w:numPr>
          <w:ilvl w:val="0"/>
          <w:numId w:val="2"/>
        </w:numPr>
        <w:spacing w:line="360" w:lineRule="auto"/>
        <w:jc w:val="center"/>
        <w:rPr>
          <w:rFonts w:hint="eastAsia"/>
          <w:b/>
          <w:sz w:val="24"/>
        </w:rPr>
      </w:pPr>
      <w:r>
        <w:rPr>
          <w:rFonts w:hint="eastAsia"/>
          <w:b/>
          <w:sz w:val="24"/>
        </w:rPr>
        <w:t>履约保证金</w:t>
      </w:r>
    </w:p>
    <w:p w14:paraId="7B2FC5FB">
      <w:pPr>
        <w:spacing w:line="360" w:lineRule="auto"/>
        <w:ind w:firstLine="482" w:firstLineChars="200"/>
        <w:rPr>
          <w:rFonts w:hint="eastAsia"/>
          <w:b/>
          <w:sz w:val="24"/>
        </w:rPr>
      </w:pPr>
      <w:r>
        <w:rPr>
          <w:rFonts w:hint="eastAsia"/>
          <w:b/>
          <w:sz w:val="24"/>
        </w:rPr>
        <w:t>32.履约保证金的收取与退还</w:t>
      </w:r>
    </w:p>
    <w:p w14:paraId="7E1D9483">
      <w:pPr>
        <w:pStyle w:val="3"/>
        <w:ind w:firstLine="480"/>
        <w:rPr>
          <w:rFonts w:hint="eastAsia"/>
        </w:rPr>
      </w:pPr>
      <w:r>
        <w:rPr>
          <w:rFonts w:hint="eastAsia"/>
        </w:rPr>
        <w:t>本项目不收取履约保证金。</w:t>
      </w:r>
    </w:p>
    <w:p w14:paraId="46135F0B">
      <w:pPr>
        <w:spacing w:line="360" w:lineRule="auto"/>
        <w:ind w:firstLine="494" w:firstLineChars="206"/>
        <w:textAlignment w:val="baseline"/>
        <w:rPr>
          <w:rFonts w:hint="eastAsia" w:cs="宋体"/>
          <w:bCs/>
          <w:sz w:val="24"/>
        </w:rPr>
      </w:pPr>
    </w:p>
    <w:bookmarkEnd w:id="178"/>
    <w:bookmarkEnd w:id="179"/>
    <w:bookmarkEnd w:id="180"/>
    <w:p w14:paraId="34AA777B">
      <w:pPr>
        <w:spacing w:line="360" w:lineRule="auto"/>
        <w:ind w:firstLine="480" w:firstLineChars="200"/>
        <w:jc w:val="center"/>
        <w:outlineLvl w:val="1"/>
        <w:rPr>
          <w:rFonts w:hint="eastAsia" w:cs="宋体"/>
          <w:b/>
          <w:bCs/>
          <w:sz w:val="36"/>
          <w:szCs w:val="36"/>
        </w:rPr>
      </w:pPr>
      <w:bookmarkStart w:id="181" w:name="_Toc408306259"/>
      <w:bookmarkStart w:id="182" w:name="_Toc25483"/>
      <w:bookmarkStart w:id="183" w:name="_Toc408662747"/>
      <w:bookmarkStart w:id="184" w:name="_Toc420493841"/>
      <w:bookmarkStart w:id="185" w:name="_Toc366679736"/>
      <w:bookmarkStart w:id="186" w:name="_Toc179632627"/>
      <w:bookmarkStart w:id="187" w:name="_Toc152042387"/>
      <w:bookmarkStart w:id="188" w:name="_Toc246996995"/>
      <w:bookmarkStart w:id="189" w:name="_Toc246996252"/>
      <w:bookmarkStart w:id="190" w:name="_Toc387526344"/>
      <w:bookmarkStart w:id="191" w:name="_Toc387526436"/>
      <w:bookmarkStart w:id="192" w:name="_Toc397928625"/>
      <w:bookmarkStart w:id="193" w:name="_Toc387526240"/>
      <w:bookmarkStart w:id="194" w:name="_Toc144974577"/>
      <w:bookmarkStart w:id="195" w:name="_Toc17692"/>
      <w:bookmarkStart w:id="196" w:name="_Toc152045609"/>
      <w:bookmarkStart w:id="197" w:name="_Toc247085767"/>
      <w:r>
        <w:rPr>
          <w:rFonts w:hint="eastAsia" w:cs="宋体"/>
          <w:bCs/>
          <w:sz w:val="24"/>
        </w:rPr>
        <w:br w:type="page"/>
      </w:r>
      <w:r>
        <w:rPr>
          <w:rFonts w:hint="eastAsia" w:cs="宋体"/>
          <w:b/>
          <w:bCs/>
          <w:sz w:val="36"/>
          <w:szCs w:val="36"/>
        </w:rPr>
        <w:t>第三部分 项目需求</w:t>
      </w:r>
    </w:p>
    <w:p w14:paraId="514C50E3">
      <w:pPr>
        <w:adjustRightInd w:val="0"/>
        <w:snapToGrid w:val="0"/>
        <w:spacing w:line="360" w:lineRule="auto"/>
        <w:ind w:firstLine="480" w:firstLineChars="200"/>
        <w:rPr>
          <w:rFonts w:ascii="宋体" w:hAnsi="宋体" w:cs="宋体"/>
          <w:sz w:val="24"/>
        </w:rPr>
      </w:pPr>
      <w:r>
        <w:rPr>
          <w:rFonts w:hint="eastAsia" w:ascii="宋体" w:hAnsi="宋体" w:cs="宋体"/>
          <w:sz w:val="24"/>
        </w:rPr>
        <w:t>供应商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0A733A2">
      <w:pPr>
        <w:adjustRightInd w:val="0"/>
        <w:snapToGrid w:val="0"/>
        <w:spacing w:line="360" w:lineRule="auto"/>
        <w:ind w:firstLine="480" w:firstLineChars="200"/>
        <w:rPr>
          <w:rFonts w:ascii="宋体" w:hAnsi="宋体" w:cs="宋体"/>
          <w:sz w:val="24"/>
        </w:rPr>
      </w:pPr>
      <w:r>
        <w:rPr>
          <w:rFonts w:hint="eastAsia" w:ascii="宋体" w:hAnsi="宋体" w:cs="宋体"/>
          <w:sz w:val="24"/>
        </w:rPr>
        <w:t>供应商不能简单照搬照抄招标文件项目需求说明中的技术、商务要求，必须作实事求是的响应。如供应商提供的货物和服务同采购单位提出的项目需求说明中的技术、商务要求不同的，必须在《商务部分正负偏离表》和《技术部分正负偏离表》上明示。</w:t>
      </w:r>
    </w:p>
    <w:p w14:paraId="0E57A0AD">
      <w:pPr>
        <w:snapToGrid w:val="0"/>
        <w:spacing w:line="360" w:lineRule="auto"/>
        <w:ind w:firstLine="479" w:firstLineChars="199"/>
        <w:rPr>
          <w:rStyle w:val="47"/>
          <w:rFonts w:ascii="宋体" w:hAnsi="宋体" w:eastAsia="宋体" w:cs="宋体"/>
          <w:bCs/>
          <w:sz w:val="24"/>
          <w:szCs w:val="24"/>
        </w:rPr>
      </w:pPr>
      <w:r>
        <w:rPr>
          <w:rFonts w:hint="eastAsia" w:ascii="宋体" w:hAnsi="宋体" w:cs="宋体"/>
          <w:b/>
          <w:bCs/>
          <w:sz w:val="24"/>
        </w:rPr>
        <w:t>其内容包含：</w:t>
      </w:r>
    </w:p>
    <w:p w14:paraId="35AB62D4">
      <w:pPr>
        <w:numPr>
          <w:ilvl w:val="0"/>
          <w:numId w:val="3"/>
        </w:num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项目需求清单：</w:t>
      </w:r>
    </w:p>
    <w:tbl>
      <w:tblPr>
        <w:tblStyle w:val="40"/>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151"/>
        <w:gridCol w:w="5752"/>
        <w:gridCol w:w="830"/>
        <w:gridCol w:w="816"/>
      </w:tblGrid>
      <w:tr w14:paraId="0D4B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42" w:type="dxa"/>
            <w:vAlign w:val="center"/>
          </w:tcPr>
          <w:p w14:paraId="693A8F6C">
            <w:pPr>
              <w:spacing w:line="360" w:lineRule="auto"/>
              <w:jc w:val="center"/>
              <w:rPr>
                <w:rFonts w:hint="eastAsia" w:ascii="宋体" w:hAnsi="宋体" w:cs="宋体"/>
                <w:b/>
                <w:bCs/>
                <w:sz w:val="24"/>
              </w:rPr>
            </w:pPr>
            <w:r>
              <w:rPr>
                <w:rFonts w:hint="eastAsia" w:ascii="宋体" w:hAnsi="宋体" w:cs="宋体"/>
                <w:b/>
                <w:bCs/>
                <w:sz w:val="24"/>
              </w:rPr>
              <w:t>标段</w:t>
            </w:r>
          </w:p>
        </w:tc>
        <w:tc>
          <w:tcPr>
            <w:tcW w:w="1151" w:type="dxa"/>
            <w:vAlign w:val="center"/>
          </w:tcPr>
          <w:p w14:paraId="77E81F59">
            <w:pPr>
              <w:spacing w:line="360" w:lineRule="auto"/>
              <w:jc w:val="center"/>
              <w:rPr>
                <w:rFonts w:ascii="宋体" w:hAnsi="宋体" w:cs="宋体"/>
                <w:b/>
                <w:bCs/>
                <w:sz w:val="24"/>
              </w:rPr>
            </w:pPr>
            <w:r>
              <w:rPr>
                <w:rFonts w:hint="eastAsia" w:ascii="宋体" w:hAnsi="宋体" w:cs="宋体"/>
                <w:b/>
                <w:bCs/>
                <w:sz w:val="24"/>
              </w:rPr>
              <w:t>名称</w:t>
            </w:r>
          </w:p>
        </w:tc>
        <w:tc>
          <w:tcPr>
            <w:tcW w:w="5752" w:type="dxa"/>
            <w:vAlign w:val="center"/>
          </w:tcPr>
          <w:p w14:paraId="745CFACF">
            <w:pPr>
              <w:spacing w:line="360" w:lineRule="auto"/>
              <w:jc w:val="center"/>
              <w:rPr>
                <w:rFonts w:ascii="宋体" w:hAnsi="宋体" w:cs="宋体"/>
                <w:b/>
                <w:bCs/>
                <w:sz w:val="24"/>
              </w:rPr>
            </w:pPr>
            <w:r>
              <w:rPr>
                <w:rFonts w:hint="eastAsia" w:ascii="宋体" w:hAnsi="宋体" w:cs="宋体"/>
                <w:b/>
                <w:bCs/>
                <w:sz w:val="24"/>
              </w:rPr>
              <w:t>规格、型号、技术参数</w:t>
            </w:r>
          </w:p>
        </w:tc>
        <w:tc>
          <w:tcPr>
            <w:tcW w:w="830" w:type="dxa"/>
            <w:vAlign w:val="center"/>
          </w:tcPr>
          <w:p w14:paraId="59CAA2FE">
            <w:pPr>
              <w:spacing w:line="360" w:lineRule="auto"/>
              <w:jc w:val="center"/>
              <w:rPr>
                <w:rFonts w:ascii="宋体" w:hAnsi="宋体" w:cs="宋体"/>
                <w:b/>
                <w:bCs/>
                <w:sz w:val="24"/>
              </w:rPr>
            </w:pPr>
            <w:r>
              <w:rPr>
                <w:rFonts w:hint="eastAsia" w:ascii="宋体" w:hAnsi="宋体" w:cs="宋体"/>
                <w:b/>
                <w:bCs/>
                <w:sz w:val="24"/>
              </w:rPr>
              <w:t>数量</w:t>
            </w:r>
          </w:p>
        </w:tc>
        <w:tc>
          <w:tcPr>
            <w:tcW w:w="816" w:type="dxa"/>
            <w:vAlign w:val="center"/>
          </w:tcPr>
          <w:p w14:paraId="291396CF">
            <w:pPr>
              <w:spacing w:line="360" w:lineRule="auto"/>
              <w:jc w:val="center"/>
              <w:rPr>
                <w:rFonts w:ascii="宋体" w:hAnsi="宋体" w:cs="宋体"/>
                <w:b/>
                <w:bCs/>
                <w:sz w:val="24"/>
              </w:rPr>
            </w:pPr>
            <w:r>
              <w:rPr>
                <w:rFonts w:hint="eastAsia" w:ascii="宋体" w:hAnsi="宋体" w:cs="宋体"/>
                <w:b/>
                <w:bCs/>
                <w:sz w:val="24"/>
              </w:rPr>
              <w:t>单位</w:t>
            </w:r>
          </w:p>
        </w:tc>
      </w:tr>
      <w:tr w14:paraId="7FED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42" w:type="dxa"/>
            <w:vMerge w:val="restart"/>
            <w:vAlign w:val="center"/>
          </w:tcPr>
          <w:p w14:paraId="0E70402E">
            <w:pPr>
              <w:spacing w:line="360" w:lineRule="auto"/>
              <w:jc w:val="center"/>
              <w:rPr>
                <w:rFonts w:ascii="宋体" w:hAnsi="宋体" w:cs="宋体"/>
                <w:sz w:val="24"/>
              </w:rPr>
            </w:pPr>
            <w:r>
              <w:rPr>
                <w:rFonts w:hint="eastAsia" w:ascii="宋体" w:hAnsi="宋体" w:cs="宋体"/>
                <w:sz w:val="24"/>
              </w:rPr>
              <w:t>1</w:t>
            </w:r>
          </w:p>
        </w:tc>
        <w:tc>
          <w:tcPr>
            <w:tcW w:w="1151" w:type="dxa"/>
            <w:vMerge w:val="restart"/>
            <w:vAlign w:val="center"/>
          </w:tcPr>
          <w:p w14:paraId="2E3E9386">
            <w:pPr>
              <w:spacing w:line="360" w:lineRule="auto"/>
              <w:jc w:val="center"/>
              <w:rPr>
                <w:rFonts w:ascii="宋体" w:hAnsi="宋体" w:cs="宋体"/>
              </w:rPr>
            </w:pPr>
            <w:r>
              <w:rPr>
                <w:rFonts w:hint="eastAsia" w:ascii="宋体" w:hAnsi="宋体" w:cs="宋体"/>
                <w:sz w:val="24"/>
              </w:rPr>
              <w:t>A1车型</w:t>
            </w:r>
          </w:p>
        </w:tc>
        <w:tc>
          <w:tcPr>
            <w:tcW w:w="5752" w:type="dxa"/>
            <w:vAlign w:val="center"/>
          </w:tcPr>
          <w:p w14:paraId="2AAAD385">
            <w:pPr>
              <w:spacing w:line="360" w:lineRule="auto"/>
              <w:rPr>
                <w:rFonts w:ascii="宋体" w:hAnsi="宋体" w:cs="宋体"/>
                <w:sz w:val="24"/>
              </w:rPr>
            </w:pPr>
            <w:r>
              <w:rPr>
                <w:rFonts w:hint="eastAsia" w:ascii="方正舒体" w:hAnsi="宋体" w:eastAsia="方正舒体" w:cs="宋体"/>
                <w:sz w:val="24"/>
              </w:rPr>
              <w:t>▲</w:t>
            </w:r>
            <w:r>
              <w:rPr>
                <w:rFonts w:hint="eastAsia" w:ascii="宋体" w:hAnsi="宋体" w:cs="宋体"/>
                <w:sz w:val="24"/>
              </w:rPr>
              <w:t>类型：教练车</w:t>
            </w:r>
          </w:p>
        </w:tc>
        <w:tc>
          <w:tcPr>
            <w:tcW w:w="830" w:type="dxa"/>
            <w:vMerge w:val="restart"/>
            <w:vAlign w:val="center"/>
          </w:tcPr>
          <w:p w14:paraId="069E6B36">
            <w:pPr>
              <w:spacing w:line="360" w:lineRule="auto"/>
              <w:jc w:val="center"/>
              <w:rPr>
                <w:rFonts w:hint="eastAsia" w:ascii="宋体" w:hAnsi="宋体" w:cs="宋体"/>
                <w:sz w:val="24"/>
              </w:rPr>
            </w:pPr>
            <w:r>
              <w:rPr>
                <w:rFonts w:hint="eastAsia" w:ascii="宋体" w:hAnsi="宋体" w:cs="宋体"/>
                <w:sz w:val="24"/>
              </w:rPr>
              <w:t>2</w:t>
            </w:r>
          </w:p>
        </w:tc>
        <w:tc>
          <w:tcPr>
            <w:tcW w:w="816" w:type="dxa"/>
            <w:vMerge w:val="restart"/>
            <w:vAlign w:val="center"/>
          </w:tcPr>
          <w:p w14:paraId="0B700735">
            <w:pPr>
              <w:spacing w:line="360" w:lineRule="auto"/>
              <w:jc w:val="center"/>
              <w:rPr>
                <w:rFonts w:ascii="宋体" w:hAnsi="宋体" w:cs="宋体"/>
                <w:sz w:val="24"/>
              </w:rPr>
            </w:pPr>
            <w:r>
              <w:rPr>
                <w:rFonts w:hint="eastAsia" w:ascii="宋体" w:hAnsi="宋体" w:cs="宋体"/>
                <w:sz w:val="24"/>
              </w:rPr>
              <w:t>辆</w:t>
            </w:r>
          </w:p>
        </w:tc>
      </w:tr>
      <w:tr w14:paraId="103A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42" w:type="dxa"/>
            <w:vMerge w:val="continue"/>
            <w:vAlign w:val="center"/>
          </w:tcPr>
          <w:p w14:paraId="7F3F7FA3">
            <w:pPr>
              <w:spacing w:line="360" w:lineRule="auto"/>
              <w:jc w:val="center"/>
              <w:rPr>
                <w:rFonts w:ascii="宋体" w:hAnsi="宋体" w:cs="宋体"/>
                <w:sz w:val="24"/>
              </w:rPr>
            </w:pPr>
          </w:p>
        </w:tc>
        <w:tc>
          <w:tcPr>
            <w:tcW w:w="1151" w:type="dxa"/>
            <w:vMerge w:val="continue"/>
            <w:vAlign w:val="center"/>
          </w:tcPr>
          <w:p w14:paraId="0BDD7ABD">
            <w:pPr>
              <w:spacing w:line="360" w:lineRule="auto"/>
              <w:jc w:val="center"/>
              <w:rPr>
                <w:rFonts w:ascii="宋体" w:hAnsi="宋体" w:cs="宋体"/>
                <w:sz w:val="24"/>
              </w:rPr>
            </w:pPr>
          </w:p>
        </w:tc>
        <w:tc>
          <w:tcPr>
            <w:tcW w:w="5752" w:type="dxa"/>
            <w:vAlign w:val="center"/>
          </w:tcPr>
          <w:p w14:paraId="7C001335">
            <w:pPr>
              <w:spacing w:line="360" w:lineRule="auto"/>
              <w:rPr>
                <w:rFonts w:ascii="宋体" w:hAnsi="宋体" w:cs="宋体"/>
                <w:sz w:val="24"/>
              </w:rPr>
            </w:pPr>
            <w:r>
              <w:rPr>
                <w:rFonts w:hint="eastAsia" w:ascii="宋体" w:hAnsi="宋体" w:cs="宋体"/>
                <w:b/>
                <w:sz w:val="24"/>
              </w:rPr>
              <w:t>★</w:t>
            </w:r>
            <w:r>
              <w:rPr>
                <w:rFonts w:hint="eastAsia" w:ascii="宋体" w:hAnsi="宋体" w:cs="宋体"/>
                <w:b/>
                <w:bCs/>
                <w:sz w:val="24"/>
              </w:rPr>
              <w:t>外形尺寸（mm）：长≥9000，宽≥2400（投标时须提供所投产品在中华人民共和国工业和信息化部的</w:t>
            </w:r>
            <w:r>
              <w:rPr>
                <w:rFonts w:hint="eastAsia" w:ascii="宋体" w:hAnsi="宋体" w:cs="宋体"/>
                <w:b/>
                <w:sz w:val="24"/>
              </w:rPr>
              <w:t>公告截图等能满足</w:t>
            </w:r>
            <w:r>
              <w:rPr>
                <w:rFonts w:hint="eastAsia" w:ascii="宋体" w:hAnsi="宋体" w:cs="宋体"/>
                <w:b/>
                <w:bCs/>
                <w:sz w:val="24"/>
              </w:rPr>
              <w:t>此项</w:t>
            </w:r>
            <w:r>
              <w:rPr>
                <w:rFonts w:hint="eastAsia" w:ascii="宋体" w:hAnsi="宋体" w:cs="宋体"/>
                <w:b/>
                <w:sz w:val="24"/>
              </w:rPr>
              <w:t>参数的证明材料，</w:t>
            </w:r>
            <w:r>
              <w:rPr>
                <w:rFonts w:hint="eastAsia" w:ascii="宋体" w:hAnsi="宋体" w:cs="宋体"/>
                <w:b/>
                <w:bCs/>
                <w:sz w:val="24"/>
              </w:rPr>
              <w:t>并加盖供应商公章）</w:t>
            </w:r>
          </w:p>
        </w:tc>
        <w:tc>
          <w:tcPr>
            <w:tcW w:w="830" w:type="dxa"/>
            <w:vMerge w:val="continue"/>
            <w:vAlign w:val="center"/>
          </w:tcPr>
          <w:p w14:paraId="59923B6D">
            <w:pPr>
              <w:spacing w:line="360" w:lineRule="auto"/>
              <w:jc w:val="center"/>
              <w:rPr>
                <w:rFonts w:ascii="宋体" w:hAnsi="宋体" w:cs="宋体"/>
                <w:sz w:val="24"/>
              </w:rPr>
            </w:pPr>
          </w:p>
        </w:tc>
        <w:tc>
          <w:tcPr>
            <w:tcW w:w="816" w:type="dxa"/>
            <w:vMerge w:val="continue"/>
            <w:vAlign w:val="center"/>
          </w:tcPr>
          <w:p w14:paraId="4E655D1A">
            <w:pPr>
              <w:spacing w:line="360" w:lineRule="auto"/>
              <w:jc w:val="center"/>
              <w:rPr>
                <w:rFonts w:ascii="宋体" w:hAnsi="宋体" w:cs="宋体"/>
                <w:sz w:val="24"/>
              </w:rPr>
            </w:pPr>
          </w:p>
        </w:tc>
      </w:tr>
      <w:tr w14:paraId="5D91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42" w:type="dxa"/>
            <w:vMerge w:val="continue"/>
            <w:vAlign w:val="center"/>
          </w:tcPr>
          <w:p w14:paraId="30399AAF">
            <w:pPr>
              <w:spacing w:line="360" w:lineRule="auto"/>
              <w:jc w:val="center"/>
              <w:rPr>
                <w:rFonts w:ascii="宋体" w:hAnsi="宋体" w:cs="宋体"/>
                <w:sz w:val="24"/>
              </w:rPr>
            </w:pPr>
          </w:p>
        </w:tc>
        <w:tc>
          <w:tcPr>
            <w:tcW w:w="1151" w:type="dxa"/>
            <w:vMerge w:val="continue"/>
            <w:vAlign w:val="center"/>
          </w:tcPr>
          <w:p w14:paraId="35EC013F">
            <w:pPr>
              <w:spacing w:line="360" w:lineRule="auto"/>
              <w:jc w:val="center"/>
              <w:rPr>
                <w:rFonts w:ascii="宋体" w:hAnsi="宋体" w:cs="宋体"/>
                <w:sz w:val="24"/>
              </w:rPr>
            </w:pPr>
          </w:p>
        </w:tc>
        <w:tc>
          <w:tcPr>
            <w:tcW w:w="5752" w:type="dxa"/>
            <w:vAlign w:val="center"/>
          </w:tcPr>
          <w:p w14:paraId="28823CC9">
            <w:pPr>
              <w:spacing w:line="360" w:lineRule="auto"/>
              <w:rPr>
                <w:rFonts w:hint="eastAsia" w:ascii="宋体" w:hAnsi="宋体" w:cs="宋体"/>
                <w:b/>
                <w:sz w:val="24"/>
              </w:rPr>
            </w:pPr>
            <w:r>
              <w:rPr>
                <w:rFonts w:hint="eastAsia" w:ascii="宋体" w:hAnsi="宋体" w:cs="宋体"/>
                <w:b/>
                <w:sz w:val="24"/>
              </w:rPr>
              <w:t>★轴距（mm）：4260（含）-4340（含）</w:t>
            </w:r>
            <w:r>
              <w:rPr>
                <w:rFonts w:hint="eastAsia" w:ascii="宋体" w:hAnsi="宋体" w:cs="宋体"/>
                <w:b/>
                <w:bCs/>
                <w:sz w:val="24"/>
              </w:rPr>
              <w:t>（投标时须提供所投产品在中华人民共和国工业和信息化部的</w:t>
            </w:r>
            <w:r>
              <w:rPr>
                <w:rFonts w:hint="eastAsia" w:ascii="宋体" w:hAnsi="宋体" w:cs="宋体"/>
                <w:b/>
                <w:sz w:val="24"/>
              </w:rPr>
              <w:t>公告截图等能满足</w:t>
            </w:r>
            <w:r>
              <w:rPr>
                <w:rFonts w:hint="eastAsia" w:ascii="宋体" w:hAnsi="宋体" w:cs="宋体"/>
                <w:b/>
                <w:bCs/>
                <w:sz w:val="24"/>
              </w:rPr>
              <w:t>此项</w:t>
            </w:r>
            <w:r>
              <w:rPr>
                <w:rFonts w:hint="eastAsia" w:ascii="宋体" w:hAnsi="宋体" w:cs="宋体"/>
                <w:b/>
                <w:sz w:val="24"/>
              </w:rPr>
              <w:t>参数的证明材料，</w:t>
            </w:r>
            <w:r>
              <w:rPr>
                <w:rFonts w:hint="eastAsia" w:ascii="宋体" w:hAnsi="宋体" w:cs="宋体"/>
                <w:b/>
                <w:bCs/>
                <w:sz w:val="24"/>
              </w:rPr>
              <w:t>并加盖供应商公章）</w:t>
            </w:r>
          </w:p>
        </w:tc>
        <w:tc>
          <w:tcPr>
            <w:tcW w:w="830" w:type="dxa"/>
            <w:vMerge w:val="continue"/>
            <w:vAlign w:val="center"/>
          </w:tcPr>
          <w:p w14:paraId="517D5DCA">
            <w:pPr>
              <w:spacing w:line="360" w:lineRule="auto"/>
              <w:jc w:val="center"/>
              <w:rPr>
                <w:rFonts w:ascii="宋体" w:hAnsi="宋体" w:cs="宋体"/>
                <w:sz w:val="24"/>
              </w:rPr>
            </w:pPr>
          </w:p>
        </w:tc>
        <w:tc>
          <w:tcPr>
            <w:tcW w:w="816" w:type="dxa"/>
            <w:vMerge w:val="continue"/>
            <w:vAlign w:val="center"/>
          </w:tcPr>
          <w:p w14:paraId="5907004F">
            <w:pPr>
              <w:spacing w:line="360" w:lineRule="auto"/>
              <w:jc w:val="center"/>
              <w:rPr>
                <w:rFonts w:ascii="宋体" w:hAnsi="宋体" w:cs="宋体"/>
                <w:sz w:val="24"/>
              </w:rPr>
            </w:pPr>
          </w:p>
        </w:tc>
      </w:tr>
      <w:tr w14:paraId="34AD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42" w:type="dxa"/>
            <w:vMerge w:val="continue"/>
            <w:vAlign w:val="center"/>
          </w:tcPr>
          <w:p w14:paraId="7FFE4711">
            <w:pPr>
              <w:spacing w:line="360" w:lineRule="auto"/>
              <w:jc w:val="center"/>
              <w:rPr>
                <w:rFonts w:ascii="宋体" w:hAnsi="宋体" w:cs="宋体"/>
                <w:sz w:val="24"/>
              </w:rPr>
            </w:pPr>
          </w:p>
        </w:tc>
        <w:tc>
          <w:tcPr>
            <w:tcW w:w="1151" w:type="dxa"/>
            <w:vMerge w:val="continue"/>
            <w:vAlign w:val="center"/>
          </w:tcPr>
          <w:p w14:paraId="7DB4D369">
            <w:pPr>
              <w:spacing w:line="360" w:lineRule="auto"/>
              <w:jc w:val="center"/>
              <w:rPr>
                <w:rFonts w:ascii="宋体" w:hAnsi="宋体" w:cs="宋体"/>
                <w:sz w:val="24"/>
              </w:rPr>
            </w:pPr>
          </w:p>
        </w:tc>
        <w:tc>
          <w:tcPr>
            <w:tcW w:w="5752" w:type="dxa"/>
            <w:vAlign w:val="center"/>
          </w:tcPr>
          <w:p w14:paraId="6CA76FA8">
            <w:pPr>
              <w:spacing w:line="360" w:lineRule="auto"/>
              <w:rPr>
                <w:rFonts w:hint="eastAsia" w:ascii="宋体" w:hAnsi="宋体" w:cs="宋体"/>
                <w:b/>
                <w:sz w:val="24"/>
              </w:rPr>
            </w:pPr>
            <w:r>
              <w:rPr>
                <w:rFonts w:hint="eastAsia" w:ascii="宋体" w:hAnsi="宋体" w:cs="宋体"/>
                <w:b/>
                <w:sz w:val="24"/>
              </w:rPr>
              <w:t>★前轮距（mm）：1900（含）-2000（含）</w:t>
            </w:r>
            <w:r>
              <w:rPr>
                <w:rFonts w:hint="eastAsia" w:ascii="宋体" w:hAnsi="宋体" w:cs="宋体"/>
                <w:b/>
                <w:bCs/>
                <w:sz w:val="24"/>
              </w:rPr>
              <w:t>（投标时须提供所投产品在中华人民共和国工业和信息化部的</w:t>
            </w:r>
            <w:r>
              <w:rPr>
                <w:rFonts w:hint="eastAsia" w:ascii="宋体" w:hAnsi="宋体" w:cs="宋体"/>
                <w:b/>
                <w:sz w:val="24"/>
              </w:rPr>
              <w:t>公告截图等能满足</w:t>
            </w:r>
            <w:r>
              <w:rPr>
                <w:rFonts w:hint="eastAsia" w:ascii="宋体" w:hAnsi="宋体" w:cs="宋体"/>
                <w:b/>
                <w:bCs/>
                <w:sz w:val="24"/>
              </w:rPr>
              <w:t>此项</w:t>
            </w:r>
            <w:r>
              <w:rPr>
                <w:rFonts w:hint="eastAsia" w:ascii="宋体" w:hAnsi="宋体" w:cs="宋体"/>
                <w:b/>
                <w:sz w:val="24"/>
              </w:rPr>
              <w:t>参数的证明材料，</w:t>
            </w:r>
            <w:r>
              <w:rPr>
                <w:rFonts w:hint="eastAsia" w:ascii="宋体" w:hAnsi="宋体" w:cs="宋体"/>
                <w:b/>
                <w:bCs/>
                <w:sz w:val="24"/>
              </w:rPr>
              <w:t>并加盖供应商公章）</w:t>
            </w:r>
          </w:p>
        </w:tc>
        <w:tc>
          <w:tcPr>
            <w:tcW w:w="830" w:type="dxa"/>
            <w:vMerge w:val="continue"/>
            <w:vAlign w:val="center"/>
          </w:tcPr>
          <w:p w14:paraId="22795633">
            <w:pPr>
              <w:spacing w:line="360" w:lineRule="auto"/>
              <w:jc w:val="center"/>
              <w:rPr>
                <w:rFonts w:ascii="宋体" w:hAnsi="宋体" w:cs="宋体"/>
                <w:sz w:val="24"/>
              </w:rPr>
            </w:pPr>
          </w:p>
        </w:tc>
        <w:tc>
          <w:tcPr>
            <w:tcW w:w="816" w:type="dxa"/>
            <w:vMerge w:val="continue"/>
            <w:vAlign w:val="center"/>
          </w:tcPr>
          <w:p w14:paraId="651C6A03">
            <w:pPr>
              <w:spacing w:line="360" w:lineRule="auto"/>
              <w:jc w:val="center"/>
              <w:rPr>
                <w:rFonts w:ascii="宋体" w:hAnsi="宋体" w:cs="宋体"/>
                <w:sz w:val="24"/>
              </w:rPr>
            </w:pPr>
          </w:p>
        </w:tc>
      </w:tr>
      <w:tr w14:paraId="2748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42" w:type="dxa"/>
            <w:vMerge w:val="continue"/>
            <w:vAlign w:val="center"/>
          </w:tcPr>
          <w:p w14:paraId="207A2315">
            <w:pPr>
              <w:spacing w:line="360" w:lineRule="auto"/>
              <w:jc w:val="center"/>
              <w:rPr>
                <w:rFonts w:ascii="宋体" w:hAnsi="宋体" w:cs="宋体"/>
                <w:sz w:val="24"/>
              </w:rPr>
            </w:pPr>
          </w:p>
        </w:tc>
        <w:tc>
          <w:tcPr>
            <w:tcW w:w="1151" w:type="dxa"/>
            <w:vMerge w:val="continue"/>
            <w:vAlign w:val="center"/>
          </w:tcPr>
          <w:p w14:paraId="579F5902">
            <w:pPr>
              <w:spacing w:line="360" w:lineRule="auto"/>
              <w:jc w:val="center"/>
              <w:rPr>
                <w:rFonts w:ascii="宋体" w:hAnsi="宋体" w:cs="宋体"/>
                <w:sz w:val="24"/>
              </w:rPr>
            </w:pPr>
          </w:p>
        </w:tc>
        <w:tc>
          <w:tcPr>
            <w:tcW w:w="5752" w:type="dxa"/>
            <w:vAlign w:val="center"/>
          </w:tcPr>
          <w:p w14:paraId="6A14DA87">
            <w:pPr>
              <w:spacing w:line="360" w:lineRule="auto"/>
              <w:rPr>
                <w:rFonts w:hint="eastAsia" w:ascii="宋体" w:hAnsi="宋体" w:cs="宋体"/>
                <w:b/>
                <w:sz w:val="24"/>
              </w:rPr>
            </w:pPr>
            <w:r>
              <w:rPr>
                <w:rFonts w:hint="eastAsia" w:ascii="宋体" w:hAnsi="宋体" w:cs="宋体"/>
                <w:b/>
                <w:sz w:val="24"/>
              </w:rPr>
              <w:t>★车辆制造日期：2025年12月1日（含）之后（供应商承诺交车时提供合格证原件（投标时出具承诺函，格式自拟，不提供作无效标处理）；交车时若不能提供合格证原件视为虚假应标，采购人有权取消其中标资格，并报采购监管部门；给采购人造成损失的，依法承担法律责任）</w:t>
            </w:r>
          </w:p>
        </w:tc>
        <w:tc>
          <w:tcPr>
            <w:tcW w:w="830" w:type="dxa"/>
            <w:vMerge w:val="continue"/>
            <w:vAlign w:val="center"/>
          </w:tcPr>
          <w:p w14:paraId="461CDDAF">
            <w:pPr>
              <w:spacing w:line="360" w:lineRule="auto"/>
              <w:jc w:val="center"/>
              <w:rPr>
                <w:rFonts w:ascii="宋体" w:hAnsi="宋体" w:cs="宋体"/>
                <w:sz w:val="24"/>
              </w:rPr>
            </w:pPr>
          </w:p>
        </w:tc>
        <w:tc>
          <w:tcPr>
            <w:tcW w:w="816" w:type="dxa"/>
            <w:vMerge w:val="continue"/>
            <w:vAlign w:val="center"/>
          </w:tcPr>
          <w:p w14:paraId="120AF643">
            <w:pPr>
              <w:spacing w:line="360" w:lineRule="auto"/>
              <w:jc w:val="center"/>
              <w:rPr>
                <w:rFonts w:ascii="宋体" w:hAnsi="宋体" w:cs="宋体"/>
                <w:sz w:val="24"/>
              </w:rPr>
            </w:pPr>
          </w:p>
        </w:tc>
      </w:tr>
      <w:tr w14:paraId="7F35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42" w:type="dxa"/>
            <w:vMerge w:val="continue"/>
            <w:vAlign w:val="center"/>
          </w:tcPr>
          <w:p w14:paraId="46F550B1">
            <w:pPr>
              <w:spacing w:line="360" w:lineRule="auto"/>
              <w:jc w:val="center"/>
              <w:rPr>
                <w:rFonts w:ascii="宋体" w:hAnsi="宋体" w:cs="宋体"/>
                <w:sz w:val="24"/>
              </w:rPr>
            </w:pPr>
          </w:p>
        </w:tc>
        <w:tc>
          <w:tcPr>
            <w:tcW w:w="1151" w:type="dxa"/>
            <w:vMerge w:val="continue"/>
            <w:vAlign w:val="center"/>
          </w:tcPr>
          <w:p w14:paraId="269E7793">
            <w:pPr>
              <w:spacing w:line="360" w:lineRule="auto"/>
              <w:jc w:val="center"/>
              <w:rPr>
                <w:rFonts w:ascii="宋体" w:hAnsi="宋体" w:cs="宋体"/>
                <w:sz w:val="24"/>
              </w:rPr>
            </w:pPr>
          </w:p>
        </w:tc>
        <w:tc>
          <w:tcPr>
            <w:tcW w:w="5752" w:type="dxa"/>
            <w:vAlign w:val="center"/>
          </w:tcPr>
          <w:p w14:paraId="4E45EE26">
            <w:pPr>
              <w:spacing w:line="360" w:lineRule="auto"/>
              <w:rPr>
                <w:rFonts w:hint="eastAsia" w:ascii="宋体" w:hAnsi="宋体" w:cs="宋体"/>
                <w:b/>
                <w:sz w:val="24"/>
              </w:rPr>
            </w:pPr>
            <w:r>
              <w:rPr>
                <w:rFonts w:hint="eastAsia" w:ascii="宋体" w:hAnsi="宋体" w:cs="宋体"/>
                <w:b/>
                <w:sz w:val="24"/>
              </w:rPr>
              <w:t>★排放标准：国六</w:t>
            </w:r>
          </w:p>
        </w:tc>
        <w:tc>
          <w:tcPr>
            <w:tcW w:w="830" w:type="dxa"/>
            <w:vMerge w:val="continue"/>
            <w:vAlign w:val="center"/>
          </w:tcPr>
          <w:p w14:paraId="3311910A">
            <w:pPr>
              <w:spacing w:line="360" w:lineRule="auto"/>
              <w:jc w:val="center"/>
              <w:rPr>
                <w:rFonts w:ascii="宋体" w:hAnsi="宋体" w:cs="宋体"/>
                <w:sz w:val="24"/>
              </w:rPr>
            </w:pPr>
          </w:p>
        </w:tc>
        <w:tc>
          <w:tcPr>
            <w:tcW w:w="816" w:type="dxa"/>
            <w:vMerge w:val="continue"/>
            <w:vAlign w:val="center"/>
          </w:tcPr>
          <w:p w14:paraId="67D8E16D">
            <w:pPr>
              <w:spacing w:line="360" w:lineRule="auto"/>
              <w:jc w:val="center"/>
              <w:rPr>
                <w:rFonts w:ascii="宋体" w:hAnsi="宋体" w:cs="宋体"/>
                <w:sz w:val="24"/>
              </w:rPr>
            </w:pPr>
          </w:p>
        </w:tc>
      </w:tr>
      <w:tr w14:paraId="7901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42" w:type="dxa"/>
            <w:vMerge w:val="continue"/>
            <w:vAlign w:val="center"/>
          </w:tcPr>
          <w:p w14:paraId="7A740EB9">
            <w:pPr>
              <w:spacing w:line="360" w:lineRule="auto"/>
              <w:jc w:val="center"/>
              <w:rPr>
                <w:rFonts w:ascii="宋体" w:hAnsi="宋体" w:cs="宋体"/>
                <w:sz w:val="24"/>
              </w:rPr>
            </w:pPr>
          </w:p>
        </w:tc>
        <w:tc>
          <w:tcPr>
            <w:tcW w:w="1151" w:type="dxa"/>
            <w:vMerge w:val="continue"/>
            <w:vAlign w:val="center"/>
          </w:tcPr>
          <w:p w14:paraId="28130386">
            <w:pPr>
              <w:spacing w:line="360" w:lineRule="auto"/>
              <w:jc w:val="center"/>
              <w:rPr>
                <w:rFonts w:ascii="宋体" w:hAnsi="宋体" w:cs="宋体"/>
                <w:sz w:val="24"/>
              </w:rPr>
            </w:pPr>
          </w:p>
        </w:tc>
        <w:tc>
          <w:tcPr>
            <w:tcW w:w="5752" w:type="dxa"/>
            <w:vAlign w:val="center"/>
          </w:tcPr>
          <w:p w14:paraId="39735EBF">
            <w:pPr>
              <w:spacing w:line="360" w:lineRule="auto"/>
              <w:rPr>
                <w:rFonts w:ascii="宋体" w:hAnsi="宋体" w:cs="宋体"/>
                <w:sz w:val="24"/>
              </w:rPr>
            </w:pPr>
            <w:r>
              <w:rPr>
                <w:rFonts w:hint="eastAsia" w:ascii="宋体" w:hAnsi="宋体" w:cs="宋体"/>
                <w:sz w:val="24"/>
              </w:rPr>
              <w:t>副驾驶系统：副刹车/副喇叭/副倒车镜</w:t>
            </w:r>
          </w:p>
        </w:tc>
        <w:tc>
          <w:tcPr>
            <w:tcW w:w="830" w:type="dxa"/>
            <w:vMerge w:val="continue"/>
            <w:vAlign w:val="center"/>
          </w:tcPr>
          <w:p w14:paraId="56DC4EFF">
            <w:pPr>
              <w:spacing w:line="360" w:lineRule="auto"/>
              <w:jc w:val="center"/>
              <w:rPr>
                <w:rFonts w:ascii="宋体" w:hAnsi="宋体" w:cs="宋体"/>
                <w:sz w:val="24"/>
              </w:rPr>
            </w:pPr>
          </w:p>
        </w:tc>
        <w:tc>
          <w:tcPr>
            <w:tcW w:w="816" w:type="dxa"/>
            <w:vMerge w:val="continue"/>
            <w:vAlign w:val="center"/>
          </w:tcPr>
          <w:p w14:paraId="7B4333A1">
            <w:pPr>
              <w:spacing w:line="360" w:lineRule="auto"/>
              <w:jc w:val="center"/>
              <w:rPr>
                <w:rFonts w:ascii="宋体" w:hAnsi="宋体" w:cs="宋体"/>
                <w:sz w:val="24"/>
              </w:rPr>
            </w:pPr>
          </w:p>
        </w:tc>
      </w:tr>
      <w:tr w14:paraId="7522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742" w:type="dxa"/>
            <w:vMerge w:val="continue"/>
            <w:vAlign w:val="center"/>
          </w:tcPr>
          <w:p w14:paraId="1C36644E">
            <w:pPr>
              <w:spacing w:line="360" w:lineRule="auto"/>
              <w:jc w:val="center"/>
              <w:rPr>
                <w:rFonts w:ascii="宋体" w:hAnsi="宋体" w:cs="宋体"/>
                <w:sz w:val="24"/>
              </w:rPr>
            </w:pPr>
          </w:p>
        </w:tc>
        <w:tc>
          <w:tcPr>
            <w:tcW w:w="1151" w:type="dxa"/>
            <w:vMerge w:val="continue"/>
            <w:vAlign w:val="center"/>
          </w:tcPr>
          <w:p w14:paraId="040A8837">
            <w:pPr>
              <w:spacing w:line="360" w:lineRule="auto"/>
              <w:jc w:val="center"/>
              <w:rPr>
                <w:rFonts w:ascii="宋体" w:hAnsi="宋体" w:cs="宋体"/>
                <w:sz w:val="24"/>
              </w:rPr>
            </w:pPr>
          </w:p>
        </w:tc>
        <w:tc>
          <w:tcPr>
            <w:tcW w:w="5752" w:type="dxa"/>
            <w:vAlign w:val="center"/>
          </w:tcPr>
          <w:p w14:paraId="7696FF33">
            <w:pPr>
              <w:spacing w:line="360" w:lineRule="auto"/>
              <w:rPr>
                <w:rFonts w:ascii="宋体" w:hAnsi="宋体" w:cs="宋体"/>
                <w:sz w:val="24"/>
              </w:rPr>
            </w:pPr>
            <w:r>
              <w:rPr>
                <w:rFonts w:hint="eastAsia" w:ascii="宋体" w:hAnsi="宋体" w:cs="宋体"/>
                <w:sz w:val="24"/>
              </w:rPr>
              <w:t>发动机排量（ml）/功率（KW）：≥2900/120</w:t>
            </w:r>
          </w:p>
        </w:tc>
        <w:tc>
          <w:tcPr>
            <w:tcW w:w="830" w:type="dxa"/>
            <w:vMerge w:val="continue"/>
            <w:vAlign w:val="center"/>
          </w:tcPr>
          <w:p w14:paraId="48B6B8BC">
            <w:pPr>
              <w:spacing w:line="360" w:lineRule="auto"/>
              <w:jc w:val="center"/>
              <w:rPr>
                <w:rFonts w:ascii="宋体" w:hAnsi="宋体" w:cs="宋体"/>
                <w:sz w:val="24"/>
              </w:rPr>
            </w:pPr>
          </w:p>
        </w:tc>
        <w:tc>
          <w:tcPr>
            <w:tcW w:w="816" w:type="dxa"/>
            <w:vMerge w:val="continue"/>
            <w:vAlign w:val="center"/>
          </w:tcPr>
          <w:p w14:paraId="605DD005">
            <w:pPr>
              <w:spacing w:line="360" w:lineRule="auto"/>
              <w:jc w:val="center"/>
              <w:rPr>
                <w:rFonts w:ascii="宋体" w:hAnsi="宋体" w:cs="宋体"/>
                <w:sz w:val="24"/>
              </w:rPr>
            </w:pPr>
          </w:p>
        </w:tc>
      </w:tr>
      <w:tr w14:paraId="64E6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2" w:type="dxa"/>
            <w:vMerge w:val="continue"/>
            <w:vAlign w:val="center"/>
          </w:tcPr>
          <w:p w14:paraId="6486D1D7">
            <w:pPr>
              <w:spacing w:line="360" w:lineRule="auto"/>
              <w:jc w:val="center"/>
              <w:rPr>
                <w:rFonts w:ascii="宋体" w:hAnsi="宋体" w:cs="宋体"/>
                <w:sz w:val="24"/>
              </w:rPr>
            </w:pPr>
          </w:p>
        </w:tc>
        <w:tc>
          <w:tcPr>
            <w:tcW w:w="1151" w:type="dxa"/>
            <w:vMerge w:val="continue"/>
            <w:vAlign w:val="center"/>
          </w:tcPr>
          <w:p w14:paraId="67FC0857">
            <w:pPr>
              <w:spacing w:line="360" w:lineRule="auto"/>
              <w:jc w:val="center"/>
              <w:rPr>
                <w:rFonts w:ascii="宋体" w:hAnsi="宋体" w:cs="宋体"/>
                <w:sz w:val="24"/>
              </w:rPr>
            </w:pPr>
          </w:p>
        </w:tc>
        <w:tc>
          <w:tcPr>
            <w:tcW w:w="5752" w:type="dxa"/>
            <w:vAlign w:val="center"/>
          </w:tcPr>
          <w:p w14:paraId="0FEB28B6">
            <w:pPr>
              <w:spacing w:line="360" w:lineRule="auto"/>
              <w:rPr>
                <w:rFonts w:ascii="宋体" w:hAnsi="宋体" w:cs="宋体"/>
                <w:sz w:val="24"/>
              </w:rPr>
            </w:pPr>
            <w:r>
              <w:rPr>
                <w:rFonts w:hint="eastAsia" w:ascii="宋体" w:hAnsi="宋体" w:cs="宋体"/>
                <w:sz w:val="24"/>
              </w:rPr>
              <w:t>发动机后置，减少驾驶区噪音及震动。</w:t>
            </w:r>
            <w:r>
              <w:rPr>
                <w:rFonts w:hint="eastAsia" w:ascii="宋体" w:hAnsi="宋体" w:cs="宋体"/>
                <w:b/>
                <w:bCs/>
                <w:sz w:val="24"/>
              </w:rPr>
              <w:t>【投标时须提供所投产品的发动机后置安装实车图片（彩色），并加盖供应商公章】</w:t>
            </w:r>
          </w:p>
        </w:tc>
        <w:tc>
          <w:tcPr>
            <w:tcW w:w="830" w:type="dxa"/>
            <w:vMerge w:val="continue"/>
            <w:vAlign w:val="center"/>
          </w:tcPr>
          <w:p w14:paraId="1D38550C">
            <w:pPr>
              <w:spacing w:line="360" w:lineRule="auto"/>
              <w:jc w:val="center"/>
              <w:rPr>
                <w:rFonts w:ascii="宋体" w:hAnsi="宋体" w:cs="宋体"/>
                <w:sz w:val="24"/>
              </w:rPr>
            </w:pPr>
          </w:p>
        </w:tc>
        <w:tc>
          <w:tcPr>
            <w:tcW w:w="816" w:type="dxa"/>
            <w:vMerge w:val="continue"/>
            <w:vAlign w:val="center"/>
          </w:tcPr>
          <w:p w14:paraId="487051A2">
            <w:pPr>
              <w:spacing w:line="360" w:lineRule="auto"/>
              <w:jc w:val="center"/>
              <w:rPr>
                <w:rFonts w:ascii="宋体" w:hAnsi="宋体" w:cs="宋体"/>
                <w:sz w:val="24"/>
              </w:rPr>
            </w:pPr>
          </w:p>
        </w:tc>
      </w:tr>
      <w:tr w14:paraId="1A98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2" w:type="dxa"/>
            <w:vMerge w:val="continue"/>
            <w:vAlign w:val="center"/>
          </w:tcPr>
          <w:p w14:paraId="0ACCF475">
            <w:pPr>
              <w:spacing w:line="360" w:lineRule="auto"/>
              <w:jc w:val="center"/>
              <w:rPr>
                <w:rFonts w:ascii="宋体" w:hAnsi="宋体" w:cs="宋体"/>
                <w:sz w:val="24"/>
              </w:rPr>
            </w:pPr>
          </w:p>
        </w:tc>
        <w:tc>
          <w:tcPr>
            <w:tcW w:w="1151" w:type="dxa"/>
            <w:vMerge w:val="continue"/>
            <w:vAlign w:val="center"/>
          </w:tcPr>
          <w:p w14:paraId="69FADBCB">
            <w:pPr>
              <w:spacing w:line="360" w:lineRule="auto"/>
              <w:jc w:val="center"/>
              <w:rPr>
                <w:rFonts w:ascii="宋体" w:hAnsi="宋体" w:cs="宋体"/>
                <w:sz w:val="24"/>
              </w:rPr>
            </w:pPr>
          </w:p>
        </w:tc>
        <w:tc>
          <w:tcPr>
            <w:tcW w:w="5752" w:type="dxa"/>
            <w:vAlign w:val="center"/>
          </w:tcPr>
          <w:p w14:paraId="72991989">
            <w:pPr>
              <w:spacing w:line="360" w:lineRule="auto"/>
              <w:rPr>
                <w:rFonts w:ascii="宋体" w:hAnsi="宋体" w:cs="宋体"/>
                <w:sz w:val="24"/>
              </w:rPr>
            </w:pPr>
            <w:r>
              <w:rPr>
                <w:rFonts w:hint="eastAsia" w:ascii="方正舒体" w:hAnsi="宋体" w:eastAsia="方正舒体" w:cs="宋体"/>
                <w:sz w:val="24"/>
              </w:rPr>
              <w:t>▲</w:t>
            </w:r>
            <w:r>
              <w:rPr>
                <w:rFonts w:hint="eastAsia" w:ascii="宋体" w:hAnsi="宋体" w:cs="宋体"/>
                <w:sz w:val="24"/>
              </w:rPr>
              <w:t>燃料：柴油</w:t>
            </w:r>
          </w:p>
        </w:tc>
        <w:tc>
          <w:tcPr>
            <w:tcW w:w="830" w:type="dxa"/>
            <w:vMerge w:val="continue"/>
            <w:vAlign w:val="center"/>
          </w:tcPr>
          <w:p w14:paraId="4612F221">
            <w:pPr>
              <w:spacing w:line="360" w:lineRule="auto"/>
              <w:jc w:val="center"/>
              <w:rPr>
                <w:rFonts w:ascii="宋体" w:hAnsi="宋体" w:cs="宋体"/>
                <w:sz w:val="24"/>
              </w:rPr>
            </w:pPr>
          </w:p>
        </w:tc>
        <w:tc>
          <w:tcPr>
            <w:tcW w:w="816" w:type="dxa"/>
            <w:vMerge w:val="continue"/>
            <w:vAlign w:val="center"/>
          </w:tcPr>
          <w:p w14:paraId="42B5F850">
            <w:pPr>
              <w:spacing w:line="360" w:lineRule="auto"/>
              <w:jc w:val="center"/>
              <w:rPr>
                <w:rFonts w:ascii="宋体" w:hAnsi="宋体" w:cs="宋体"/>
                <w:sz w:val="24"/>
              </w:rPr>
            </w:pPr>
          </w:p>
        </w:tc>
      </w:tr>
      <w:tr w14:paraId="290D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2" w:type="dxa"/>
            <w:vMerge w:val="continue"/>
            <w:vAlign w:val="center"/>
          </w:tcPr>
          <w:p w14:paraId="6C3D240F">
            <w:pPr>
              <w:spacing w:line="360" w:lineRule="auto"/>
              <w:jc w:val="center"/>
              <w:rPr>
                <w:rFonts w:ascii="宋体" w:hAnsi="宋体" w:cs="宋体"/>
                <w:sz w:val="24"/>
              </w:rPr>
            </w:pPr>
          </w:p>
        </w:tc>
        <w:tc>
          <w:tcPr>
            <w:tcW w:w="1151" w:type="dxa"/>
            <w:vMerge w:val="continue"/>
            <w:vAlign w:val="center"/>
          </w:tcPr>
          <w:p w14:paraId="5518807A">
            <w:pPr>
              <w:spacing w:line="360" w:lineRule="auto"/>
              <w:jc w:val="center"/>
              <w:rPr>
                <w:rFonts w:ascii="宋体" w:hAnsi="宋体" w:cs="宋体"/>
                <w:sz w:val="24"/>
              </w:rPr>
            </w:pPr>
          </w:p>
        </w:tc>
        <w:tc>
          <w:tcPr>
            <w:tcW w:w="5752" w:type="dxa"/>
            <w:vAlign w:val="center"/>
          </w:tcPr>
          <w:p w14:paraId="5D367C59">
            <w:pPr>
              <w:spacing w:line="360" w:lineRule="auto"/>
              <w:rPr>
                <w:rFonts w:hint="eastAsia" w:ascii="方正舒体" w:hAnsi="宋体" w:eastAsia="方正舒体" w:cs="宋体"/>
                <w:sz w:val="24"/>
              </w:rPr>
            </w:pPr>
            <w:r>
              <w:rPr>
                <w:rFonts w:hint="eastAsia" w:ascii="方正舒体" w:hAnsi="宋体" w:eastAsia="方正舒体" w:cs="宋体"/>
                <w:sz w:val="24"/>
              </w:rPr>
              <w:t>▲</w:t>
            </w:r>
            <w:r>
              <w:rPr>
                <w:rFonts w:hint="eastAsia" w:ascii="宋体" w:hAnsi="宋体" w:cs="宋体"/>
                <w:sz w:val="24"/>
              </w:rPr>
              <w:t>最高车速（Km/h）：≥80</w:t>
            </w:r>
          </w:p>
        </w:tc>
        <w:tc>
          <w:tcPr>
            <w:tcW w:w="830" w:type="dxa"/>
            <w:vMerge w:val="continue"/>
            <w:vAlign w:val="center"/>
          </w:tcPr>
          <w:p w14:paraId="21EE9AE0">
            <w:pPr>
              <w:spacing w:line="360" w:lineRule="auto"/>
              <w:jc w:val="center"/>
              <w:rPr>
                <w:rFonts w:ascii="宋体" w:hAnsi="宋体" w:cs="宋体"/>
                <w:sz w:val="24"/>
              </w:rPr>
            </w:pPr>
          </w:p>
        </w:tc>
        <w:tc>
          <w:tcPr>
            <w:tcW w:w="816" w:type="dxa"/>
            <w:vMerge w:val="continue"/>
            <w:vAlign w:val="center"/>
          </w:tcPr>
          <w:p w14:paraId="452042F9">
            <w:pPr>
              <w:spacing w:line="360" w:lineRule="auto"/>
              <w:jc w:val="center"/>
              <w:rPr>
                <w:rFonts w:ascii="宋体" w:hAnsi="宋体" w:cs="宋体"/>
                <w:sz w:val="24"/>
              </w:rPr>
            </w:pPr>
          </w:p>
        </w:tc>
      </w:tr>
      <w:tr w14:paraId="03A8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2" w:type="dxa"/>
            <w:vMerge w:val="continue"/>
            <w:vAlign w:val="center"/>
          </w:tcPr>
          <w:p w14:paraId="52AF064E">
            <w:pPr>
              <w:spacing w:line="360" w:lineRule="auto"/>
              <w:jc w:val="center"/>
              <w:rPr>
                <w:rFonts w:ascii="宋体" w:hAnsi="宋体" w:cs="宋体"/>
                <w:sz w:val="24"/>
              </w:rPr>
            </w:pPr>
          </w:p>
        </w:tc>
        <w:tc>
          <w:tcPr>
            <w:tcW w:w="1151" w:type="dxa"/>
            <w:vMerge w:val="continue"/>
            <w:vAlign w:val="center"/>
          </w:tcPr>
          <w:p w14:paraId="54DBF51F">
            <w:pPr>
              <w:spacing w:line="360" w:lineRule="auto"/>
              <w:jc w:val="center"/>
              <w:rPr>
                <w:rFonts w:ascii="宋体" w:hAnsi="宋体" w:cs="宋体"/>
                <w:sz w:val="24"/>
              </w:rPr>
            </w:pPr>
          </w:p>
        </w:tc>
        <w:tc>
          <w:tcPr>
            <w:tcW w:w="5752" w:type="dxa"/>
            <w:vAlign w:val="center"/>
          </w:tcPr>
          <w:p w14:paraId="7045B6FF">
            <w:pPr>
              <w:spacing w:line="360" w:lineRule="auto"/>
              <w:rPr>
                <w:rFonts w:ascii="宋体" w:hAnsi="宋体" w:cs="宋体"/>
                <w:sz w:val="24"/>
              </w:rPr>
            </w:pPr>
            <w:r>
              <w:rPr>
                <w:rFonts w:hint="eastAsia" w:ascii="宋体" w:hAnsi="宋体" w:cs="宋体"/>
                <w:sz w:val="24"/>
              </w:rPr>
              <w:t>变速器：五档手动变速器</w:t>
            </w:r>
          </w:p>
        </w:tc>
        <w:tc>
          <w:tcPr>
            <w:tcW w:w="830" w:type="dxa"/>
            <w:vMerge w:val="continue"/>
            <w:vAlign w:val="center"/>
          </w:tcPr>
          <w:p w14:paraId="07FC679D">
            <w:pPr>
              <w:spacing w:line="360" w:lineRule="auto"/>
              <w:jc w:val="center"/>
              <w:rPr>
                <w:rFonts w:ascii="宋体" w:hAnsi="宋体" w:cs="宋体"/>
                <w:sz w:val="24"/>
              </w:rPr>
            </w:pPr>
          </w:p>
        </w:tc>
        <w:tc>
          <w:tcPr>
            <w:tcW w:w="816" w:type="dxa"/>
            <w:vMerge w:val="continue"/>
            <w:vAlign w:val="center"/>
          </w:tcPr>
          <w:p w14:paraId="3ED8F207">
            <w:pPr>
              <w:spacing w:line="360" w:lineRule="auto"/>
              <w:jc w:val="center"/>
              <w:rPr>
                <w:rFonts w:ascii="宋体" w:hAnsi="宋体" w:cs="宋体"/>
                <w:sz w:val="24"/>
              </w:rPr>
            </w:pPr>
          </w:p>
        </w:tc>
      </w:tr>
      <w:tr w14:paraId="0103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2" w:type="dxa"/>
            <w:vMerge w:val="continue"/>
            <w:vAlign w:val="center"/>
          </w:tcPr>
          <w:p w14:paraId="61DF3138">
            <w:pPr>
              <w:spacing w:line="360" w:lineRule="auto"/>
              <w:jc w:val="center"/>
              <w:rPr>
                <w:rFonts w:ascii="宋体" w:hAnsi="宋体" w:cs="宋体"/>
                <w:sz w:val="24"/>
              </w:rPr>
            </w:pPr>
          </w:p>
        </w:tc>
        <w:tc>
          <w:tcPr>
            <w:tcW w:w="1151" w:type="dxa"/>
            <w:vMerge w:val="continue"/>
            <w:vAlign w:val="center"/>
          </w:tcPr>
          <w:p w14:paraId="64FDE12E">
            <w:pPr>
              <w:spacing w:line="360" w:lineRule="auto"/>
              <w:jc w:val="center"/>
              <w:rPr>
                <w:rFonts w:ascii="宋体" w:hAnsi="宋体" w:cs="宋体"/>
                <w:sz w:val="24"/>
              </w:rPr>
            </w:pPr>
          </w:p>
        </w:tc>
        <w:tc>
          <w:tcPr>
            <w:tcW w:w="5752" w:type="dxa"/>
            <w:vAlign w:val="center"/>
          </w:tcPr>
          <w:p w14:paraId="33739013">
            <w:pPr>
              <w:spacing w:line="360" w:lineRule="auto"/>
              <w:rPr>
                <w:rFonts w:ascii="宋体" w:hAnsi="宋体" w:cs="宋体"/>
                <w:sz w:val="24"/>
              </w:rPr>
            </w:pPr>
            <w:r>
              <w:rPr>
                <w:rFonts w:hint="eastAsia" w:ascii="宋体" w:hAnsi="宋体" w:cs="宋体"/>
                <w:sz w:val="24"/>
              </w:rPr>
              <w:t>转向系统：整体式动力转向器，方向盘前后上下可调</w:t>
            </w:r>
          </w:p>
        </w:tc>
        <w:tc>
          <w:tcPr>
            <w:tcW w:w="830" w:type="dxa"/>
            <w:vMerge w:val="continue"/>
            <w:vAlign w:val="center"/>
          </w:tcPr>
          <w:p w14:paraId="1B438E35">
            <w:pPr>
              <w:spacing w:line="360" w:lineRule="auto"/>
              <w:jc w:val="center"/>
              <w:rPr>
                <w:rFonts w:ascii="宋体" w:hAnsi="宋体" w:cs="宋体"/>
                <w:sz w:val="24"/>
              </w:rPr>
            </w:pPr>
          </w:p>
        </w:tc>
        <w:tc>
          <w:tcPr>
            <w:tcW w:w="816" w:type="dxa"/>
            <w:vMerge w:val="continue"/>
            <w:vAlign w:val="center"/>
          </w:tcPr>
          <w:p w14:paraId="246FCCD0">
            <w:pPr>
              <w:spacing w:line="360" w:lineRule="auto"/>
              <w:jc w:val="center"/>
              <w:rPr>
                <w:rFonts w:ascii="宋体" w:hAnsi="宋体" w:cs="宋体"/>
                <w:sz w:val="24"/>
              </w:rPr>
            </w:pPr>
          </w:p>
        </w:tc>
      </w:tr>
      <w:tr w14:paraId="7243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2" w:type="dxa"/>
            <w:vMerge w:val="continue"/>
            <w:vAlign w:val="center"/>
          </w:tcPr>
          <w:p w14:paraId="7C801748">
            <w:pPr>
              <w:spacing w:line="360" w:lineRule="auto"/>
              <w:jc w:val="center"/>
              <w:rPr>
                <w:rFonts w:ascii="宋体" w:hAnsi="宋体" w:cs="宋体"/>
                <w:sz w:val="24"/>
              </w:rPr>
            </w:pPr>
          </w:p>
        </w:tc>
        <w:tc>
          <w:tcPr>
            <w:tcW w:w="1151" w:type="dxa"/>
            <w:vMerge w:val="continue"/>
            <w:vAlign w:val="center"/>
          </w:tcPr>
          <w:p w14:paraId="7137FBE7">
            <w:pPr>
              <w:spacing w:line="360" w:lineRule="auto"/>
              <w:jc w:val="center"/>
              <w:rPr>
                <w:rFonts w:ascii="宋体" w:hAnsi="宋体" w:cs="宋体"/>
                <w:sz w:val="24"/>
              </w:rPr>
            </w:pPr>
          </w:p>
        </w:tc>
        <w:tc>
          <w:tcPr>
            <w:tcW w:w="5752" w:type="dxa"/>
            <w:vAlign w:val="center"/>
          </w:tcPr>
          <w:p w14:paraId="3BBB1930">
            <w:pPr>
              <w:spacing w:line="360" w:lineRule="auto"/>
              <w:rPr>
                <w:rFonts w:ascii="宋体" w:hAnsi="宋体" w:cs="宋体"/>
                <w:sz w:val="24"/>
              </w:rPr>
            </w:pPr>
            <w:r>
              <w:rPr>
                <w:rFonts w:hint="eastAsia" w:ascii="宋体" w:hAnsi="宋体" w:cs="宋体"/>
                <w:sz w:val="24"/>
              </w:rPr>
              <w:t>制动系统：制动间隙自动调整臂，双回路气制动系统、储能弹簧式驻车制动器、空气干燥器,ABS</w:t>
            </w:r>
          </w:p>
        </w:tc>
        <w:tc>
          <w:tcPr>
            <w:tcW w:w="830" w:type="dxa"/>
            <w:vMerge w:val="continue"/>
            <w:vAlign w:val="center"/>
          </w:tcPr>
          <w:p w14:paraId="66ACCD9B">
            <w:pPr>
              <w:spacing w:line="360" w:lineRule="auto"/>
              <w:jc w:val="center"/>
              <w:rPr>
                <w:rFonts w:ascii="宋体" w:hAnsi="宋体" w:cs="宋体"/>
                <w:sz w:val="24"/>
              </w:rPr>
            </w:pPr>
          </w:p>
        </w:tc>
        <w:tc>
          <w:tcPr>
            <w:tcW w:w="816" w:type="dxa"/>
            <w:vMerge w:val="continue"/>
            <w:vAlign w:val="center"/>
          </w:tcPr>
          <w:p w14:paraId="28A858A8">
            <w:pPr>
              <w:spacing w:line="360" w:lineRule="auto"/>
              <w:jc w:val="center"/>
              <w:rPr>
                <w:rFonts w:ascii="宋体" w:hAnsi="宋体" w:cs="宋体"/>
                <w:sz w:val="24"/>
              </w:rPr>
            </w:pPr>
          </w:p>
        </w:tc>
      </w:tr>
      <w:tr w14:paraId="6CDA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2" w:type="dxa"/>
            <w:vMerge w:val="continue"/>
            <w:vAlign w:val="center"/>
          </w:tcPr>
          <w:p w14:paraId="19DCC3E9">
            <w:pPr>
              <w:spacing w:line="360" w:lineRule="auto"/>
              <w:jc w:val="center"/>
              <w:rPr>
                <w:rFonts w:ascii="宋体" w:hAnsi="宋体" w:cs="宋体"/>
                <w:sz w:val="24"/>
              </w:rPr>
            </w:pPr>
          </w:p>
        </w:tc>
        <w:tc>
          <w:tcPr>
            <w:tcW w:w="1151" w:type="dxa"/>
            <w:vMerge w:val="continue"/>
            <w:vAlign w:val="center"/>
          </w:tcPr>
          <w:p w14:paraId="6B685611">
            <w:pPr>
              <w:spacing w:line="360" w:lineRule="auto"/>
              <w:jc w:val="center"/>
              <w:rPr>
                <w:rFonts w:ascii="宋体" w:hAnsi="宋体" w:cs="宋体"/>
                <w:sz w:val="24"/>
              </w:rPr>
            </w:pPr>
          </w:p>
        </w:tc>
        <w:tc>
          <w:tcPr>
            <w:tcW w:w="5752" w:type="dxa"/>
            <w:vAlign w:val="center"/>
          </w:tcPr>
          <w:p w14:paraId="69E87762">
            <w:pPr>
              <w:spacing w:line="360" w:lineRule="auto"/>
              <w:rPr>
                <w:rFonts w:hint="eastAsia" w:ascii="宋体" w:hAnsi="宋体" w:cs="宋体"/>
                <w:sz w:val="24"/>
              </w:rPr>
            </w:pPr>
            <w:r>
              <w:rPr>
                <w:rFonts w:hint="eastAsia" w:ascii="宋体" w:hAnsi="宋体" w:cs="宋体"/>
                <w:sz w:val="24"/>
              </w:rPr>
              <w:t>颜色：成交后，根据采购单位需求</w:t>
            </w:r>
          </w:p>
        </w:tc>
        <w:tc>
          <w:tcPr>
            <w:tcW w:w="830" w:type="dxa"/>
            <w:vMerge w:val="continue"/>
            <w:vAlign w:val="center"/>
          </w:tcPr>
          <w:p w14:paraId="30BA0161">
            <w:pPr>
              <w:spacing w:line="360" w:lineRule="auto"/>
              <w:jc w:val="center"/>
              <w:rPr>
                <w:rFonts w:ascii="宋体" w:hAnsi="宋体" w:cs="宋体"/>
                <w:sz w:val="24"/>
              </w:rPr>
            </w:pPr>
          </w:p>
        </w:tc>
        <w:tc>
          <w:tcPr>
            <w:tcW w:w="816" w:type="dxa"/>
            <w:vMerge w:val="continue"/>
            <w:vAlign w:val="center"/>
          </w:tcPr>
          <w:p w14:paraId="0C9CB95D">
            <w:pPr>
              <w:spacing w:line="360" w:lineRule="auto"/>
              <w:jc w:val="center"/>
              <w:rPr>
                <w:rFonts w:ascii="宋体" w:hAnsi="宋体" w:cs="宋体"/>
                <w:sz w:val="24"/>
              </w:rPr>
            </w:pPr>
          </w:p>
        </w:tc>
      </w:tr>
      <w:tr w14:paraId="7BD0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2" w:type="dxa"/>
            <w:vMerge w:val="continue"/>
            <w:vAlign w:val="center"/>
          </w:tcPr>
          <w:p w14:paraId="53DB619A">
            <w:pPr>
              <w:spacing w:line="360" w:lineRule="auto"/>
              <w:jc w:val="center"/>
              <w:rPr>
                <w:rFonts w:ascii="宋体" w:hAnsi="宋体" w:cs="宋体"/>
                <w:sz w:val="24"/>
              </w:rPr>
            </w:pPr>
          </w:p>
        </w:tc>
        <w:tc>
          <w:tcPr>
            <w:tcW w:w="1151" w:type="dxa"/>
            <w:vMerge w:val="continue"/>
            <w:vAlign w:val="center"/>
          </w:tcPr>
          <w:p w14:paraId="210DB602">
            <w:pPr>
              <w:spacing w:line="360" w:lineRule="auto"/>
              <w:jc w:val="center"/>
              <w:rPr>
                <w:rFonts w:ascii="宋体" w:hAnsi="宋体" w:cs="宋体"/>
                <w:sz w:val="24"/>
              </w:rPr>
            </w:pPr>
          </w:p>
        </w:tc>
        <w:tc>
          <w:tcPr>
            <w:tcW w:w="5752" w:type="dxa"/>
            <w:vAlign w:val="center"/>
          </w:tcPr>
          <w:p w14:paraId="5A82E3EB">
            <w:pPr>
              <w:spacing w:line="360" w:lineRule="auto"/>
              <w:rPr>
                <w:rFonts w:ascii="宋体" w:hAnsi="宋体" w:cs="宋体"/>
                <w:sz w:val="24"/>
              </w:rPr>
            </w:pPr>
            <w:r>
              <w:rPr>
                <w:rFonts w:hint="eastAsia" w:ascii="宋体" w:hAnsi="宋体" w:cs="宋体"/>
                <w:sz w:val="24"/>
              </w:rPr>
              <w:t>车身内饰：带风道有出风口，司机窗遮阳帘，乘客区有窗帘，无内行李架；前风挡双半幅遮阳帘；</w:t>
            </w:r>
          </w:p>
        </w:tc>
        <w:tc>
          <w:tcPr>
            <w:tcW w:w="830" w:type="dxa"/>
            <w:vMerge w:val="continue"/>
            <w:vAlign w:val="center"/>
          </w:tcPr>
          <w:p w14:paraId="50EDBB78">
            <w:pPr>
              <w:spacing w:line="360" w:lineRule="auto"/>
              <w:jc w:val="center"/>
              <w:rPr>
                <w:rFonts w:ascii="宋体" w:hAnsi="宋体" w:cs="宋体"/>
                <w:sz w:val="24"/>
              </w:rPr>
            </w:pPr>
          </w:p>
        </w:tc>
        <w:tc>
          <w:tcPr>
            <w:tcW w:w="816" w:type="dxa"/>
            <w:vMerge w:val="continue"/>
            <w:vAlign w:val="center"/>
          </w:tcPr>
          <w:p w14:paraId="3D20857F">
            <w:pPr>
              <w:spacing w:line="360" w:lineRule="auto"/>
              <w:jc w:val="center"/>
              <w:rPr>
                <w:rFonts w:ascii="宋体" w:hAnsi="宋体" w:cs="宋体"/>
                <w:sz w:val="24"/>
              </w:rPr>
            </w:pPr>
          </w:p>
        </w:tc>
      </w:tr>
      <w:tr w14:paraId="2EFB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2" w:type="dxa"/>
            <w:vMerge w:val="continue"/>
            <w:vAlign w:val="center"/>
          </w:tcPr>
          <w:p w14:paraId="5B267084">
            <w:pPr>
              <w:spacing w:line="360" w:lineRule="auto"/>
              <w:jc w:val="center"/>
              <w:rPr>
                <w:rFonts w:ascii="宋体" w:hAnsi="宋体" w:cs="宋体"/>
                <w:sz w:val="24"/>
              </w:rPr>
            </w:pPr>
          </w:p>
        </w:tc>
        <w:tc>
          <w:tcPr>
            <w:tcW w:w="1151" w:type="dxa"/>
            <w:vMerge w:val="continue"/>
            <w:vAlign w:val="center"/>
          </w:tcPr>
          <w:p w14:paraId="130AAA0D">
            <w:pPr>
              <w:spacing w:line="360" w:lineRule="auto"/>
              <w:jc w:val="center"/>
              <w:rPr>
                <w:rFonts w:ascii="宋体" w:hAnsi="宋体" w:cs="宋体"/>
                <w:sz w:val="24"/>
              </w:rPr>
            </w:pPr>
          </w:p>
        </w:tc>
        <w:tc>
          <w:tcPr>
            <w:tcW w:w="5752" w:type="dxa"/>
            <w:vAlign w:val="center"/>
          </w:tcPr>
          <w:p w14:paraId="5300866F">
            <w:pPr>
              <w:spacing w:line="360" w:lineRule="auto"/>
              <w:rPr>
                <w:rFonts w:ascii="宋体" w:hAnsi="宋体" w:cs="宋体"/>
                <w:sz w:val="24"/>
              </w:rPr>
            </w:pPr>
            <w:r>
              <w:rPr>
                <w:rFonts w:hint="eastAsia" w:ascii="宋体" w:hAnsi="宋体" w:cs="宋体"/>
                <w:sz w:val="24"/>
              </w:rPr>
              <w:t>车门及门泵：司机门，遥控式钢化玻璃外摆门；</w:t>
            </w:r>
          </w:p>
        </w:tc>
        <w:tc>
          <w:tcPr>
            <w:tcW w:w="830" w:type="dxa"/>
            <w:vMerge w:val="continue"/>
            <w:vAlign w:val="center"/>
          </w:tcPr>
          <w:p w14:paraId="1A880F35">
            <w:pPr>
              <w:spacing w:line="360" w:lineRule="auto"/>
              <w:jc w:val="center"/>
              <w:rPr>
                <w:rFonts w:ascii="宋体" w:hAnsi="宋体" w:cs="宋体"/>
                <w:sz w:val="24"/>
              </w:rPr>
            </w:pPr>
          </w:p>
        </w:tc>
        <w:tc>
          <w:tcPr>
            <w:tcW w:w="816" w:type="dxa"/>
            <w:vMerge w:val="continue"/>
            <w:vAlign w:val="center"/>
          </w:tcPr>
          <w:p w14:paraId="693510D9">
            <w:pPr>
              <w:spacing w:line="360" w:lineRule="auto"/>
              <w:jc w:val="center"/>
              <w:rPr>
                <w:rFonts w:ascii="宋体" w:hAnsi="宋体" w:cs="宋体"/>
                <w:sz w:val="24"/>
              </w:rPr>
            </w:pPr>
          </w:p>
        </w:tc>
      </w:tr>
      <w:tr w14:paraId="2AD9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2" w:type="dxa"/>
            <w:vMerge w:val="continue"/>
            <w:vAlign w:val="center"/>
          </w:tcPr>
          <w:p w14:paraId="0FAA9F4A">
            <w:pPr>
              <w:spacing w:line="360" w:lineRule="auto"/>
              <w:jc w:val="center"/>
              <w:rPr>
                <w:rFonts w:ascii="宋体" w:hAnsi="宋体" w:cs="宋体"/>
                <w:sz w:val="24"/>
              </w:rPr>
            </w:pPr>
          </w:p>
        </w:tc>
        <w:tc>
          <w:tcPr>
            <w:tcW w:w="1151" w:type="dxa"/>
            <w:vMerge w:val="continue"/>
            <w:vAlign w:val="center"/>
          </w:tcPr>
          <w:p w14:paraId="6EAD9C4A">
            <w:pPr>
              <w:spacing w:line="360" w:lineRule="auto"/>
              <w:jc w:val="center"/>
              <w:rPr>
                <w:rFonts w:ascii="宋体" w:hAnsi="宋体" w:cs="宋体"/>
                <w:sz w:val="24"/>
              </w:rPr>
            </w:pPr>
          </w:p>
        </w:tc>
        <w:tc>
          <w:tcPr>
            <w:tcW w:w="5752" w:type="dxa"/>
            <w:vAlign w:val="center"/>
          </w:tcPr>
          <w:p w14:paraId="2E528A4A">
            <w:pPr>
              <w:spacing w:line="360" w:lineRule="auto"/>
              <w:rPr>
                <w:rFonts w:hint="eastAsia" w:ascii="宋体" w:hAnsi="宋体" w:cs="宋体"/>
                <w:sz w:val="24"/>
              </w:rPr>
            </w:pPr>
            <w:r>
              <w:rPr>
                <w:rFonts w:hint="eastAsia" w:ascii="宋体" w:hAnsi="宋体" w:cs="宋体"/>
                <w:sz w:val="24"/>
              </w:rPr>
              <w:t>附件：4把防盗警报安全锤、1个4kg干粉灭火器、装置2个自动灭火弹（发动机仓）</w:t>
            </w:r>
          </w:p>
        </w:tc>
        <w:tc>
          <w:tcPr>
            <w:tcW w:w="830" w:type="dxa"/>
            <w:vMerge w:val="continue"/>
            <w:vAlign w:val="center"/>
          </w:tcPr>
          <w:p w14:paraId="76B52C8A">
            <w:pPr>
              <w:spacing w:line="360" w:lineRule="auto"/>
              <w:jc w:val="center"/>
              <w:rPr>
                <w:rFonts w:ascii="宋体" w:hAnsi="宋体" w:cs="宋体"/>
                <w:sz w:val="24"/>
              </w:rPr>
            </w:pPr>
          </w:p>
        </w:tc>
        <w:tc>
          <w:tcPr>
            <w:tcW w:w="816" w:type="dxa"/>
            <w:vMerge w:val="continue"/>
            <w:vAlign w:val="center"/>
          </w:tcPr>
          <w:p w14:paraId="4C14F4CE">
            <w:pPr>
              <w:spacing w:line="360" w:lineRule="auto"/>
              <w:jc w:val="center"/>
              <w:rPr>
                <w:rFonts w:ascii="宋体" w:hAnsi="宋体" w:cs="宋体"/>
                <w:sz w:val="24"/>
              </w:rPr>
            </w:pPr>
          </w:p>
        </w:tc>
      </w:tr>
      <w:tr w14:paraId="0CA6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2" w:type="dxa"/>
            <w:vMerge w:val="continue"/>
            <w:vAlign w:val="center"/>
          </w:tcPr>
          <w:p w14:paraId="268865CD">
            <w:pPr>
              <w:spacing w:line="360" w:lineRule="auto"/>
              <w:jc w:val="center"/>
              <w:rPr>
                <w:rFonts w:ascii="宋体" w:hAnsi="宋体" w:cs="宋体"/>
                <w:sz w:val="24"/>
              </w:rPr>
            </w:pPr>
          </w:p>
        </w:tc>
        <w:tc>
          <w:tcPr>
            <w:tcW w:w="1151" w:type="dxa"/>
            <w:vMerge w:val="continue"/>
            <w:vAlign w:val="center"/>
          </w:tcPr>
          <w:p w14:paraId="1DB3BAC7">
            <w:pPr>
              <w:spacing w:line="360" w:lineRule="auto"/>
              <w:jc w:val="center"/>
              <w:rPr>
                <w:rFonts w:ascii="宋体" w:hAnsi="宋体" w:cs="宋体"/>
                <w:sz w:val="24"/>
              </w:rPr>
            </w:pPr>
          </w:p>
        </w:tc>
        <w:tc>
          <w:tcPr>
            <w:tcW w:w="5752" w:type="dxa"/>
            <w:vAlign w:val="center"/>
          </w:tcPr>
          <w:p w14:paraId="11BFD850">
            <w:pPr>
              <w:spacing w:line="360" w:lineRule="auto"/>
              <w:rPr>
                <w:rFonts w:ascii="宋体" w:hAnsi="宋体" w:cs="宋体"/>
                <w:sz w:val="24"/>
              </w:rPr>
            </w:pPr>
            <w:r>
              <w:rPr>
                <w:rFonts w:hint="eastAsia" w:ascii="宋体" w:hAnsi="宋体" w:cs="宋体"/>
                <w:sz w:val="24"/>
              </w:rPr>
              <w:t>座椅:加装副驾驶座椅，式样、面料与正驾驶座椅相同，</w:t>
            </w:r>
            <w:r>
              <w:rPr>
                <w:rFonts w:hint="eastAsia" w:ascii="方正舒体" w:hAnsi="宋体" w:eastAsia="方正舒体" w:cs="宋体"/>
                <w:sz w:val="24"/>
              </w:rPr>
              <w:t>≥</w:t>
            </w:r>
            <w:r>
              <w:rPr>
                <w:rFonts w:hint="eastAsia" w:ascii="宋体" w:hAnsi="宋体" w:cs="宋体"/>
                <w:sz w:val="24"/>
              </w:rPr>
              <w:t>10件乘客软布座椅</w:t>
            </w:r>
          </w:p>
        </w:tc>
        <w:tc>
          <w:tcPr>
            <w:tcW w:w="830" w:type="dxa"/>
            <w:vMerge w:val="continue"/>
            <w:vAlign w:val="center"/>
          </w:tcPr>
          <w:p w14:paraId="132189B6">
            <w:pPr>
              <w:spacing w:line="360" w:lineRule="auto"/>
              <w:jc w:val="center"/>
              <w:rPr>
                <w:rFonts w:ascii="宋体" w:hAnsi="宋体" w:cs="宋体"/>
                <w:sz w:val="24"/>
              </w:rPr>
            </w:pPr>
          </w:p>
        </w:tc>
        <w:tc>
          <w:tcPr>
            <w:tcW w:w="816" w:type="dxa"/>
            <w:vMerge w:val="continue"/>
            <w:vAlign w:val="center"/>
          </w:tcPr>
          <w:p w14:paraId="3E646D6B">
            <w:pPr>
              <w:spacing w:line="360" w:lineRule="auto"/>
              <w:jc w:val="center"/>
              <w:rPr>
                <w:rFonts w:ascii="宋体" w:hAnsi="宋体" w:cs="宋体"/>
                <w:sz w:val="24"/>
              </w:rPr>
            </w:pPr>
          </w:p>
        </w:tc>
      </w:tr>
      <w:tr w14:paraId="3FB8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2" w:type="dxa"/>
            <w:vMerge w:val="continue"/>
            <w:vAlign w:val="center"/>
          </w:tcPr>
          <w:p w14:paraId="3D57B2CD">
            <w:pPr>
              <w:spacing w:line="360" w:lineRule="auto"/>
              <w:jc w:val="center"/>
              <w:rPr>
                <w:rFonts w:ascii="宋体" w:hAnsi="宋体" w:cs="宋体"/>
                <w:sz w:val="24"/>
              </w:rPr>
            </w:pPr>
          </w:p>
        </w:tc>
        <w:tc>
          <w:tcPr>
            <w:tcW w:w="1151" w:type="dxa"/>
            <w:vMerge w:val="continue"/>
            <w:vAlign w:val="center"/>
          </w:tcPr>
          <w:p w14:paraId="40848D6B">
            <w:pPr>
              <w:spacing w:line="360" w:lineRule="auto"/>
              <w:jc w:val="center"/>
              <w:rPr>
                <w:rFonts w:ascii="宋体" w:hAnsi="宋体" w:cs="宋体"/>
                <w:sz w:val="24"/>
              </w:rPr>
            </w:pPr>
          </w:p>
        </w:tc>
        <w:tc>
          <w:tcPr>
            <w:tcW w:w="5752" w:type="dxa"/>
            <w:vAlign w:val="center"/>
          </w:tcPr>
          <w:p w14:paraId="054E17AA">
            <w:pPr>
              <w:spacing w:line="360" w:lineRule="auto"/>
              <w:rPr>
                <w:rFonts w:ascii="宋体" w:hAnsi="宋体" w:cs="宋体"/>
                <w:sz w:val="24"/>
              </w:rPr>
            </w:pPr>
            <w:r>
              <w:rPr>
                <w:rFonts w:hint="eastAsia" w:ascii="宋体" w:hAnsi="宋体" w:cs="宋体"/>
                <w:sz w:val="24"/>
              </w:rPr>
              <w:t>制冷系统：非独立顶置空调（≥24000Kcal/h）</w:t>
            </w:r>
          </w:p>
        </w:tc>
        <w:tc>
          <w:tcPr>
            <w:tcW w:w="830" w:type="dxa"/>
            <w:vMerge w:val="continue"/>
            <w:vAlign w:val="center"/>
          </w:tcPr>
          <w:p w14:paraId="4B7C2257">
            <w:pPr>
              <w:spacing w:line="360" w:lineRule="auto"/>
              <w:jc w:val="center"/>
              <w:rPr>
                <w:rFonts w:ascii="宋体" w:hAnsi="宋体" w:cs="宋体"/>
                <w:sz w:val="24"/>
              </w:rPr>
            </w:pPr>
          </w:p>
        </w:tc>
        <w:tc>
          <w:tcPr>
            <w:tcW w:w="816" w:type="dxa"/>
            <w:vMerge w:val="continue"/>
            <w:vAlign w:val="center"/>
          </w:tcPr>
          <w:p w14:paraId="74D2B2F2">
            <w:pPr>
              <w:spacing w:line="360" w:lineRule="auto"/>
              <w:jc w:val="center"/>
              <w:rPr>
                <w:rFonts w:ascii="宋体" w:hAnsi="宋体" w:cs="宋体"/>
                <w:sz w:val="24"/>
              </w:rPr>
            </w:pPr>
          </w:p>
        </w:tc>
      </w:tr>
      <w:tr w14:paraId="391A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2" w:type="dxa"/>
            <w:vMerge w:val="continue"/>
            <w:vAlign w:val="center"/>
          </w:tcPr>
          <w:p w14:paraId="05CA831E">
            <w:pPr>
              <w:spacing w:line="360" w:lineRule="auto"/>
              <w:jc w:val="center"/>
              <w:rPr>
                <w:rFonts w:ascii="宋体" w:hAnsi="宋体" w:cs="宋体"/>
                <w:sz w:val="24"/>
              </w:rPr>
            </w:pPr>
          </w:p>
        </w:tc>
        <w:tc>
          <w:tcPr>
            <w:tcW w:w="1151" w:type="dxa"/>
            <w:vMerge w:val="continue"/>
            <w:vAlign w:val="center"/>
          </w:tcPr>
          <w:p w14:paraId="3367EA0F">
            <w:pPr>
              <w:spacing w:line="360" w:lineRule="auto"/>
              <w:jc w:val="center"/>
              <w:rPr>
                <w:rFonts w:ascii="宋体" w:hAnsi="宋体" w:cs="宋体"/>
                <w:sz w:val="24"/>
              </w:rPr>
            </w:pPr>
          </w:p>
        </w:tc>
        <w:tc>
          <w:tcPr>
            <w:tcW w:w="5752" w:type="dxa"/>
            <w:vAlign w:val="center"/>
          </w:tcPr>
          <w:p w14:paraId="224BDB02">
            <w:pPr>
              <w:spacing w:line="360" w:lineRule="auto"/>
              <w:rPr>
                <w:rFonts w:ascii="宋体" w:hAnsi="宋体" w:cs="宋体"/>
                <w:sz w:val="24"/>
              </w:rPr>
            </w:pPr>
            <w:r>
              <w:rPr>
                <w:rFonts w:hint="eastAsia" w:ascii="宋体" w:hAnsi="宋体" w:cs="宋体"/>
                <w:sz w:val="24"/>
              </w:rPr>
              <w:t>供暖系统：非独立水暖加热器+四壁挂散热器+水暖除霜</w:t>
            </w:r>
          </w:p>
        </w:tc>
        <w:tc>
          <w:tcPr>
            <w:tcW w:w="830" w:type="dxa"/>
            <w:vMerge w:val="continue"/>
            <w:vAlign w:val="center"/>
          </w:tcPr>
          <w:p w14:paraId="2DFAFE0F">
            <w:pPr>
              <w:spacing w:line="360" w:lineRule="auto"/>
              <w:jc w:val="center"/>
              <w:rPr>
                <w:rFonts w:ascii="宋体" w:hAnsi="宋体" w:cs="宋体"/>
                <w:sz w:val="24"/>
              </w:rPr>
            </w:pPr>
          </w:p>
        </w:tc>
        <w:tc>
          <w:tcPr>
            <w:tcW w:w="816" w:type="dxa"/>
            <w:vMerge w:val="continue"/>
            <w:vAlign w:val="center"/>
          </w:tcPr>
          <w:p w14:paraId="586E87C8">
            <w:pPr>
              <w:spacing w:line="360" w:lineRule="auto"/>
              <w:jc w:val="center"/>
              <w:rPr>
                <w:rFonts w:ascii="宋体" w:hAnsi="宋体" w:cs="宋体"/>
                <w:sz w:val="24"/>
              </w:rPr>
            </w:pPr>
          </w:p>
        </w:tc>
      </w:tr>
      <w:tr w14:paraId="0983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42" w:type="dxa"/>
            <w:vMerge w:val="continue"/>
            <w:vAlign w:val="center"/>
          </w:tcPr>
          <w:p w14:paraId="3C1BC4B1">
            <w:pPr>
              <w:spacing w:line="360" w:lineRule="auto"/>
              <w:jc w:val="center"/>
              <w:rPr>
                <w:rFonts w:ascii="宋体" w:hAnsi="宋体" w:cs="宋体"/>
                <w:sz w:val="24"/>
              </w:rPr>
            </w:pPr>
          </w:p>
        </w:tc>
        <w:tc>
          <w:tcPr>
            <w:tcW w:w="1151" w:type="dxa"/>
            <w:vMerge w:val="continue"/>
            <w:vAlign w:val="center"/>
          </w:tcPr>
          <w:p w14:paraId="36A3DD21">
            <w:pPr>
              <w:spacing w:line="360" w:lineRule="auto"/>
              <w:jc w:val="center"/>
              <w:rPr>
                <w:rFonts w:ascii="宋体" w:hAnsi="宋体" w:cs="宋体"/>
                <w:sz w:val="24"/>
              </w:rPr>
            </w:pPr>
          </w:p>
        </w:tc>
        <w:tc>
          <w:tcPr>
            <w:tcW w:w="5752" w:type="dxa"/>
            <w:vAlign w:val="center"/>
          </w:tcPr>
          <w:p w14:paraId="5F04BD82">
            <w:pPr>
              <w:spacing w:line="360" w:lineRule="auto"/>
              <w:rPr>
                <w:rFonts w:ascii="宋体" w:hAnsi="宋体" w:cs="宋体"/>
                <w:sz w:val="24"/>
              </w:rPr>
            </w:pPr>
            <w:r>
              <w:rPr>
                <w:rFonts w:hint="eastAsia" w:ascii="宋体" w:hAnsi="宋体" w:cs="宋体"/>
                <w:sz w:val="24"/>
              </w:rPr>
              <w:t>供电系统：两只6-Q-195AH蓄电池、180A发电机；</w:t>
            </w:r>
          </w:p>
        </w:tc>
        <w:tc>
          <w:tcPr>
            <w:tcW w:w="830" w:type="dxa"/>
            <w:vMerge w:val="continue"/>
            <w:vAlign w:val="center"/>
          </w:tcPr>
          <w:p w14:paraId="49476F1E">
            <w:pPr>
              <w:spacing w:line="360" w:lineRule="auto"/>
              <w:jc w:val="center"/>
              <w:rPr>
                <w:rFonts w:ascii="宋体" w:hAnsi="宋体" w:cs="宋体"/>
                <w:sz w:val="24"/>
              </w:rPr>
            </w:pPr>
          </w:p>
        </w:tc>
        <w:tc>
          <w:tcPr>
            <w:tcW w:w="816" w:type="dxa"/>
            <w:vMerge w:val="continue"/>
            <w:vAlign w:val="center"/>
          </w:tcPr>
          <w:p w14:paraId="5A5A6F41">
            <w:pPr>
              <w:spacing w:line="360" w:lineRule="auto"/>
              <w:jc w:val="center"/>
              <w:rPr>
                <w:rFonts w:ascii="宋体" w:hAnsi="宋体" w:cs="宋体"/>
                <w:sz w:val="24"/>
              </w:rPr>
            </w:pPr>
          </w:p>
        </w:tc>
      </w:tr>
    </w:tbl>
    <w:p w14:paraId="4272193E">
      <w:pPr>
        <w:snapToGrid w:val="0"/>
        <w:spacing w:line="360" w:lineRule="auto"/>
        <w:ind w:firstLine="422" w:firstLineChars="175"/>
        <w:rPr>
          <w:rFonts w:ascii="宋体" w:hAnsi="宋体" w:cs="宋体"/>
          <w:b/>
          <w:sz w:val="24"/>
        </w:rPr>
      </w:pPr>
      <w:r>
        <w:rPr>
          <w:rFonts w:hint="eastAsia" w:ascii="宋体" w:hAnsi="宋体" w:cs="宋体"/>
          <w:b/>
          <w:sz w:val="24"/>
        </w:rPr>
        <w:t>注：1、本项目标记“★”的内容为实质性响应技术参数，供应商的投标文件中技术参数不接受负偏离，否则视为无效响应。</w:t>
      </w:r>
    </w:p>
    <w:p w14:paraId="5F80DC59">
      <w:pPr>
        <w:snapToGrid w:val="0"/>
        <w:spacing w:line="360" w:lineRule="auto"/>
        <w:ind w:firstLine="482" w:firstLineChars="200"/>
        <w:outlineLvl w:val="1"/>
        <w:rPr>
          <w:rFonts w:ascii="宋体" w:hAnsi="宋体" w:cs="宋体"/>
          <w:b/>
          <w:sz w:val="24"/>
        </w:rPr>
      </w:pPr>
      <w:r>
        <w:rPr>
          <w:rFonts w:hint="eastAsia" w:ascii="宋体" w:hAnsi="宋体" w:cs="宋体"/>
          <w:b/>
          <w:sz w:val="24"/>
        </w:rPr>
        <w:t>2、本项目未标记“★”的技术参数，供应商须按要求提供《技术部分正负偏离表》、相关证明文件等，且须加盖供应商公章。如未提供或提供的不符合要求的，按照商务技术标中“所投产品质量及技术要求”评审标准扣分。</w:t>
      </w:r>
    </w:p>
    <w:p w14:paraId="082FE43F">
      <w:pPr>
        <w:snapToGrid w:val="0"/>
        <w:spacing w:line="360" w:lineRule="auto"/>
        <w:ind w:firstLine="482" w:firstLineChars="200"/>
        <w:outlineLvl w:val="1"/>
        <w:rPr>
          <w:rFonts w:ascii="宋体" w:hAnsi="宋体" w:cs="宋体"/>
          <w:b/>
          <w:bCs/>
          <w:sz w:val="24"/>
        </w:rPr>
      </w:pPr>
      <w:r>
        <w:rPr>
          <w:rFonts w:hint="eastAsia" w:ascii="宋体" w:hAnsi="宋体" w:cs="宋体"/>
          <w:b/>
          <w:bCs/>
          <w:sz w:val="24"/>
        </w:rPr>
        <w:t>二、质量要求</w:t>
      </w:r>
    </w:p>
    <w:p w14:paraId="23AE1111">
      <w:pPr>
        <w:adjustRightInd w:val="0"/>
        <w:snapToGrid w:val="0"/>
        <w:spacing w:line="360" w:lineRule="auto"/>
        <w:ind w:firstLine="480" w:firstLineChars="200"/>
        <w:rPr>
          <w:rFonts w:ascii="宋体" w:hAnsi="宋体" w:cs="宋体"/>
          <w:sz w:val="24"/>
        </w:rPr>
      </w:pPr>
      <w:r>
        <w:rPr>
          <w:rFonts w:hint="eastAsia" w:ascii="宋体" w:hAnsi="宋体" w:cs="宋体"/>
          <w:sz w:val="24"/>
        </w:rPr>
        <w:t>1、中标供应商应保证货物是全新、未使用过的原厂合格产品，并完全符合招标文件及本合同规定的质量、型号等要求。验收过程中发现不符合上述要求的，将视作不合格产品，采购单位有权终止合同，造成的一切损失由中标供应商承担。</w:t>
      </w:r>
    </w:p>
    <w:p w14:paraId="3875CEFA">
      <w:pPr>
        <w:adjustRightInd w:val="0"/>
        <w:snapToGrid w:val="0"/>
        <w:spacing w:line="360" w:lineRule="auto"/>
        <w:ind w:firstLine="480" w:firstLineChars="200"/>
        <w:rPr>
          <w:rFonts w:ascii="宋体" w:hAnsi="宋体" w:cs="宋体"/>
          <w:sz w:val="24"/>
        </w:rPr>
      </w:pPr>
      <w:r>
        <w:rPr>
          <w:rFonts w:hint="eastAsia" w:ascii="宋体" w:hAnsi="宋体" w:cs="宋体"/>
          <w:sz w:val="24"/>
        </w:rPr>
        <w:t>2、中标产品的技术标准按国家标准执行，无国家标准的，按行业标准执行，无国家和行业标准的，按企业标准执行；但在招标文件中有特别要求的，按招标文件中规定的要求执行，并且符合相关法律、法规规定的要求。</w:t>
      </w:r>
    </w:p>
    <w:p w14:paraId="629C4E7B">
      <w:pPr>
        <w:adjustRightInd w:val="0"/>
        <w:snapToGrid w:val="0"/>
        <w:spacing w:line="360" w:lineRule="auto"/>
        <w:ind w:firstLine="480" w:firstLineChars="200"/>
        <w:rPr>
          <w:rFonts w:ascii="宋体" w:hAnsi="宋体" w:cs="宋体"/>
          <w:sz w:val="24"/>
        </w:rPr>
      </w:pPr>
      <w:r>
        <w:rPr>
          <w:rFonts w:hint="eastAsia" w:ascii="宋体" w:hAnsi="宋体" w:cs="宋体"/>
          <w:sz w:val="24"/>
        </w:rPr>
        <w:t>3、中标供应商应保证采购单位在使用本项目合同标的物的任何部分均不受第三方关于侵犯其所有权、专利权、商标权等一切可能的知识产权侵权的指控。采购单位因此而受到的全部损失包括对第三方的任何赔偿、补偿、垫付的款项以及应对指控而支出的全部费用，均由中标供应商承担，且采购单位保留对中标供应商追究法律责任的权利。</w:t>
      </w:r>
    </w:p>
    <w:p w14:paraId="477C12B4">
      <w:pPr>
        <w:adjustRightInd w:val="0"/>
        <w:snapToGrid w:val="0"/>
        <w:spacing w:line="360" w:lineRule="auto"/>
        <w:ind w:firstLine="480" w:firstLineChars="200"/>
        <w:rPr>
          <w:rFonts w:ascii="宋体" w:hAnsi="宋体" w:cs="宋体"/>
          <w:sz w:val="24"/>
        </w:rPr>
      </w:pPr>
      <w:r>
        <w:rPr>
          <w:rFonts w:hint="eastAsia" w:ascii="宋体" w:hAnsi="宋体" w:cs="宋体"/>
          <w:sz w:val="24"/>
        </w:rPr>
        <w:t>4、中标供应商必须保证所提供的产品符合国家相应质量要求，所有产品必须具备产品合格证书</w:t>
      </w:r>
      <w:r>
        <w:rPr>
          <w:rFonts w:hint="eastAsia" w:ascii="宋体" w:hAnsi="宋体" w:cs="宋体"/>
          <w:sz w:val="24"/>
          <w:lang w:val="zh-CN"/>
        </w:rPr>
        <w:t>和检测报告</w:t>
      </w:r>
      <w:r>
        <w:rPr>
          <w:rFonts w:hint="eastAsia" w:ascii="宋体" w:hAnsi="宋体" w:cs="宋体"/>
          <w:sz w:val="24"/>
        </w:rPr>
        <w:t>，并随货同行。</w:t>
      </w:r>
    </w:p>
    <w:p w14:paraId="0C186F17">
      <w:pPr>
        <w:adjustRightInd w:val="0"/>
        <w:snapToGrid w:val="0"/>
        <w:spacing w:line="360" w:lineRule="auto"/>
        <w:ind w:firstLine="480" w:firstLineChars="200"/>
        <w:rPr>
          <w:rFonts w:ascii="宋体" w:hAnsi="宋体" w:cs="宋体"/>
          <w:sz w:val="24"/>
        </w:rPr>
      </w:pPr>
      <w:r>
        <w:rPr>
          <w:rFonts w:hint="eastAsia" w:ascii="宋体" w:hAnsi="宋体" w:cs="宋体"/>
          <w:sz w:val="24"/>
        </w:rPr>
        <w:t>5、中标产品的包装，国家或行业主管部门有规定的，按规定执行。</w:t>
      </w:r>
    </w:p>
    <w:p w14:paraId="0129A6C2">
      <w:pPr>
        <w:adjustRightInd w:val="0"/>
        <w:snapToGrid w:val="0"/>
        <w:spacing w:line="360" w:lineRule="auto"/>
        <w:ind w:firstLine="480" w:firstLineChars="200"/>
        <w:rPr>
          <w:rFonts w:ascii="宋体" w:hAnsi="宋体" w:cs="宋体"/>
          <w:sz w:val="24"/>
        </w:rPr>
      </w:pPr>
      <w:r>
        <w:rPr>
          <w:rFonts w:hint="eastAsia" w:ascii="宋体" w:hAnsi="宋体" w:cs="宋体"/>
          <w:sz w:val="24"/>
        </w:rPr>
        <w:t>6、中标供应商所提供的货物如出现质量问题，应及时且无条件负责更换为合格产品。</w:t>
      </w:r>
    </w:p>
    <w:p w14:paraId="5686A253">
      <w:pPr>
        <w:adjustRightInd w:val="0"/>
        <w:snapToGrid w:val="0"/>
        <w:spacing w:line="360" w:lineRule="auto"/>
        <w:ind w:firstLine="480" w:firstLineChars="200"/>
        <w:rPr>
          <w:rFonts w:ascii="宋体" w:hAnsi="宋体" w:cs="宋体"/>
          <w:sz w:val="24"/>
        </w:rPr>
      </w:pPr>
      <w:r>
        <w:rPr>
          <w:rFonts w:hint="eastAsia" w:ascii="宋体" w:hAnsi="宋体" w:cs="宋体"/>
          <w:sz w:val="24"/>
        </w:rPr>
        <w:t>7、中标供应商应保证其货物在正确安装、正常使用下，在其使用寿命期内应具有满意的性能。</w:t>
      </w:r>
    </w:p>
    <w:p w14:paraId="2666F2A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8、中标供应商应采取必要的安全措施保证货物的运输及安装的安全，且须考虑到可能会发生的野蛮装卸、长途运输及多次装卸之需要。如因中标供应商包装不当以及其它原因造成损坏或丢失，应由中标供应商负一切责任。</w:t>
      </w:r>
    </w:p>
    <w:p w14:paraId="08784B7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9、中标供应商所供货物最终验收后，应对由于设计、工艺或材料的缺陷而发生的任何不足或故障负责，并承担由此引起的一切后果。</w:t>
      </w:r>
    </w:p>
    <w:p w14:paraId="6BC6301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10、</w:t>
      </w:r>
      <w:r>
        <w:rPr>
          <w:rFonts w:hint="eastAsia" w:ascii="宋体" w:hAnsi="宋体" w:cs="宋体"/>
          <w:sz w:val="24"/>
          <w:lang w:val="zh-CN"/>
        </w:rPr>
        <w:t>在</w:t>
      </w:r>
      <w:r>
        <w:rPr>
          <w:rFonts w:hint="eastAsia" w:ascii="宋体" w:hAnsi="宋体" w:cs="宋体"/>
          <w:sz w:val="24"/>
        </w:rPr>
        <w:t>质保期</w:t>
      </w:r>
      <w:r>
        <w:rPr>
          <w:rFonts w:hint="eastAsia" w:ascii="宋体" w:hAnsi="宋体" w:cs="宋体"/>
          <w:sz w:val="24"/>
          <w:lang w:val="zh-CN"/>
        </w:rPr>
        <w:t>内，</w:t>
      </w:r>
      <w:r>
        <w:rPr>
          <w:rFonts w:hint="eastAsia" w:ascii="宋体" w:hAnsi="宋体" w:cs="宋体"/>
          <w:sz w:val="24"/>
        </w:rPr>
        <w:t>中标供应商</w:t>
      </w:r>
      <w:r>
        <w:rPr>
          <w:rFonts w:hint="eastAsia" w:ascii="宋体" w:hAnsi="宋体" w:cs="宋体"/>
          <w:sz w:val="24"/>
          <w:lang w:val="zh-CN"/>
        </w:rPr>
        <w:t>应对本项目出现的质量及安全问题负责处理解决并承担一切费用</w:t>
      </w:r>
      <w:r>
        <w:rPr>
          <w:rFonts w:hint="eastAsia" w:ascii="宋体" w:hAnsi="宋体" w:cs="宋体"/>
          <w:sz w:val="24"/>
        </w:rPr>
        <w:t>。</w:t>
      </w:r>
    </w:p>
    <w:p w14:paraId="68CB3D9C">
      <w:pPr>
        <w:snapToGrid w:val="0"/>
        <w:spacing w:line="360" w:lineRule="auto"/>
        <w:ind w:firstLine="482" w:firstLineChars="200"/>
        <w:outlineLvl w:val="1"/>
        <w:rPr>
          <w:rFonts w:hint="eastAsia" w:ascii="宋体" w:hAnsi="宋体" w:cs="宋体"/>
          <w:b/>
          <w:bCs/>
          <w:sz w:val="24"/>
        </w:rPr>
      </w:pPr>
      <w:r>
        <w:rPr>
          <w:rFonts w:hint="eastAsia" w:ascii="宋体" w:hAnsi="宋体" w:cs="宋体"/>
          <w:b/>
          <w:bCs/>
          <w:sz w:val="24"/>
        </w:rPr>
        <w:t>三、采购标的的数量、采购项目交付或者实施的时间和地点：</w:t>
      </w:r>
    </w:p>
    <w:p w14:paraId="0726BF1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1、采购数量：标段一：A1车型2辆。</w:t>
      </w:r>
    </w:p>
    <w:p w14:paraId="2792427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2、合同履行期限：合同签订生效之日起30日历天内完成供货，且通过采购单位验收。</w:t>
      </w:r>
    </w:p>
    <w:p w14:paraId="7355A76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3、交货地点：采购单位指定地点。</w:t>
      </w:r>
    </w:p>
    <w:p w14:paraId="5EEBB887">
      <w:pPr>
        <w:adjustRightInd w:val="0"/>
        <w:snapToGrid w:val="0"/>
        <w:spacing w:line="360" w:lineRule="auto"/>
        <w:ind w:firstLine="480" w:firstLineChars="200"/>
        <w:rPr>
          <w:rFonts w:ascii="宋体" w:hAnsi="宋体" w:cs="宋体"/>
          <w:sz w:val="24"/>
        </w:rPr>
      </w:pPr>
      <w:r>
        <w:rPr>
          <w:rFonts w:hint="eastAsia" w:ascii="宋体" w:hAnsi="宋体" w:cs="宋体"/>
          <w:sz w:val="24"/>
        </w:rPr>
        <w:t>4、中标供应商提供将车辆运输至车辆上牌点</w:t>
      </w:r>
      <w:r>
        <w:rPr>
          <w:rFonts w:hint="eastAsia" w:ascii="宋体" w:hAnsi="宋体" w:cs="宋体"/>
          <w:b/>
          <w:sz w:val="24"/>
        </w:rPr>
        <w:t>（在南通崇川区、开发区范围内，具体地点待定）</w:t>
      </w:r>
      <w:r>
        <w:rPr>
          <w:rFonts w:hint="eastAsia" w:ascii="宋体" w:hAnsi="宋体" w:cs="宋体"/>
          <w:sz w:val="24"/>
        </w:rPr>
        <w:t>及南通市如东县小洋口机动车驾驶人考场（南通市如东县洋口镇金蛤大道）的免费服务。</w:t>
      </w:r>
    </w:p>
    <w:p w14:paraId="735EC853">
      <w:pPr>
        <w:adjustRightInd w:val="0"/>
        <w:snapToGrid w:val="0"/>
        <w:spacing w:line="360" w:lineRule="auto"/>
        <w:ind w:firstLine="480" w:firstLineChars="200"/>
        <w:rPr>
          <w:rFonts w:ascii="宋体" w:hAnsi="宋体" w:cs="宋体"/>
          <w:sz w:val="24"/>
        </w:rPr>
      </w:pPr>
      <w:r>
        <w:rPr>
          <w:rFonts w:hint="eastAsia" w:ascii="宋体" w:hAnsi="宋体" w:cs="宋体"/>
          <w:sz w:val="24"/>
        </w:rPr>
        <w:t>5、中标供应商逾期交货的，逾期期间每天承担相应批次货物总价1‰的违约金，同时承担采购单位因此遭致的损失费用。</w:t>
      </w:r>
    </w:p>
    <w:p w14:paraId="6D113B34">
      <w:pPr>
        <w:adjustRightInd w:val="0"/>
        <w:snapToGrid w:val="0"/>
        <w:spacing w:line="360" w:lineRule="auto"/>
        <w:ind w:firstLine="480" w:firstLineChars="200"/>
        <w:rPr>
          <w:rFonts w:ascii="宋体" w:hAnsi="宋体" w:cs="宋体"/>
          <w:sz w:val="24"/>
          <w:lang w:val="zh-CN"/>
        </w:rPr>
      </w:pPr>
      <w:r>
        <w:rPr>
          <w:rFonts w:hint="eastAsia" w:ascii="宋体" w:hAnsi="宋体" w:cs="宋体"/>
          <w:sz w:val="24"/>
        </w:rPr>
        <w:t>6、如因采购单位实际需求，货物数量发生变化，中标供应商须无条件满足采购单位需求，确保货物质量；结算时按实际验收合格的供货量进行结算，成交（合同）单价不变</w:t>
      </w:r>
      <w:r>
        <w:rPr>
          <w:rFonts w:hint="eastAsia" w:ascii="宋体" w:hAnsi="宋体" w:cs="宋体"/>
          <w:sz w:val="24"/>
          <w:lang w:val="zh-CN"/>
        </w:rPr>
        <w:t>。</w:t>
      </w:r>
    </w:p>
    <w:p w14:paraId="7034E89E">
      <w:pPr>
        <w:adjustRightInd w:val="0"/>
        <w:snapToGrid w:val="0"/>
        <w:spacing w:line="360" w:lineRule="auto"/>
        <w:ind w:firstLine="480" w:firstLineChars="200"/>
        <w:rPr>
          <w:rFonts w:ascii="宋体" w:hAnsi="宋体" w:cs="宋体"/>
          <w:sz w:val="24"/>
        </w:rPr>
      </w:pPr>
      <w:r>
        <w:rPr>
          <w:rFonts w:hint="eastAsia" w:ascii="宋体" w:hAnsi="宋体" w:cs="宋体"/>
          <w:sz w:val="24"/>
        </w:rPr>
        <w:t>7、本项目投标报价应至少包含但不限于裸车费、运至采购单位指定地点的运输费（包括上、下力）、上门服务费、人工费、成品保护费、交通费、通讯费、垃圾的清理清运费、售后服务费、办公设备费、管理费、利润、税金、政策性文件及为达到采购单位要求所包含的所有风险、责任等各项费用。</w:t>
      </w:r>
    </w:p>
    <w:p w14:paraId="08586D6B">
      <w:pPr>
        <w:adjustRightInd w:val="0"/>
        <w:snapToGrid w:val="0"/>
        <w:spacing w:line="360" w:lineRule="auto"/>
        <w:ind w:firstLine="480" w:firstLineChars="200"/>
        <w:rPr>
          <w:rFonts w:ascii="宋体" w:hAnsi="宋体" w:cs="宋体"/>
          <w:sz w:val="24"/>
        </w:rPr>
      </w:pPr>
      <w:r>
        <w:rPr>
          <w:rFonts w:hint="eastAsia" w:ascii="宋体" w:hAnsi="宋体" w:cs="宋体"/>
          <w:sz w:val="24"/>
        </w:rPr>
        <w:t>8、本项目投标报价不含采购车辆的车辆保险、购置税、车船税、上牌费等费用，由采购单位另行解决。</w:t>
      </w:r>
    </w:p>
    <w:p w14:paraId="70D6E2CA">
      <w:pPr>
        <w:adjustRightInd w:val="0"/>
        <w:snapToGrid w:val="0"/>
        <w:spacing w:line="360" w:lineRule="auto"/>
        <w:ind w:firstLine="482" w:firstLineChars="200"/>
        <w:rPr>
          <w:rFonts w:ascii="宋体" w:hAnsi="宋体" w:cs="宋体"/>
          <w:sz w:val="24"/>
        </w:rPr>
      </w:pPr>
      <w:r>
        <w:rPr>
          <w:rFonts w:hint="eastAsia" w:ascii="宋体" w:hAnsi="宋体" w:cs="宋体"/>
          <w:b/>
          <w:bCs/>
          <w:sz w:val="24"/>
        </w:rPr>
        <w:t>四、采购标的需满足的服务标准、期限、效率等要求</w:t>
      </w:r>
    </w:p>
    <w:p w14:paraId="02A47AB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1、免费质保期限（自交货并验收合格之日起计）：</w:t>
      </w:r>
    </w:p>
    <w:p w14:paraId="0432059E">
      <w:pPr>
        <w:adjustRightInd w:val="0"/>
        <w:snapToGrid w:val="0"/>
        <w:spacing w:line="360" w:lineRule="auto"/>
        <w:ind w:firstLine="480" w:firstLineChars="200"/>
        <w:rPr>
          <w:rFonts w:ascii="宋体" w:hAnsi="宋体" w:cs="宋体"/>
          <w:sz w:val="24"/>
        </w:rPr>
      </w:pPr>
      <w:r>
        <w:rPr>
          <w:rFonts w:hint="eastAsia" w:ascii="宋体" w:hAnsi="宋体" w:cs="宋体"/>
          <w:sz w:val="24"/>
        </w:rPr>
        <w:t>标段一：供应商</w:t>
      </w:r>
      <w:r>
        <w:rPr>
          <w:rFonts w:hint="eastAsia" w:ascii="宋体" w:hAnsi="宋体" w:cs="宋体"/>
          <w:sz w:val="24"/>
          <w:lang w:val="zh-CN"/>
        </w:rPr>
        <w:t>提供A1车型</w:t>
      </w:r>
      <w:r>
        <w:rPr>
          <w:rFonts w:hint="eastAsia" w:ascii="宋体" w:hAnsi="宋体" w:cs="宋体"/>
          <w:sz w:val="24"/>
        </w:rPr>
        <w:t>两年或20万公里</w:t>
      </w:r>
      <w:r>
        <w:rPr>
          <w:rFonts w:hint="eastAsia" w:ascii="宋体" w:hAnsi="宋体" w:cs="宋体"/>
          <w:b/>
          <w:sz w:val="24"/>
        </w:rPr>
        <w:t>（以先到为准）</w:t>
      </w:r>
      <w:r>
        <w:rPr>
          <w:rFonts w:hint="eastAsia" w:ascii="宋体" w:hAnsi="宋体" w:cs="宋体"/>
          <w:sz w:val="24"/>
          <w:lang w:val="zh-CN"/>
        </w:rPr>
        <w:t>的</w:t>
      </w:r>
      <w:r>
        <w:rPr>
          <w:rFonts w:hint="eastAsia" w:ascii="宋体" w:hAnsi="宋体" w:cs="宋体"/>
          <w:sz w:val="24"/>
        </w:rPr>
        <w:t>免费质保。</w:t>
      </w:r>
    </w:p>
    <w:p w14:paraId="02118C30">
      <w:pPr>
        <w:adjustRightInd w:val="0"/>
        <w:snapToGrid w:val="0"/>
        <w:spacing w:line="360" w:lineRule="auto"/>
        <w:ind w:firstLine="480" w:firstLineChars="200"/>
        <w:rPr>
          <w:rFonts w:ascii="宋体" w:hAnsi="宋体" w:cs="宋体"/>
          <w:sz w:val="24"/>
        </w:rPr>
      </w:pPr>
      <w:r>
        <w:rPr>
          <w:rFonts w:hint="eastAsia" w:ascii="宋体" w:hAnsi="宋体" w:cs="宋体"/>
          <w:sz w:val="24"/>
        </w:rPr>
        <w:t>2、中标供应商发货到采购单位指定地点前应先告知采购单位。产品交货时，应提供到货产品的清单等。</w:t>
      </w:r>
    </w:p>
    <w:p w14:paraId="1F9E74E3">
      <w:pPr>
        <w:tabs>
          <w:tab w:val="left" w:pos="417"/>
        </w:tabs>
        <w:snapToGrid w:val="0"/>
        <w:spacing w:line="360" w:lineRule="auto"/>
        <w:ind w:firstLine="480" w:firstLineChars="200"/>
        <w:rPr>
          <w:rFonts w:ascii="宋体" w:hAnsi="宋体" w:cs="宋体"/>
          <w:sz w:val="24"/>
        </w:rPr>
      </w:pPr>
      <w:r>
        <w:rPr>
          <w:rFonts w:hint="eastAsia" w:ascii="宋体" w:hAnsi="宋体" w:cs="宋体"/>
          <w:sz w:val="24"/>
        </w:rPr>
        <w:t>3、中标供应商应明确负责本项目的合格的维修保养单位，并应有相当规模的备件库以满足日常检验及应急修理的需要。确保在接到采购单位通知后24小时内，将所需配件送达采购单位指定地点，并负责安装调试。</w:t>
      </w:r>
    </w:p>
    <w:p w14:paraId="6CD65CE2">
      <w:pPr>
        <w:snapToGrid w:val="0"/>
        <w:spacing w:line="360" w:lineRule="auto"/>
        <w:ind w:firstLine="480" w:firstLineChars="200"/>
        <w:rPr>
          <w:rFonts w:ascii="宋体" w:hAnsi="宋体" w:cs="宋体"/>
          <w:sz w:val="24"/>
        </w:rPr>
      </w:pPr>
      <w:r>
        <w:rPr>
          <w:rFonts w:hint="eastAsia" w:ascii="宋体" w:hAnsi="宋体" w:cs="宋体"/>
          <w:sz w:val="24"/>
        </w:rPr>
        <w:t>4、质保期内发生的零部件不正常的磨损，或产成品质量不符合生产工艺要求，或非人为原因而损坏、失效的零部件、电子元器件和易损件，中标供应商须免费提供服务；并在接到采购单位通知后24小时内更换上述零部件、电子元器件、备品备件和易损件。</w:t>
      </w:r>
    </w:p>
    <w:p w14:paraId="3434A6A7">
      <w:pPr>
        <w:snapToGrid w:val="0"/>
        <w:spacing w:line="360" w:lineRule="auto"/>
        <w:ind w:firstLine="480" w:firstLineChars="200"/>
        <w:rPr>
          <w:rFonts w:ascii="宋体" w:hAnsi="宋体" w:cs="宋体"/>
          <w:sz w:val="24"/>
        </w:rPr>
      </w:pPr>
      <w:r>
        <w:rPr>
          <w:rFonts w:hint="eastAsia" w:ascii="宋体" w:hAnsi="宋体" w:cs="宋体"/>
          <w:sz w:val="24"/>
        </w:rPr>
        <w:t>5、在质保期内，因中标供应商所供设备制造质量问题出现设备故障时，中标供应商在接到采购单位通知后，2小时内响应，在12小时内赶到采购单位指定现场，并在24小时内免费予以排除故障、修复或更换零部件,并赔偿</w:t>
      </w:r>
      <w:r>
        <w:rPr>
          <w:rFonts w:hint="eastAsia" w:ascii="宋体" w:hAnsi="宋体" w:cs="宋体"/>
          <w:bCs/>
          <w:sz w:val="24"/>
        </w:rPr>
        <w:t>采购单位</w:t>
      </w:r>
      <w:r>
        <w:rPr>
          <w:rFonts w:hint="eastAsia" w:ascii="宋体" w:hAnsi="宋体" w:cs="宋体"/>
          <w:sz w:val="24"/>
        </w:rPr>
        <w:t>因此造成的直接损失。而因</w:t>
      </w:r>
      <w:r>
        <w:rPr>
          <w:rFonts w:hint="eastAsia" w:ascii="宋体" w:hAnsi="宋体" w:cs="宋体"/>
          <w:bCs/>
          <w:sz w:val="24"/>
        </w:rPr>
        <w:t>采购单位</w:t>
      </w:r>
      <w:r>
        <w:rPr>
          <w:rFonts w:hint="eastAsia" w:ascii="宋体" w:hAnsi="宋体" w:cs="宋体"/>
          <w:sz w:val="24"/>
        </w:rPr>
        <w:t>使用不当原因出现设备故障时，中标供应商在接到</w:t>
      </w:r>
      <w:r>
        <w:rPr>
          <w:rFonts w:hint="eastAsia" w:ascii="宋体" w:hAnsi="宋体" w:cs="宋体"/>
          <w:bCs/>
          <w:sz w:val="24"/>
        </w:rPr>
        <w:t>采购单位</w:t>
      </w:r>
      <w:r>
        <w:rPr>
          <w:rFonts w:hint="eastAsia" w:ascii="宋体" w:hAnsi="宋体" w:cs="宋体"/>
          <w:sz w:val="24"/>
        </w:rPr>
        <w:t>通知后，应在上述条款中所述的时限内赶到</w:t>
      </w:r>
      <w:r>
        <w:rPr>
          <w:rFonts w:hint="eastAsia" w:ascii="宋体" w:hAnsi="宋体" w:cs="宋体"/>
          <w:bCs/>
          <w:sz w:val="24"/>
        </w:rPr>
        <w:t>采购单位</w:t>
      </w:r>
      <w:r>
        <w:rPr>
          <w:rFonts w:hint="eastAsia" w:ascii="宋体" w:hAnsi="宋体" w:cs="宋体"/>
          <w:sz w:val="24"/>
        </w:rPr>
        <w:t>现场，帮助排除故障、修复或更换零部件，需更换零部件时，酌情收取成本费。如中标供应商未在上述时限内进行响应或排除故障，</w:t>
      </w:r>
      <w:r>
        <w:rPr>
          <w:rFonts w:hint="eastAsia" w:ascii="宋体" w:hAnsi="宋体" w:cs="宋体"/>
          <w:bCs/>
          <w:sz w:val="24"/>
        </w:rPr>
        <w:t>采购单位</w:t>
      </w:r>
      <w:r>
        <w:rPr>
          <w:rFonts w:hint="eastAsia" w:ascii="宋体" w:hAnsi="宋体" w:cs="宋体"/>
          <w:sz w:val="24"/>
        </w:rPr>
        <w:t>有权自行采取必要的措施，由此产生的风险和费用由中标供应商承担。</w:t>
      </w:r>
    </w:p>
    <w:p w14:paraId="6E081625">
      <w:pPr>
        <w:snapToGrid w:val="0"/>
        <w:spacing w:line="360" w:lineRule="auto"/>
        <w:ind w:firstLine="480" w:firstLineChars="200"/>
        <w:rPr>
          <w:rFonts w:ascii="宋体" w:hAnsi="宋体" w:cs="宋体"/>
          <w:sz w:val="24"/>
        </w:rPr>
      </w:pPr>
      <w:r>
        <w:rPr>
          <w:rFonts w:hint="eastAsia" w:ascii="宋体" w:hAnsi="宋体" w:cs="宋体"/>
          <w:sz w:val="24"/>
        </w:rPr>
        <w:t>6、中标供应商及时提供合同货物使用和维护方面的最新技术信息和资料。</w:t>
      </w:r>
    </w:p>
    <w:p w14:paraId="7327030E">
      <w:pPr>
        <w:snapToGrid w:val="0"/>
        <w:spacing w:line="360" w:lineRule="auto"/>
        <w:ind w:firstLine="465"/>
        <w:rPr>
          <w:rFonts w:ascii="宋体" w:hAnsi="宋体" w:cs="宋体"/>
          <w:sz w:val="24"/>
        </w:rPr>
      </w:pPr>
      <w:r>
        <w:rPr>
          <w:rFonts w:hint="eastAsia" w:ascii="宋体" w:hAnsi="宋体" w:cs="宋体"/>
          <w:bCs/>
          <w:sz w:val="24"/>
        </w:rPr>
        <w:t>7、</w:t>
      </w:r>
      <w:r>
        <w:rPr>
          <w:rFonts w:hint="eastAsia" w:ascii="宋体" w:hAnsi="宋体" w:cs="宋体"/>
          <w:sz w:val="24"/>
        </w:rPr>
        <w:t>中标供应商在</w:t>
      </w:r>
      <w:r>
        <w:rPr>
          <w:rFonts w:hint="eastAsia" w:ascii="宋体" w:hAnsi="宋体" w:cs="宋体"/>
          <w:bCs/>
          <w:sz w:val="24"/>
        </w:rPr>
        <w:t>采购单位指定的</w:t>
      </w:r>
      <w:r>
        <w:rPr>
          <w:rFonts w:hint="eastAsia" w:ascii="宋体" w:hAnsi="宋体" w:cs="宋体"/>
          <w:sz w:val="24"/>
        </w:rPr>
        <w:t>现场安装、调试期间，一切费用由中标供应商自理。</w:t>
      </w:r>
    </w:p>
    <w:p w14:paraId="59B8D466">
      <w:pPr>
        <w:snapToGrid w:val="0"/>
        <w:spacing w:line="360" w:lineRule="auto"/>
        <w:ind w:firstLine="465"/>
        <w:rPr>
          <w:rFonts w:ascii="宋体" w:hAnsi="宋体" w:cs="宋体"/>
          <w:sz w:val="24"/>
        </w:rPr>
      </w:pPr>
      <w:r>
        <w:rPr>
          <w:rFonts w:hint="eastAsia" w:ascii="宋体" w:hAnsi="宋体" w:cs="宋体"/>
          <w:bCs/>
          <w:sz w:val="24"/>
        </w:rPr>
        <w:t>8、</w:t>
      </w:r>
      <w:r>
        <w:rPr>
          <w:rFonts w:hint="eastAsia" w:ascii="宋体" w:hAnsi="宋体" w:cs="宋体"/>
          <w:sz w:val="24"/>
        </w:rPr>
        <w:t>中标供应商应全程协助</w:t>
      </w:r>
      <w:r>
        <w:rPr>
          <w:rFonts w:hint="eastAsia" w:ascii="宋体" w:hAnsi="宋体" w:cs="宋体"/>
          <w:bCs/>
          <w:sz w:val="24"/>
        </w:rPr>
        <w:t>采购单位</w:t>
      </w:r>
      <w:r>
        <w:rPr>
          <w:rFonts w:hint="eastAsia" w:ascii="宋体" w:hAnsi="宋体" w:cs="宋体"/>
          <w:sz w:val="24"/>
        </w:rPr>
        <w:t>办理车辆上牌等手续直至车辆落户完成。</w:t>
      </w:r>
    </w:p>
    <w:p w14:paraId="45BA173D">
      <w:pPr>
        <w:snapToGrid w:val="0"/>
        <w:spacing w:line="360" w:lineRule="auto"/>
        <w:ind w:firstLine="480" w:firstLineChars="200"/>
        <w:jc w:val="left"/>
        <w:rPr>
          <w:rFonts w:ascii="宋体" w:hAnsi="宋体" w:cs="宋体"/>
          <w:bCs/>
          <w:sz w:val="24"/>
        </w:rPr>
      </w:pPr>
      <w:r>
        <w:rPr>
          <w:rFonts w:hint="eastAsia" w:ascii="宋体" w:hAnsi="宋体" w:cs="宋体"/>
          <w:sz w:val="24"/>
        </w:rPr>
        <w:t>9、中标供应商应提供24小时报修服务电话，保证24小时电话开通。</w:t>
      </w:r>
    </w:p>
    <w:p w14:paraId="408DF252">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五、包装</w:t>
      </w:r>
    </w:p>
    <w:p w14:paraId="765DFC23">
      <w:pPr>
        <w:adjustRightInd w:val="0"/>
        <w:snapToGrid w:val="0"/>
        <w:spacing w:line="360" w:lineRule="auto"/>
        <w:ind w:firstLine="480" w:firstLineChars="200"/>
        <w:rPr>
          <w:rFonts w:ascii="宋体" w:hAnsi="宋体" w:cs="宋体"/>
          <w:sz w:val="24"/>
        </w:rPr>
      </w:pPr>
      <w:r>
        <w:rPr>
          <w:rFonts w:hint="eastAsia" w:ascii="宋体" w:hAnsi="宋体" w:cs="宋体"/>
          <w:sz w:val="24"/>
        </w:rPr>
        <w:t>1.商品包装环保要求：</w:t>
      </w:r>
    </w:p>
    <w:p w14:paraId="18B2015B">
      <w:pPr>
        <w:adjustRightInd w:val="0"/>
        <w:snapToGrid w:val="0"/>
        <w:spacing w:line="360" w:lineRule="auto"/>
        <w:ind w:firstLine="480" w:firstLineChars="200"/>
        <w:rPr>
          <w:rFonts w:ascii="宋体" w:hAnsi="宋体" w:cs="宋体"/>
          <w:sz w:val="24"/>
        </w:rPr>
      </w:pPr>
      <w:r>
        <w:rPr>
          <w:rFonts w:hint="eastAsia" w:ascii="宋体" w:hAnsi="宋体" w:cs="宋体"/>
          <w:sz w:val="24"/>
        </w:rPr>
        <w:t>（1）商品包装层数不得超过3层，空隙率不大于40%；</w:t>
      </w:r>
    </w:p>
    <w:p w14:paraId="3C4BE185">
      <w:pPr>
        <w:adjustRightInd w:val="0"/>
        <w:snapToGrid w:val="0"/>
        <w:spacing w:line="360" w:lineRule="auto"/>
        <w:ind w:firstLine="480" w:firstLineChars="200"/>
        <w:rPr>
          <w:rFonts w:ascii="宋体" w:hAnsi="宋体" w:cs="宋体"/>
          <w:sz w:val="24"/>
        </w:rPr>
      </w:pPr>
      <w:r>
        <w:rPr>
          <w:rFonts w:hint="eastAsia" w:ascii="宋体" w:hAnsi="宋体" w:cs="宋体"/>
          <w:sz w:val="24"/>
        </w:rPr>
        <w:t>（2）商品包装尽可能使用单一材质的包装材料，如因功能需求必需使用不同材质，不同材质间应便于分离；</w:t>
      </w:r>
    </w:p>
    <w:p w14:paraId="7572C8B7">
      <w:pPr>
        <w:adjustRightInd w:val="0"/>
        <w:snapToGrid w:val="0"/>
        <w:spacing w:line="360" w:lineRule="auto"/>
        <w:ind w:firstLine="480" w:firstLineChars="200"/>
        <w:rPr>
          <w:rFonts w:ascii="宋体" w:hAnsi="宋体" w:cs="宋体"/>
          <w:sz w:val="24"/>
        </w:rPr>
      </w:pPr>
      <w:r>
        <w:rPr>
          <w:rFonts w:hint="eastAsia" w:ascii="宋体" w:hAnsi="宋体" w:cs="宋体"/>
          <w:sz w:val="24"/>
        </w:rPr>
        <w:t>（3）商品包装中铅、汞、镉、六价铬的总含量应不大于100mg/kg；</w:t>
      </w:r>
    </w:p>
    <w:p w14:paraId="6F15A1D8">
      <w:pPr>
        <w:adjustRightInd w:val="0"/>
        <w:snapToGrid w:val="0"/>
        <w:spacing w:line="360" w:lineRule="auto"/>
        <w:ind w:firstLine="480" w:firstLineChars="200"/>
        <w:rPr>
          <w:rFonts w:ascii="宋体" w:hAnsi="宋体" w:cs="宋体"/>
          <w:sz w:val="24"/>
        </w:rPr>
      </w:pPr>
      <w:r>
        <w:rPr>
          <w:rFonts w:hint="eastAsia" w:ascii="宋体" w:hAnsi="宋体" w:cs="宋体"/>
          <w:sz w:val="24"/>
        </w:rPr>
        <w:t>（4）商品包装印刷使用的油墨中挥发性有机化合物(VOCs)含量应不大于 5%（以重量计）；</w:t>
      </w:r>
    </w:p>
    <w:p w14:paraId="7B33BF4B">
      <w:pPr>
        <w:adjustRightInd w:val="0"/>
        <w:snapToGrid w:val="0"/>
        <w:spacing w:line="360" w:lineRule="auto"/>
        <w:ind w:firstLine="480" w:firstLineChars="200"/>
        <w:rPr>
          <w:rFonts w:ascii="宋体" w:hAnsi="宋体" w:cs="宋体"/>
          <w:sz w:val="24"/>
        </w:rPr>
      </w:pPr>
      <w:r>
        <w:rPr>
          <w:rFonts w:hint="eastAsia" w:ascii="宋体" w:hAnsi="宋体" w:cs="宋体"/>
          <w:sz w:val="24"/>
        </w:rPr>
        <w:t>（5）塑料材质商品包装上呈现的印刷颜色不得超过 6 色；</w:t>
      </w:r>
    </w:p>
    <w:p w14:paraId="3C529627">
      <w:pPr>
        <w:adjustRightInd w:val="0"/>
        <w:snapToGrid w:val="0"/>
        <w:spacing w:line="360" w:lineRule="auto"/>
        <w:ind w:firstLine="480" w:firstLineChars="200"/>
        <w:rPr>
          <w:rFonts w:ascii="宋体" w:hAnsi="宋体" w:cs="宋体"/>
          <w:sz w:val="24"/>
        </w:rPr>
      </w:pPr>
      <w:r>
        <w:rPr>
          <w:rFonts w:hint="eastAsia" w:ascii="宋体" w:hAnsi="宋体" w:cs="宋体"/>
          <w:sz w:val="24"/>
        </w:rPr>
        <w:t>（6）纸质商品包装应使用 75%以上的可再生纤维原料生产；</w:t>
      </w:r>
    </w:p>
    <w:p w14:paraId="73E9938F">
      <w:pPr>
        <w:adjustRightInd w:val="0"/>
        <w:snapToGrid w:val="0"/>
        <w:spacing w:line="360" w:lineRule="auto"/>
        <w:ind w:firstLine="480" w:firstLineChars="200"/>
        <w:rPr>
          <w:rFonts w:ascii="宋体" w:hAnsi="宋体" w:cs="宋体"/>
          <w:sz w:val="24"/>
        </w:rPr>
      </w:pPr>
      <w:r>
        <w:rPr>
          <w:rFonts w:hint="eastAsia" w:ascii="宋体" w:hAnsi="宋体" w:cs="宋体"/>
          <w:sz w:val="24"/>
        </w:rPr>
        <w:t>（7）木质商品包装的原料应来源于可持续性森林。</w:t>
      </w:r>
    </w:p>
    <w:p w14:paraId="501B3151">
      <w:pPr>
        <w:adjustRightInd w:val="0"/>
        <w:snapToGrid w:val="0"/>
        <w:spacing w:line="360" w:lineRule="auto"/>
        <w:ind w:firstLine="480" w:firstLineChars="200"/>
        <w:rPr>
          <w:rFonts w:ascii="宋体" w:hAnsi="宋体" w:cs="宋体"/>
          <w:sz w:val="24"/>
        </w:rPr>
      </w:pPr>
      <w:r>
        <w:rPr>
          <w:rFonts w:hint="eastAsia" w:ascii="宋体" w:hAnsi="宋体" w:cs="宋体"/>
          <w:sz w:val="24"/>
        </w:rPr>
        <w:t>2.快递包装环保要求：</w:t>
      </w:r>
    </w:p>
    <w:p w14:paraId="47C4CCD4">
      <w:pPr>
        <w:adjustRightInd w:val="0"/>
        <w:snapToGrid w:val="0"/>
        <w:spacing w:line="360" w:lineRule="auto"/>
        <w:ind w:firstLine="480" w:firstLineChars="200"/>
        <w:rPr>
          <w:rFonts w:ascii="宋体" w:hAnsi="宋体" w:cs="宋体"/>
          <w:sz w:val="24"/>
        </w:rPr>
      </w:pPr>
      <w:r>
        <w:rPr>
          <w:rFonts w:hint="eastAsia" w:ascii="宋体" w:hAnsi="宋体" w:cs="宋体"/>
          <w:sz w:val="24"/>
        </w:rPr>
        <w:t>（1）快递包装中重金属（铅、汞、镉、六价铬）总量应不大于 100mg/kg；</w:t>
      </w:r>
    </w:p>
    <w:p w14:paraId="5E991646">
      <w:pPr>
        <w:adjustRightInd w:val="0"/>
        <w:snapToGrid w:val="0"/>
        <w:spacing w:line="360" w:lineRule="auto"/>
        <w:ind w:firstLine="480" w:firstLineChars="200"/>
        <w:rPr>
          <w:rFonts w:ascii="宋体" w:hAnsi="宋体" w:cs="宋体"/>
          <w:sz w:val="24"/>
        </w:rPr>
      </w:pPr>
      <w:r>
        <w:rPr>
          <w:rFonts w:hint="eastAsia" w:ascii="宋体" w:hAnsi="宋体" w:cs="宋体"/>
          <w:sz w:val="24"/>
        </w:rPr>
        <w:t>（2）快递包装印刷使用的油墨中不应添加邻苯二甲酸酯，其挥发性有机化合物(VOCs)含量应不大于5%（以重量计）；</w:t>
      </w:r>
    </w:p>
    <w:p w14:paraId="03A2890D">
      <w:pPr>
        <w:adjustRightInd w:val="0"/>
        <w:snapToGrid w:val="0"/>
        <w:spacing w:line="360" w:lineRule="auto"/>
        <w:ind w:firstLine="480" w:firstLineChars="200"/>
        <w:rPr>
          <w:rFonts w:ascii="宋体" w:hAnsi="宋体" w:cs="宋体"/>
          <w:sz w:val="24"/>
        </w:rPr>
      </w:pPr>
      <w:r>
        <w:rPr>
          <w:rFonts w:hint="eastAsia" w:ascii="宋体" w:hAnsi="宋体" w:cs="宋体"/>
          <w:sz w:val="24"/>
        </w:rPr>
        <w:t>（3）快递包装中使用纸基材的包装材料，纸基材中的有机氯的含量应不大于 150 mg/kg；</w:t>
      </w:r>
    </w:p>
    <w:p w14:paraId="1D64D1A3">
      <w:pPr>
        <w:adjustRightInd w:val="0"/>
        <w:snapToGrid w:val="0"/>
        <w:spacing w:line="360" w:lineRule="auto"/>
        <w:ind w:firstLine="480" w:firstLineChars="200"/>
        <w:rPr>
          <w:rFonts w:ascii="宋体" w:hAnsi="宋体" w:cs="宋体"/>
          <w:sz w:val="24"/>
        </w:rPr>
      </w:pPr>
      <w:r>
        <w:rPr>
          <w:rFonts w:hint="eastAsia" w:ascii="宋体" w:hAnsi="宋体" w:cs="宋体"/>
          <w:sz w:val="24"/>
        </w:rPr>
        <w:t>（4）快递包装中使用塑料基材的包装材料不得使用邻苯二甲酸二异壬酯、邻苯二甲酸二正辛酯、邻苯二甲酸二(2-乙基)己酯、邻苯二甲酸二异癸酯、邻苯二甲酸丁基苄基酯、邻苯二甲酸二丁酯等作为增塑剂；</w:t>
      </w:r>
    </w:p>
    <w:p w14:paraId="3DE1DF47">
      <w:pPr>
        <w:adjustRightInd w:val="0"/>
        <w:snapToGrid w:val="0"/>
        <w:spacing w:line="360" w:lineRule="auto"/>
        <w:ind w:firstLine="480" w:firstLineChars="200"/>
        <w:rPr>
          <w:rFonts w:ascii="宋体" w:hAnsi="宋体" w:cs="宋体"/>
          <w:sz w:val="24"/>
        </w:rPr>
      </w:pPr>
      <w:r>
        <w:rPr>
          <w:rFonts w:hint="eastAsia" w:ascii="宋体" w:hAnsi="宋体" w:cs="宋体"/>
          <w:sz w:val="24"/>
        </w:rPr>
        <w:t>（5）快递中使用的塑料包装袋不得使用聚氯乙烯作为原料，且原料应为单一材质制成，生物分解率大于60%；</w:t>
      </w:r>
    </w:p>
    <w:p w14:paraId="125F9C86">
      <w:pPr>
        <w:adjustRightInd w:val="0"/>
        <w:snapToGrid w:val="0"/>
        <w:spacing w:line="360" w:lineRule="auto"/>
        <w:ind w:firstLine="480" w:firstLineChars="200"/>
        <w:rPr>
          <w:rFonts w:ascii="宋体" w:hAnsi="宋体" w:cs="宋体"/>
          <w:sz w:val="24"/>
        </w:rPr>
      </w:pPr>
      <w:r>
        <w:rPr>
          <w:rFonts w:hint="eastAsia" w:ascii="宋体" w:hAnsi="宋体" w:cs="宋体"/>
          <w:sz w:val="24"/>
        </w:rPr>
        <w:t>（6）快递中使用的充气类填充物不得使用聚氯乙烯作为 原料，且原料为单一材质制成，生物分解率大于60%；</w:t>
      </w:r>
    </w:p>
    <w:p w14:paraId="14B9A66E">
      <w:pPr>
        <w:adjustRightInd w:val="0"/>
        <w:snapToGrid w:val="0"/>
        <w:spacing w:line="360" w:lineRule="auto"/>
        <w:ind w:firstLine="480" w:firstLineChars="200"/>
        <w:rPr>
          <w:rFonts w:ascii="宋体" w:hAnsi="宋体" w:cs="宋体"/>
          <w:sz w:val="24"/>
        </w:rPr>
      </w:pPr>
      <w:r>
        <w:rPr>
          <w:rFonts w:hint="eastAsia" w:ascii="宋体" w:hAnsi="宋体" w:cs="宋体"/>
          <w:sz w:val="24"/>
        </w:rPr>
        <w:t>（7）快递中使用的集装袋应为单一材质制成，其重复使用次数应不小于80次；</w:t>
      </w:r>
    </w:p>
    <w:p w14:paraId="3F6DBD5E">
      <w:pPr>
        <w:adjustRightInd w:val="0"/>
        <w:snapToGrid w:val="0"/>
        <w:spacing w:line="360" w:lineRule="auto"/>
        <w:ind w:firstLine="480" w:firstLineChars="200"/>
        <w:rPr>
          <w:rFonts w:ascii="宋体" w:hAnsi="宋体" w:cs="宋体"/>
          <w:sz w:val="24"/>
        </w:rPr>
      </w:pPr>
      <w:r>
        <w:rPr>
          <w:rFonts w:hint="eastAsia" w:ascii="宋体" w:hAnsi="宋体" w:cs="宋体"/>
          <w:sz w:val="24"/>
        </w:rPr>
        <w:t>（8）快递中应使用幅宽不大于45mm 的生物降解胶带；</w:t>
      </w:r>
    </w:p>
    <w:p w14:paraId="309722CD">
      <w:pPr>
        <w:adjustRightInd w:val="0"/>
        <w:snapToGrid w:val="0"/>
        <w:spacing w:line="360" w:lineRule="auto"/>
        <w:ind w:firstLine="480" w:firstLineChars="200"/>
        <w:rPr>
          <w:rFonts w:ascii="宋体" w:hAnsi="宋体" w:cs="宋体"/>
          <w:sz w:val="24"/>
        </w:rPr>
      </w:pPr>
      <w:r>
        <w:rPr>
          <w:rFonts w:hint="eastAsia" w:ascii="宋体" w:hAnsi="宋体" w:cs="宋体"/>
          <w:sz w:val="24"/>
        </w:rPr>
        <w:t>（9）快递包装中不得使用溶剂型胶粘剂；</w:t>
      </w:r>
    </w:p>
    <w:p w14:paraId="6B2071C8">
      <w:pPr>
        <w:adjustRightInd w:val="0"/>
        <w:snapToGrid w:val="0"/>
        <w:spacing w:line="360" w:lineRule="auto"/>
        <w:ind w:firstLine="480" w:firstLineChars="200"/>
        <w:rPr>
          <w:rFonts w:ascii="宋体" w:hAnsi="宋体" w:cs="宋体"/>
          <w:sz w:val="24"/>
        </w:rPr>
      </w:pPr>
      <w:r>
        <w:rPr>
          <w:rFonts w:hint="eastAsia" w:ascii="宋体" w:hAnsi="宋体" w:cs="宋体"/>
          <w:sz w:val="24"/>
        </w:rPr>
        <w:t>（11）快递应使用电子面单；</w:t>
      </w:r>
    </w:p>
    <w:p w14:paraId="67653F0B">
      <w:pPr>
        <w:adjustRightInd w:val="0"/>
        <w:snapToGrid w:val="0"/>
        <w:spacing w:line="360" w:lineRule="auto"/>
        <w:ind w:firstLine="480" w:firstLineChars="200"/>
        <w:rPr>
          <w:rFonts w:ascii="宋体" w:hAnsi="宋体" w:cs="宋体"/>
          <w:sz w:val="24"/>
        </w:rPr>
      </w:pPr>
      <w:r>
        <w:rPr>
          <w:rFonts w:hint="eastAsia" w:ascii="宋体" w:hAnsi="宋体" w:cs="宋体"/>
          <w:sz w:val="24"/>
        </w:rPr>
        <w:t>（12）直接使用商品包装作为快递包装的商品，其商品包装满足《商品包装政府采购需求标准（试行）》即可；</w:t>
      </w:r>
    </w:p>
    <w:p w14:paraId="6C563E0D">
      <w:pPr>
        <w:adjustRightInd w:val="0"/>
        <w:snapToGrid w:val="0"/>
        <w:spacing w:line="360" w:lineRule="auto"/>
        <w:ind w:firstLine="480" w:firstLineChars="200"/>
        <w:rPr>
          <w:rFonts w:ascii="宋体" w:hAnsi="宋体" w:cs="宋体"/>
          <w:b/>
          <w:bCs/>
          <w:sz w:val="24"/>
        </w:rPr>
      </w:pPr>
      <w:r>
        <w:rPr>
          <w:rFonts w:hint="eastAsia" w:ascii="宋体" w:hAnsi="宋体" w:cs="宋体"/>
          <w:sz w:val="24"/>
        </w:rPr>
        <w:t>（13）快递包装产品质量和封装方式应符合相关国家或行业标准技术指标要求。</w:t>
      </w:r>
    </w:p>
    <w:p w14:paraId="0A964F27">
      <w:pPr>
        <w:adjustRightInd w:val="0"/>
        <w:snapToGrid w:val="0"/>
        <w:spacing w:line="360" w:lineRule="auto"/>
        <w:ind w:firstLine="482" w:firstLineChars="200"/>
        <w:rPr>
          <w:rFonts w:ascii="宋体" w:hAnsi="宋体" w:cs="宋体"/>
          <w:sz w:val="24"/>
        </w:rPr>
      </w:pPr>
      <w:r>
        <w:rPr>
          <w:rFonts w:hint="eastAsia" w:ascii="宋体" w:hAnsi="宋体" w:cs="宋体"/>
          <w:b/>
          <w:bCs/>
          <w:sz w:val="24"/>
        </w:rPr>
        <w:t>六、采购标的的验收标准</w:t>
      </w:r>
    </w:p>
    <w:p w14:paraId="0B71DE03">
      <w:pPr>
        <w:snapToGrid w:val="0"/>
        <w:spacing w:line="360" w:lineRule="auto"/>
        <w:ind w:firstLine="495"/>
        <w:rPr>
          <w:rFonts w:ascii="宋体" w:hAnsi="宋体" w:cs="宋体"/>
          <w:sz w:val="24"/>
        </w:rPr>
      </w:pPr>
      <w:r>
        <w:rPr>
          <w:rFonts w:hint="eastAsia" w:ascii="宋体" w:hAnsi="宋体" w:cs="宋体"/>
          <w:sz w:val="24"/>
        </w:rPr>
        <w:t>1、由采购单位组织验收小组，对货物的数量、型号、规格、外观、质量、安全、功能及性能等进行验收，货物验收依据采购合同、招标文件技术规格中明确的标准和技术要求。中标供应商须免费派技术人员到达现场协助验收工作，保证货物经正确安装、正常运转和保养，在其使用寿命期内具有符合质量要求和产品说明书的性能。验收无误后采购单位应签署收货单。如验收不合格，采购单位将无条件退回，中标供应商承担因此涉及到的所有费用。同时采购单位认定为中标供应商自身的原因而导致的该结果，有权单方面解除采购合同，并进行相关违约金处理。验收所发生的费用由中标供应商承担。</w:t>
      </w:r>
    </w:p>
    <w:p w14:paraId="11F83C84">
      <w:pPr>
        <w:snapToGrid w:val="0"/>
        <w:spacing w:line="360" w:lineRule="auto"/>
        <w:ind w:firstLine="495"/>
        <w:rPr>
          <w:rFonts w:ascii="宋体" w:hAnsi="宋体" w:cs="宋体"/>
          <w:sz w:val="24"/>
        </w:rPr>
      </w:pPr>
      <w:r>
        <w:rPr>
          <w:rFonts w:hint="eastAsia" w:ascii="宋体" w:hAnsi="宋体" w:cs="宋体"/>
          <w:sz w:val="24"/>
        </w:rPr>
        <w:t>2、本项目的所有物权（包含版权等）在项目验收完成后均归采购单位所有，中标供应商必须保证采购单位拥有完整物权（包含版权等），并且中标供应商负有保证第三方不得向采购单位主张任何权利（包含版权等）的义务。</w:t>
      </w:r>
    </w:p>
    <w:p w14:paraId="4C81C84F">
      <w:pPr>
        <w:pStyle w:val="427"/>
        <w:widowControl/>
        <w:snapToGrid w:val="0"/>
        <w:spacing w:line="360" w:lineRule="auto"/>
        <w:ind w:firstLine="480"/>
        <w:rPr>
          <w:rFonts w:ascii="宋体" w:hAnsi="宋体" w:cs="宋体"/>
          <w:bCs/>
          <w:sz w:val="24"/>
          <w:szCs w:val="24"/>
        </w:rPr>
      </w:pPr>
      <w:r>
        <w:rPr>
          <w:rFonts w:hint="eastAsia" w:ascii="宋体" w:hAnsi="宋体" w:cs="宋体"/>
          <w:bCs/>
          <w:sz w:val="24"/>
          <w:szCs w:val="24"/>
        </w:rPr>
        <w:t>3、如双方对验收结果有分歧，则以南通市市场监督管理局的检测结果为准，检验费由有过失的一方支付。</w:t>
      </w:r>
    </w:p>
    <w:p w14:paraId="6C55E3DD">
      <w:pPr>
        <w:adjustRightInd w:val="0"/>
        <w:snapToGrid w:val="0"/>
        <w:spacing w:line="360" w:lineRule="auto"/>
        <w:ind w:firstLine="480" w:firstLineChars="200"/>
        <w:rPr>
          <w:rFonts w:ascii="宋体" w:hAnsi="宋体" w:cs="宋体"/>
          <w:sz w:val="24"/>
        </w:rPr>
      </w:pPr>
      <w:r>
        <w:rPr>
          <w:rFonts w:hint="eastAsia" w:ascii="宋体" w:hAnsi="宋体" w:cs="宋体"/>
          <w:bCs/>
          <w:sz w:val="24"/>
        </w:rPr>
        <w:t>4、若货物检测不合格，采购单位将无条件退回，</w:t>
      </w:r>
      <w:r>
        <w:rPr>
          <w:rFonts w:hint="eastAsia" w:ascii="宋体" w:hAnsi="宋体" w:cs="宋体"/>
          <w:sz w:val="24"/>
        </w:rPr>
        <w:t>中标供应商</w:t>
      </w:r>
      <w:r>
        <w:rPr>
          <w:rFonts w:hint="eastAsia" w:ascii="宋体" w:hAnsi="宋体" w:cs="宋体"/>
          <w:bCs/>
          <w:sz w:val="24"/>
        </w:rPr>
        <w:t>承担因此涉及到的所有费用。同时采购单位认定为</w:t>
      </w:r>
      <w:r>
        <w:rPr>
          <w:rFonts w:hint="eastAsia" w:ascii="宋体" w:hAnsi="宋体" w:cs="宋体"/>
          <w:sz w:val="24"/>
        </w:rPr>
        <w:t>中标供应商</w:t>
      </w:r>
      <w:r>
        <w:rPr>
          <w:rFonts w:hint="eastAsia" w:ascii="宋体" w:hAnsi="宋体" w:cs="宋体"/>
          <w:bCs/>
          <w:sz w:val="24"/>
        </w:rPr>
        <w:t>自身的原因而导致的该结果，有权单方面解除采购合同。</w:t>
      </w:r>
    </w:p>
    <w:p w14:paraId="2AF3F857">
      <w:pPr>
        <w:adjustRightInd w:val="0"/>
        <w:snapToGrid w:val="0"/>
        <w:spacing w:line="360" w:lineRule="auto"/>
        <w:ind w:firstLine="482" w:firstLineChars="200"/>
        <w:rPr>
          <w:rFonts w:ascii="宋体" w:hAnsi="宋体" w:cs="宋体"/>
          <w:sz w:val="24"/>
        </w:rPr>
      </w:pPr>
      <w:r>
        <w:rPr>
          <w:rFonts w:hint="eastAsia" w:ascii="宋体" w:hAnsi="宋体" w:cs="宋体"/>
          <w:b/>
          <w:bCs/>
          <w:sz w:val="24"/>
        </w:rPr>
        <w:t>七、采购标的的其他技术、服务等要求</w:t>
      </w:r>
    </w:p>
    <w:p w14:paraId="00A26343">
      <w:pPr>
        <w:snapToGrid w:val="0"/>
        <w:spacing w:line="360" w:lineRule="auto"/>
        <w:ind w:firstLine="480" w:firstLineChars="200"/>
        <w:jc w:val="left"/>
        <w:rPr>
          <w:rFonts w:ascii="宋体" w:hAnsi="宋体" w:cs="宋体"/>
          <w:sz w:val="24"/>
        </w:rPr>
      </w:pPr>
      <w:r>
        <w:rPr>
          <w:rFonts w:hint="eastAsia" w:ascii="宋体" w:hAnsi="宋体" w:cs="宋体"/>
          <w:sz w:val="24"/>
        </w:rPr>
        <w:t>1、中标供应商必须保证所提供的产品符合国家相应质量要求。</w:t>
      </w:r>
    </w:p>
    <w:p w14:paraId="049C1C9E">
      <w:pPr>
        <w:pStyle w:val="427"/>
        <w:widowControl/>
        <w:snapToGrid w:val="0"/>
        <w:spacing w:line="360" w:lineRule="auto"/>
        <w:ind w:firstLine="480"/>
        <w:rPr>
          <w:rFonts w:ascii="宋体" w:hAnsi="宋体" w:cs="宋体"/>
          <w:bCs/>
          <w:sz w:val="24"/>
          <w:szCs w:val="24"/>
        </w:rPr>
      </w:pPr>
      <w:r>
        <w:rPr>
          <w:rFonts w:hint="eastAsia" w:ascii="宋体" w:hAnsi="宋体" w:cs="宋体"/>
          <w:bCs/>
          <w:sz w:val="24"/>
          <w:szCs w:val="24"/>
        </w:rPr>
        <w:t>2、成交价在合同实施期间不因市场变化因素而变动。</w:t>
      </w:r>
      <w:r>
        <w:rPr>
          <w:rFonts w:hint="eastAsia" w:ascii="宋体" w:hAnsi="宋体" w:cs="宋体"/>
          <w:sz w:val="24"/>
        </w:rPr>
        <w:t>中标供应商</w:t>
      </w:r>
      <w:r>
        <w:rPr>
          <w:rFonts w:hint="eastAsia" w:ascii="宋体" w:hAnsi="宋体" w:cs="宋体"/>
          <w:bCs/>
          <w:sz w:val="24"/>
          <w:szCs w:val="24"/>
        </w:rPr>
        <w:t>不得以任何理由拒绝供货或要求更换其他产品。</w:t>
      </w:r>
    </w:p>
    <w:p w14:paraId="2703D91C">
      <w:pPr>
        <w:pStyle w:val="427"/>
        <w:widowControl/>
        <w:snapToGrid w:val="0"/>
        <w:spacing w:line="360" w:lineRule="auto"/>
        <w:ind w:firstLine="480"/>
        <w:rPr>
          <w:rFonts w:ascii="宋体" w:hAnsi="宋体" w:cs="宋体"/>
          <w:bCs/>
          <w:sz w:val="24"/>
          <w:szCs w:val="24"/>
        </w:rPr>
      </w:pPr>
      <w:r>
        <w:rPr>
          <w:rFonts w:hint="eastAsia" w:ascii="宋体" w:hAnsi="宋体" w:cs="宋体"/>
          <w:bCs/>
          <w:sz w:val="24"/>
          <w:szCs w:val="24"/>
        </w:rPr>
        <w:t>3、如双方对验收结果有分歧，则以南通市市场监督管理局的检测结果为准，检验费由有过失的一方支付。</w:t>
      </w:r>
    </w:p>
    <w:p w14:paraId="05BACF9F">
      <w:pPr>
        <w:snapToGrid w:val="0"/>
        <w:spacing w:line="360" w:lineRule="auto"/>
        <w:ind w:firstLine="460" w:firstLineChars="192"/>
        <w:rPr>
          <w:rFonts w:ascii="宋体" w:hAnsi="宋体" w:cs="宋体"/>
          <w:bCs/>
          <w:sz w:val="24"/>
        </w:rPr>
      </w:pPr>
      <w:r>
        <w:rPr>
          <w:rFonts w:hint="eastAsia" w:ascii="宋体" w:hAnsi="宋体" w:cs="宋体"/>
          <w:bCs/>
          <w:sz w:val="24"/>
        </w:rPr>
        <w:t>4、</w:t>
      </w:r>
      <w:r>
        <w:rPr>
          <w:rFonts w:hint="eastAsia" w:ascii="宋体" w:hAnsi="宋体" w:cs="宋体"/>
          <w:sz w:val="24"/>
        </w:rPr>
        <w:t>中标供应商</w:t>
      </w:r>
      <w:r>
        <w:rPr>
          <w:rFonts w:hint="eastAsia" w:ascii="宋体" w:hAnsi="宋体" w:cs="宋体"/>
          <w:bCs/>
          <w:sz w:val="24"/>
        </w:rPr>
        <w:t>所供货物，可能由</w:t>
      </w:r>
      <w:r>
        <w:rPr>
          <w:rFonts w:hint="eastAsia" w:ascii="宋体" w:hAnsi="宋体" w:cs="宋体"/>
          <w:sz w:val="24"/>
        </w:rPr>
        <w:t>当地产品质量检验机构或其他权威部门</w:t>
      </w:r>
      <w:r>
        <w:rPr>
          <w:rFonts w:hint="eastAsia" w:ascii="宋体" w:hAnsi="宋体" w:cs="宋体"/>
          <w:bCs/>
          <w:sz w:val="24"/>
        </w:rPr>
        <w:t>从中随机抽取进行全项检测，</w:t>
      </w:r>
      <w:r>
        <w:rPr>
          <w:rFonts w:hint="eastAsia" w:ascii="宋体" w:hAnsi="宋体" w:cs="宋体"/>
          <w:sz w:val="24"/>
        </w:rPr>
        <w:t>中标供应商</w:t>
      </w:r>
      <w:r>
        <w:rPr>
          <w:rFonts w:hint="eastAsia" w:ascii="宋体" w:hAnsi="宋体" w:cs="宋体"/>
          <w:bCs/>
          <w:sz w:val="24"/>
        </w:rPr>
        <w:t>承担因此涉及到的所有费用。</w:t>
      </w:r>
    </w:p>
    <w:p w14:paraId="45E0529D">
      <w:pPr>
        <w:adjustRightInd w:val="0"/>
        <w:snapToGrid w:val="0"/>
        <w:spacing w:line="360" w:lineRule="auto"/>
        <w:ind w:firstLine="482" w:firstLineChars="200"/>
        <w:rPr>
          <w:rFonts w:ascii="宋体" w:hAnsi="宋体" w:cs="宋体"/>
          <w:sz w:val="24"/>
        </w:rPr>
      </w:pPr>
      <w:r>
        <w:rPr>
          <w:rFonts w:hint="eastAsia" w:ascii="宋体" w:hAnsi="宋体" w:cs="宋体"/>
          <w:b/>
          <w:bCs/>
          <w:sz w:val="24"/>
        </w:rPr>
        <w:t>八、付款方式</w:t>
      </w:r>
    </w:p>
    <w:p w14:paraId="17A1B3E6">
      <w:pPr>
        <w:adjustRightInd w:val="0"/>
        <w:snapToGrid w:val="0"/>
        <w:spacing w:line="360" w:lineRule="auto"/>
        <w:ind w:firstLine="480" w:firstLineChars="200"/>
        <w:rPr>
          <w:rFonts w:ascii="宋体" w:hAnsi="宋体" w:cs="宋体"/>
          <w:sz w:val="24"/>
        </w:rPr>
      </w:pPr>
      <w:r>
        <w:rPr>
          <w:rFonts w:hint="eastAsia" w:ascii="宋体" w:hAnsi="宋体" w:cs="宋体"/>
          <w:sz w:val="24"/>
        </w:rPr>
        <w:t>采购单位、中标供应商合同签订生效后支付合同价款的30%，中标供应商在规定时间内完成供货且验收合格后，采购单位付清余款。申请付款时，中标供应商须提供相应金额且符合采购单位财务制度规定的增值税发票，采购单位按程序审批后支付款项。</w:t>
      </w:r>
    </w:p>
    <w:p w14:paraId="04B9CE64">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九、履约保证金：本项目不收取履约保证金。</w:t>
      </w:r>
    </w:p>
    <w:p w14:paraId="4C95FB02">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十、本项目不接受进口产品参与。</w:t>
      </w:r>
    </w:p>
    <w:p w14:paraId="736DFFF2">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十一、采购需求中必须满足的实质性要求</w:t>
      </w:r>
    </w:p>
    <w:p w14:paraId="59891871">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本项目标记“★”的内容为实质性响应技术参数，供应商的投标文件中技术参数不接受负偏离，否则视为无效响应。</w:t>
      </w:r>
    </w:p>
    <w:p w14:paraId="061E40E9">
      <w:pPr>
        <w:adjustRightInd w:val="0"/>
        <w:snapToGrid w:val="0"/>
        <w:spacing w:line="360" w:lineRule="auto"/>
        <w:ind w:firstLine="482" w:firstLineChars="200"/>
        <w:rPr>
          <w:rFonts w:hint="eastAsia" w:ascii="宋体" w:hAnsi="宋体" w:cs="宋体"/>
          <w:b/>
          <w:bCs/>
          <w:sz w:val="24"/>
        </w:rPr>
      </w:pPr>
    </w:p>
    <w:p w14:paraId="5ECFEACE">
      <w:pPr>
        <w:spacing w:line="360" w:lineRule="auto"/>
        <w:jc w:val="center"/>
        <w:rPr>
          <w:rFonts w:cs="宋体"/>
          <w:b/>
          <w:bCs/>
          <w:sz w:val="36"/>
          <w:szCs w:val="36"/>
        </w:rPr>
      </w:pPr>
      <w:r>
        <w:rPr>
          <w:rFonts w:hint="eastAsia" w:cs="宋体"/>
          <w:b/>
          <w:bCs/>
          <w:sz w:val="36"/>
          <w:szCs w:val="36"/>
        </w:rPr>
        <w:br w:type="page"/>
      </w:r>
      <w:r>
        <w:rPr>
          <w:rFonts w:hint="eastAsia" w:cs="宋体"/>
          <w:b/>
          <w:bCs/>
          <w:sz w:val="36"/>
          <w:szCs w:val="36"/>
        </w:rPr>
        <w:t>第</w:t>
      </w:r>
      <w:bookmarkEnd w:id="181"/>
      <w:bookmarkStart w:id="198" w:name="_Toc90960353"/>
      <w:bookmarkStart w:id="199" w:name="_Toc338245686"/>
      <w:bookmarkStart w:id="200" w:name="_Toc90960413"/>
      <w:r>
        <w:rPr>
          <w:rFonts w:hint="eastAsia" w:cs="宋体"/>
          <w:b/>
          <w:bCs/>
          <w:sz w:val="36"/>
          <w:szCs w:val="36"/>
        </w:rPr>
        <w:t xml:space="preserve">四部分 </w:t>
      </w:r>
      <w:bookmarkEnd w:id="182"/>
      <w:bookmarkEnd w:id="183"/>
      <w:bookmarkEnd w:id="184"/>
      <w:r>
        <w:rPr>
          <w:rFonts w:hint="eastAsia" w:cs="宋体"/>
          <w:b/>
          <w:bCs/>
          <w:sz w:val="36"/>
          <w:szCs w:val="36"/>
        </w:rPr>
        <w:t>开标和评标</w:t>
      </w:r>
    </w:p>
    <w:p w14:paraId="0CA2530C">
      <w:pPr>
        <w:spacing w:line="360" w:lineRule="auto"/>
        <w:ind w:firstLine="482" w:firstLineChars="200"/>
        <w:rPr>
          <w:rFonts w:hint="eastAsia" w:cs="宋体"/>
          <w:b/>
          <w:bCs/>
          <w:sz w:val="24"/>
        </w:rPr>
      </w:pPr>
      <w:r>
        <w:rPr>
          <w:rFonts w:hint="eastAsia" w:cs="宋体"/>
          <w:b/>
          <w:bCs/>
          <w:sz w:val="24"/>
        </w:rPr>
        <w:t>一、采购单位委托招标代理机构组织招标</w:t>
      </w:r>
    </w:p>
    <w:p w14:paraId="6402750A">
      <w:pPr>
        <w:spacing w:line="360" w:lineRule="auto"/>
        <w:ind w:firstLine="480" w:firstLineChars="200"/>
        <w:rPr>
          <w:rFonts w:hint="eastAsia" w:cs="宋体"/>
          <w:sz w:val="24"/>
        </w:rPr>
      </w:pPr>
      <w:r>
        <w:rPr>
          <w:rFonts w:hint="eastAsia" w:cs="宋体"/>
          <w:sz w:val="24"/>
        </w:rPr>
        <w:t>1.成立评标委员会小组，由采购单位代表和有关专家依法组成。</w:t>
      </w:r>
    </w:p>
    <w:p w14:paraId="43531670">
      <w:pPr>
        <w:spacing w:line="360" w:lineRule="auto"/>
        <w:ind w:firstLine="480" w:firstLineChars="200"/>
        <w:rPr>
          <w:rFonts w:hint="eastAsia" w:cs="宋体"/>
          <w:sz w:val="24"/>
        </w:rPr>
      </w:pPr>
      <w:r>
        <w:rPr>
          <w:rFonts w:hint="eastAsia" w:cs="宋体"/>
          <w:sz w:val="24"/>
        </w:rPr>
        <w:t>2.投标供应商的法定代表人或被授权人须持身份证准时参加开标会。</w:t>
      </w:r>
    </w:p>
    <w:p w14:paraId="0DAE8A62">
      <w:pPr>
        <w:spacing w:line="360" w:lineRule="auto"/>
        <w:ind w:firstLine="482" w:firstLineChars="200"/>
        <w:rPr>
          <w:rFonts w:hint="eastAsia" w:cs="宋体"/>
          <w:b/>
          <w:bCs/>
          <w:sz w:val="24"/>
        </w:rPr>
      </w:pPr>
      <w:r>
        <w:rPr>
          <w:rFonts w:hint="eastAsia" w:cs="宋体"/>
          <w:b/>
          <w:bCs/>
          <w:sz w:val="24"/>
        </w:rPr>
        <w:t>二、开标</w:t>
      </w:r>
    </w:p>
    <w:p w14:paraId="35856958">
      <w:pPr>
        <w:spacing w:line="360" w:lineRule="auto"/>
        <w:ind w:firstLine="480" w:firstLineChars="200"/>
        <w:rPr>
          <w:rFonts w:hint="eastAsia" w:cs="宋体"/>
          <w:sz w:val="24"/>
        </w:rPr>
      </w:pPr>
      <w:r>
        <w:rPr>
          <w:rFonts w:hint="eastAsia" w:cs="宋体"/>
          <w:sz w:val="24"/>
        </w:rPr>
        <w:t>1.采购代理机构主持开标并记录，及时处理投标供应商代表提出的询问或回避申请。</w:t>
      </w:r>
    </w:p>
    <w:p w14:paraId="0D89FBE2">
      <w:pPr>
        <w:spacing w:line="360" w:lineRule="auto"/>
        <w:ind w:firstLine="480" w:firstLineChars="200"/>
        <w:rPr>
          <w:rFonts w:hint="eastAsia" w:cs="宋体"/>
          <w:sz w:val="24"/>
        </w:rPr>
      </w:pPr>
      <w:r>
        <w:rPr>
          <w:rFonts w:hint="eastAsia" w:cs="宋体"/>
          <w:sz w:val="24"/>
        </w:rPr>
        <w:t>2.投标供应商不足3家的不得开标，相应处理方式见本招标文件第四章第九条的规定。</w:t>
      </w:r>
    </w:p>
    <w:p w14:paraId="50C689AF">
      <w:pPr>
        <w:spacing w:line="360" w:lineRule="auto"/>
        <w:ind w:firstLine="487" w:firstLineChars="202"/>
        <w:rPr>
          <w:rFonts w:hint="eastAsia" w:cs="宋体"/>
          <w:b/>
          <w:sz w:val="24"/>
        </w:rPr>
      </w:pPr>
      <w:r>
        <w:rPr>
          <w:rFonts w:hint="eastAsia" w:cs="宋体"/>
          <w:b/>
          <w:sz w:val="24"/>
        </w:rPr>
        <w:t>三、资格审查</w:t>
      </w:r>
    </w:p>
    <w:p w14:paraId="5E899158">
      <w:pPr>
        <w:spacing w:line="360" w:lineRule="auto"/>
        <w:ind w:firstLine="484" w:firstLineChars="202"/>
        <w:rPr>
          <w:rFonts w:hint="eastAsia" w:cs="宋体"/>
          <w:sz w:val="24"/>
        </w:rPr>
      </w:pPr>
      <w:r>
        <w:rPr>
          <w:rFonts w:hint="eastAsia" w:cs="宋体"/>
          <w:sz w:val="24"/>
        </w:rPr>
        <w:t>1.开标后，采购单位及其委托的采购代理机构依据相关规定，根据招标文件载明的资格审查要求，对投标供应商的资格进行审查。</w:t>
      </w:r>
    </w:p>
    <w:p w14:paraId="7C3760FE">
      <w:pPr>
        <w:spacing w:line="360" w:lineRule="auto"/>
        <w:ind w:firstLine="484" w:firstLineChars="202"/>
        <w:rPr>
          <w:rFonts w:hint="eastAsia" w:cs="宋体"/>
          <w:sz w:val="24"/>
        </w:rPr>
      </w:pPr>
      <w:r>
        <w:rPr>
          <w:rFonts w:hint="eastAsia" w:cs="宋体"/>
          <w:sz w:val="24"/>
        </w:rPr>
        <w:t>2.资格审查合格的投标供应商进入评标。</w:t>
      </w:r>
    </w:p>
    <w:p w14:paraId="5EF6F50A">
      <w:pPr>
        <w:spacing w:line="360" w:lineRule="auto"/>
        <w:ind w:firstLine="484" w:firstLineChars="202"/>
        <w:rPr>
          <w:rFonts w:hint="eastAsia" w:cs="宋体"/>
          <w:sz w:val="24"/>
        </w:rPr>
      </w:pPr>
      <w:r>
        <w:rPr>
          <w:rFonts w:hint="eastAsia" w:cs="宋体"/>
          <w:sz w:val="24"/>
        </w:rPr>
        <w:t>3.合格投标供应商不足3家的，不得评标，相应处理方式见本招标文件第四章第九条的规定。</w:t>
      </w:r>
    </w:p>
    <w:p w14:paraId="13AD7E8E">
      <w:pPr>
        <w:spacing w:line="360" w:lineRule="auto"/>
        <w:ind w:firstLine="487" w:firstLineChars="202"/>
        <w:rPr>
          <w:rFonts w:hint="eastAsia" w:cs="宋体"/>
          <w:b/>
          <w:sz w:val="24"/>
        </w:rPr>
      </w:pPr>
      <w:r>
        <w:rPr>
          <w:rFonts w:hint="eastAsia" w:cs="宋体"/>
          <w:b/>
          <w:sz w:val="24"/>
        </w:rPr>
        <w:t>四、评标</w:t>
      </w:r>
    </w:p>
    <w:p w14:paraId="7287260F">
      <w:pPr>
        <w:spacing w:line="360" w:lineRule="auto"/>
        <w:ind w:firstLine="480" w:firstLineChars="200"/>
        <w:rPr>
          <w:rFonts w:hint="eastAsia" w:cs="宋体"/>
          <w:sz w:val="24"/>
        </w:rPr>
      </w:pPr>
      <w:r>
        <w:rPr>
          <w:rFonts w:hint="eastAsia" w:cs="宋体"/>
          <w:sz w:val="24"/>
        </w:rPr>
        <w:t>1.评标时间</w:t>
      </w:r>
      <w:r>
        <w:rPr>
          <w:rFonts w:hint="eastAsia" w:cs="宋体"/>
          <w:b/>
          <w:sz w:val="24"/>
        </w:rPr>
        <w:t>：资格审查结束以后。</w:t>
      </w:r>
    </w:p>
    <w:p w14:paraId="21725065">
      <w:pPr>
        <w:spacing w:line="360" w:lineRule="auto"/>
        <w:ind w:firstLine="480" w:firstLineChars="200"/>
        <w:rPr>
          <w:rFonts w:hint="eastAsia" w:cs="宋体"/>
          <w:sz w:val="24"/>
        </w:rPr>
      </w:pPr>
      <w:r>
        <w:rPr>
          <w:rFonts w:hint="eastAsia" w:cs="宋体"/>
          <w:sz w:val="24"/>
        </w:rPr>
        <w:t>2.采购代理机构负责组织评标工作，并履行下列职责：</w:t>
      </w:r>
    </w:p>
    <w:p w14:paraId="0F8F9234">
      <w:pPr>
        <w:spacing w:line="360" w:lineRule="auto"/>
        <w:ind w:firstLine="240" w:firstLineChars="100"/>
        <w:rPr>
          <w:rFonts w:hint="eastAsia" w:cs="宋体"/>
          <w:sz w:val="24"/>
        </w:rPr>
      </w:pPr>
      <w:r>
        <w:rPr>
          <w:rFonts w:hint="eastAsia" w:cs="宋体"/>
          <w:sz w:val="24"/>
        </w:rPr>
        <w:t>（1）核对评审专家身份和采购单位代表授权函，对评审专家在采购活动中的职责履行情况予以记录，并及时将有关违法违规行为向相关部门报告。</w:t>
      </w:r>
    </w:p>
    <w:p w14:paraId="0F5EEE92">
      <w:pPr>
        <w:spacing w:line="360" w:lineRule="auto"/>
        <w:ind w:firstLine="240" w:firstLineChars="100"/>
        <w:rPr>
          <w:rFonts w:hint="eastAsia" w:cs="宋体"/>
          <w:sz w:val="24"/>
        </w:rPr>
      </w:pPr>
      <w:r>
        <w:rPr>
          <w:rFonts w:hint="eastAsia" w:cs="宋体"/>
          <w:sz w:val="24"/>
        </w:rPr>
        <w:t>（2）宣布评标纪律。</w:t>
      </w:r>
    </w:p>
    <w:p w14:paraId="6493A505">
      <w:pPr>
        <w:spacing w:line="360" w:lineRule="auto"/>
        <w:ind w:firstLine="240" w:firstLineChars="100"/>
        <w:rPr>
          <w:rFonts w:hint="eastAsia" w:cs="宋体"/>
          <w:sz w:val="24"/>
        </w:rPr>
      </w:pPr>
      <w:r>
        <w:rPr>
          <w:rFonts w:hint="eastAsia" w:cs="宋体"/>
          <w:sz w:val="24"/>
        </w:rPr>
        <w:t>（3）公布投标供应商名单，告知评审专家应当回避的情形。</w:t>
      </w:r>
    </w:p>
    <w:p w14:paraId="4704E589">
      <w:pPr>
        <w:spacing w:line="360" w:lineRule="auto"/>
        <w:ind w:firstLine="240" w:firstLineChars="100"/>
        <w:rPr>
          <w:rFonts w:hint="eastAsia" w:cs="宋体"/>
          <w:sz w:val="24"/>
        </w:rPr>
      </w:pPr>
      <w:r>
        <w:rPr>
          <w:rFonts w:hint="eastAsia" w:cs="宋体"/>
          <w:sz w:val="24"/>
        </w:rPr>
        <w:t>（4）组织评标委员会推选评标组长，采购单位代表不得担任组长。</w:t>
      </w:r>
    </w:p>
    <w:p w14:paraId="690B8514">
      <w:pPr>
        <w:spacing w:line="360" w:lineRule="auto"/>
        <w:ind w:firstLine="240" w:firstLineChars="100"/>
        <w:rPr>
          <w:rFonts w:hint="eastAsia" w:cs="宋体"/>
          <w:sz w:val="24"/>
        </w:rPr>
      </w:pPr>
      <w:r>
        <w:rPr>
          <w:rFonts w:hint="eastAsia" w:cs="宋体"/>
          <w:sz w:val="24"/>
        </w:rPr>
        <w:t>（5）在评标期间采取必要的通讯管理措施，保证评标活动不受外界干扰；除采购单位代表、评标现场组织人员外，采购单位的其他工作人员以及与评标工作无关的人员不得进入评标现场。</w:t>
      </w:r>
    </w:p>
    <w:p w14:paraId="27865B36">
      <w:pPr>
        <w:spacing w:line="360" w:lineRule="auto"/>
        <w:ind w:firstLine="240" w:firstLineChars="100"/>
        <w:rPr>
          <w:rFonts w:hint="eastAsia" w:cs="宋体"/>
          <w:sz w:val="24"/>
        </w:rPr>
      </w:pPr>
      <w:r>
        <w:rPr>
          <w:rFonts w:hint="eastAsia" w:cs="宋体"/>
          <w:sz w:val="24"/>
        </w:rPr>
        <w:t>（6）根据评标委员会的要求介绍采购相关政策法规、招标文件。</w:t>
      </w:r>
    </w:p>
    <w:p w14:paraId="559B87A6">
      <w:pPr>
        <w:spacing w:line="360" w:lineRule="auto"/>
        <w:ind w:firstLine="240" w:firstLineChars="100"/>
        <w:rPr>
          <w:rFonts w:hint="eastAsia" w:cs="宋体"/>
          <w:sz w:val="24"/>
        </w:rPr>
      </w:pPr>
      <w:r>
        <w:rPr>
          <w:rFonts w:hint="eastAsia" w:cs="宋体"/>
          <w:sz w:val="24"/>
        </w:rPr>
        <w:t>（7）维护评标秩序，监督评标委员会依照招标文件规定的评标程序、方法和标准进行独立评审，及时制止和纠正采购单位代表、评审专家的倾向性言论或者违法违规行为；采购单位可以在评标前说明项目背景和采购需求，说明内容不得含有歧视性、倾向性意见，不得超出招标文件所述范围。说明应当提交书面材料，并随采购文件一并存档。</w:t>
      </w:r>
    </w:p>
    <w:p w14:paraId="313BC9E6">
      <w:pPr>
        <w:spacing w:line="360" w:lineRule="auto"/>
        <w:ind w:firstLine="240" w:firstLineChars="100"/>
        <w:rPr>
          <w:rFonts w:hint="eastAsia" w:cs="宋体"/>
          <w:sz w:val="24"/>
        </w:rPr>
      </w:pPr>
      <w:r>
        <w:rPr>
          <w:rFonts w:hint="eastAsia" w:cs="宋体"/>
          <w:sz w:val="24"/>
        </w:rPr>
        <w:t>（8）核对评标结果，有下列规定情形的，要求评标委员会复核或者书面说明理由，评标委员会拒绝的，则予以书面记录并向招标人报告：</w:t>
      </w:r>
    </w:p>
    <w:p w14:paraId="7C2F3AD9">
      <w:pPr>
        <w:spacing w:line="360" w:lineRule="auto"/>
        <w:ind w:firstLine="480" w:firstLineChars="200"/>
        <w:rPr>
          <w:rFonts w:hint="eastAsia" w:cs="宋体"/>
          <w:sz w:val="24"/>
        </w:rPr>
      </w:pPr>
      <w:r>
        <w:rPr>
          <w:rFonts w:hint="eastAsia" w:cs="宋体"/>
          <w:sz w:val="24"/>
        </w:rPr>
        <w:t>① 分值汇总计算错误的；</w:t>
      </w:r>
    </w:p>
    <w:p w14:paraId="4EF12971">
      <w:pPr>
        <w:spacing w:line="360" w:lineRule="auto"/>
        <w:ind w:firstLine="480" w:firstLineChars="200"/>
        <w:rPr>
          <w:rFonts w:hint="eastAsia" w:cs="宋体"/>
          <w:sz w:val="24"/>
        </w:rPr>
      </w:pPr>
      <w:r>
        <w:rPr>
          <w:rFonts w:hint="eastAsia" w:cs="宋体"/>
          <w:sz w:val="24"/>
        </w:rPr>
        <w:t>② 分项评分超出评分标准范围的；</w:t>
      </w:r>
    </w:p>
    <w:p w14:paraId="3112DA3E">
      <w:pPr>
        <w:spacing w:line="360" w:lineRule="auto"/>
        <w:ind w:firstLine="480" w:firstLineChars="200"/>
        <w:rPr>
          <w:rFonts w:hint="eastAsia" w:cs="宋体"/>
          <w:sz w:val="24"/>
        </w:rPr>
      </w:pPr>
      <w:r>
        <w:rPr>
          <w:rFonts w:hint="eastAsia" w:cs="宋体"/>
          <w:sz w:val="24"/>
        </w:rPr>
        <w:t>③ 评标委员会成员对客观评审因素评分不一致的；</w:t>
      </w:r>
    </w:p>
    <w:p w14:paraId="6831762F">
      <w:pPr>
        <w:spacing w:line="360" w:lineRule="auto"/>
        <w:ind w:firstLine="480" w:firstLineChars="200"/>
        <w:rPr>
          <w:rFonts w:hint="eastAsia" w:cs="宋体"/>
          <w:sz w:val="24"/>
        </w:rPr>
      </w:pPr>
      <w:r>
        <w:rPr>
          <w:rFonts w:hint="eastAsia" w:cs="宋体"/>
          <w:sz w:val="24"/>
        </w:rPr>
        <w:t>④ 经评标委员会认定评分畸高、畸低的。</w:t>
      </w:r>
    </w:p>
    <w:p w14:paraId="6CD2C782">
      <w:pPr>
        <w:spacing w:line="360" w:lineRule="auto"/>
        <w:ind w:firstLine="240" w:firstLineChars="100"/>
        <w:rPr>
          <w:rFonts w:hint="eastAsia" w:cs="宋体"/>
          <w:sz w:val="24"/>
        </w:rPr>
      </w:pPr>
      <w:r>
        <w:rPr>
          <w:rFonts w:hint="eastAsia" w:cs="宋体"/>
          <w:sz w:val="24"/>
        </w:rPr>
        <w:t>（9）评审工作完成后，按照规定向评审专家支付劳务报酬和异地评审差旅费，不得向评审专家以外的其他人员支付评审劳务报酬；</w:t>
      </w:r>
    </w:p>
    <w:p w14:paraId="07A415B4">
      <w:pPr>
        <w:spacing w:line="360" w:lineRule="auto"/>
        <w:ind w:firstLine="240" w:firstLineChars="100"/>
        <w:rPr>
          <w:rFonts w:hint="eastAsia" w:cs="宋体"/>
          <w:sz w:val="24"/>
        </w:rPr>
      </w:pPr>
      <w:r>
        <w:rPr>
          <w:rFonts w:hint="eastAsia" w:cs="宋体"/>
          <w:sz w:val="24"/>
        </w:rPr>
        <w:t>（10）处理与评标有关的其他事项。</w:t>
      </w:r>
    </w:p>
    <w:p w14:paraId="13E835BB">
      <w:pPr>
        <w:spacing w:line="360" w:lineRule="auto"/>
        <w:ind w:firstLine="480" w:firstLineChars="200"/>
        <w:rPr>
          <w:rFonts w:hint="eastAsia" w:cs="宋体"/>
          <w:sz w:val="24"/>
        </w:rPr>
      </w:pPr>
      <w:r>
        <w:rPr>
          <w:rFonts w:hint="eastAsia" w:cs="宋体"/>
          <w:sz w:val="24"/>
        </w:rPr>
        <w:t>4.评标委员会负责具体评标事务：</w:t>
      </w:r>
    </w:p>
    <w:p w14:paraId="724DABE3">
      <w:pPr>
        <w:spacing w:line="360" w:lineRule="auto"/>
        <w:ind w:firstLine="240" w:firstLineChars="100"/>
        <w:rPr>
          <w:rFonts w:hint="eastAsia" w:cs="宋体"/>
          <w:sz w:val="24"/>
        </w:rPr>
      </w:pPr>
      <w:r>
        <w:rPr>
          <w:rFonts w:hint="eastAsia" w:cs="宋体"/>
          <w:sz w:val="24"/>
        </w:rPr>
        <w:t>（1）独立履行审查、评价合格投标供应商的投标响应文件是否符合招标文件的商务、技术等实质性要求并进行比较和评价；按照招标文件中规定的评标方法和标准，对符合性审查合格的投标响应文件进行商务和技术评估，综合比较与评价并依据招标文件载明的评标方法直接确定中标供应商。</w:t>
      </w:r>
    </w:p>
    <w:p w14:paraId="40108EA3">
      <w:pPr>
        <w:spacing w:line="360" w:lineRule="auto"/>
        <w:ind w:firstLine="240" w:firstLineChars="100"/>
        <w:rPr>
          <w:rFonts w:hint="eastAsia" w:cs="宋体"/>
          <w:sz w:val="24"/>
        </w:rPr>
      </w:pPr>
      <w:r>
        <w:rPr>
          <w:rFonts w:hint="eastAsia" w:cs="宋体"/>
          <w:sz w:val="24"/>
        </w:rPr>
        <w:t>（2）对于投标响应文件中含义不明确、同类问题表述不一致或者有明显文字和计算错误的内容，评标委员会应当以书面形式要求投标供应商作出必要的澄清、说明或者补正。投标供应商的澄清、说明或者补正，应当采用书面形式由投标供应商代表签字，但不得超出招标文件的范围或者改变其实质性内容。</w:t>
      </w:r>
    </w:p>
    <w:p w14:paraId="3CBCC62C">
      <w:pPr>
        <w:spacing w:line="360" w:lineRule="auto"/>
        <w:ind w:firstLine="240" w:firstLineChars="100"/>
        <w:rPr>
          <w:rFonts w:hint="eastAsia" w:cs="宋体"/>
          <w:sz w:val="24"/>
        </w:rPr>
      </w:pPr>
      <w:r>
        <w:rPr>
          <w:rFonts w:hint="eastAsia" w:cs="宋体"/>
          <w:sz w:val="24"/>
        </w:rPr>
        <w:t>（3）评标委员会发现招标文件存在歧义、重大缺陷导致评标工作无法进行，或者招标文件内容违反国家有关强制性规定的，应当停止评标工作，与采购单位或者采购代理机构沟通并作书面记录。采购单位或者采购代理机构确认后，应当修改招标文件，重新组织采购活动。</w:t>
      </w:r>
    </w:p>
    <w:p w14:paraId="16413CDD">
      <w:pPr>
        <w:spacing w:line="360" w:lineRule="auto"/>
        <w:ind w:firstLine="484" w:firstLineChars="202"/>
        <w:rPr>
          <w:rFonts w:hint="eastAsia" w:cs="宋体"/>
          <w:sz w:val="24"/>
        </w:rPr>
      </w:pPr>
      <w:r>
        <w:rPr>
          <w:rFonts w:hint="eastAsia" w:cs="宋体"/>
          <w:sz w:val="24"/>
        </w:rPr>
        <w:t>5.评标委员会成员独立履行以下职责与义务：</w:t>
      </w:r>
    </w:p>
    <w:p w14:paraId="7F09E341">
      <w:pPr>
        <w:spacing w:line="360" w:lineRule="auto"/>
        <w:ind w:firstLine="484" w:firstLineChars="202"/>
        <w:rPr>
          <w:rFonts w:hint="eastAsia" w:cs="宋体"/>
          <w:sz w:val="24"/>
        </w:rPr>
      </w:pPr>
      <w:r>
        <w:rPr>
          <w:rFonts w:hint="eastAsia" w:cs="宋体"/>
          <w:sz w:val="24"/>
        </w:rPr>
        <w:t>（1）遵纪守法，客观、公正、廉洁地履行职责；</w:t>
      </w:r>
    </w:p>
    <w:p w14:paraId="284FBB85">
      <w:pPr>
        <w:spacing w:line="360" w:lineRule="auto"/>
        <w:ind w:firstLine="484" w:firstLineChars="202"/>
        <w:rPr>
          <w:rFonts w:hint="eastAsia" w:cs="宋体"/>
          <w:sz w:val="24"/>
        </w:rPr>
      </w:pPr>
      <w:r>
        <w:rPr>
          <w:rFonts w:hint="eastAsia" w:cs="宋体"/>
          <w:sz w:val="24"/>
        </w:rPr>
        <w:t>（2）审查合格投标供应商的投标响应文件是否实质性响应招标文件要求，并作出评价；</w:t>
      </w:r>
    </w:p>
    <w:p w14:paraId="60CE7466">
      <w:pPr>
        <w:spacing w:line="360" w:lineRule="auto"/>
        <w:ind w:firstLine="484" w:firstLineChars="202"/>
        <w:rPr>
          <w:rFonts w:hint="eastAsia" w:cs="宋体"/>
          <w:sz w:val="24"/>
        </w:rPr>
      </w:pPr>
      <w:r>
        <w:rPr>
          <w:rFonts w:hint="eastAsia" w:cs="宋体"/>
          <w:sz w:val="24"/>
        </w:rPr>
        <w:t>（3）按照招标文件规定的评标办法和评标标准进行评标，对评审意见承担个人责任；</w:t>
      </w:r>
    </w:p>
    <w:p w14:paraId="55BA5AE9">
      <w:pPr>
        <w:spacing w:line="360" w:lineRule="auto"/>
        <w:ind w:firstLine="484" w:firstLineChars="202"/>
        <w:rPr>
          <w:rFonts w:hint="eastAsia" w:cs="宋体"/>
          <w:sz w:val="24"/>
        </w:rPr>
      </w:pPr>
      <w:r>
        <w:rPr>
          <w:rFonts w:hint="eastAsia" w:cs="宋体"/>
          <w:sz w:val="24"/>
        </w:rPr>
        <w:t>（4）可以要求投标供应商对投标响应文件有关事项作出解释或澄清；</w:t>
      </w:r>
    </w:p>
    <w:p w14:paraId="0DB874CC">
      <w:pPr>
        <w:spacing w:line="360" w:lineRule="auto"/>
        <w:ind w:firstLine="484" w:firstLineChars="202"/>
        <w:rPr>
          <w:rFonts w:hint="eastAsia" w:cs="宋体"/>
          <w:sz w:val="24"/>
        </w:rPr>
      </w:pPr>
      <w:r>
        <w:rPr>
          <w:rFonts w:hint="eastAsia" w:cs="宋体"/>
          <w:sz w:val="24"/>
        </w:rPr>
        <w:t>（5）对评标过程和结果，以及投标供应商的商业秘密保密；</w:t>
      </w:r>
    </w:p>
    <w:p w14:paraId="4421D79C">
      <w:pPr>
        <w:spacing w:line="360" w:lineRule="auto"/>
        <w:ind w:firstLine="484" w:firstLineChars="202"/>
        <w:rPr>
          <w:rFonts w:hint="eastAsia" w:cs="宋体"/>
          <w:sz w:val="24"/>
        </w:rPr>
      </w:pPr>
      <w:r>
        <w:rPr>
          <w:rFonts w:hint="eastAsia" w:cs="宋体"/>
          <w:sz w:val="24"/>
        </w:rPr>
        <w:t>（6）配合相关部门的投诉处理工作；</w:t>
      </w:r>
    </w:p>
    <w:p w14:paraId="476112B0">
      <w:pPr>
        <w:spacing w:line="360" w:lineRule="auto"/>
        <w:ind w:firstLine="484" w:firstLineChars="202"/>
        <w:rPr>
          <w:rFonts w:hint="eastAsia" w:cs="宋体"/>
          <w:sz w:val="24"/>
        </w:rPr>
      </w:pPr>
      <w:r>
        <w:rPr>
          <w:rFonts w:hint="eastAsia" w:cs="宋体"/>
          <w:sz w:val="24"/>
        </w:rPr>
        <w:t>（7）配合采购单位或采购代理机构答复投标供应商提出的质疑。</w:t>
      </w:r>
    </w:p>
    <w:p w14:paraId="689E559D">
      <w:pPr>
        <w:spacing w:line="360" w:lineRule="auto"/>
        <w:ind w:firstLine="480" w:firstLineChars="200"/>
        <w:rPr>
          <w:rFonts w:hint="eastAsia" w:cs="宋体"/>
          <w:sz w:val="24"/>
        </w:rPr>
      </w:pPr>
      <w:r>
        <w:rPr>
          <w:rFonts w:hint="eastAsia" w:cs="宋体"/>
          <w:sz w:val="24"/>
        </w:rPr>
        <w:t>6.除采购单位代表、评标现场组织人员外，采购单位的其他工作人员以及与评标工作无关的人员不得进入评标现场；有关人员对评标情况以及在评标过程中获悉的国家秘密、商业秘密负有保密责任。</w:t>
      </w:r>
    </w:p>
    <w:p w14:paraId="1665E7F4">
      <w:pPr>
        <w:spacing w:line="360" w:lineRule="auto"/>
        <w:ind w:firstLine="480" w:firstLineChars="200"/>
        <w:rPr>
          <w:rFonts w:hint="eastAsia" w:cs="宋体"/>
          <w:sz w:val="24"/>
        </w:rPr>
      </w:pPr>
      <w:r>
        <w:rPr>
          <w:rFonts w:hint="eastAsia" w:cs="宋体"/>
          <w:sz w:val="24"/>
        </w:rPr>
        <w:t>7.开标后直到公告项目成交结果发出中标通知书并授予中标供应商合同为止，凡属于评审、澄清、评价和比较投标的所有资料及有关授予合同等的相关信息，都不应向投标供应商或与评标无关的其他人泄露。</w:t>
      </w:r>
    </w:p>
    <w:p w14:paraId="1CB9542C">
      <w:pPr>
        <w:spacing w:line="360" w:lineRule="auto"/>
        <w:ind w:firstLine="484" w:firstLineChars="202"/>
        <w:rPr>
          <w:rFonts w:hint="eastAsia" w:cs="宋体"/>
          <w:b/>
          <w:sz w:val="24"/>
        </w:rPr>
      </w:pPr>
      <w:r>
        <w:rPr>
          <w:rFonts w:hint="eastAsia" w:cs="宋体"/>
          <w:sz w:val="24"/>
        </w:rPr>
        <w:t>8.评审期间，合格投标供应商的投标响应文件仍有可能被评标委员会根据规定判为无效投标。</w:t>
      </w:r>
    </w:p>
    <w:p w14:paraId="5C32330E">
      <w:pPr>
        <w:spacing w:line="360" w:lineRule="auto"/>
        <w:ind w:firstLine="484" w:firstLineChars="202"/>
        <w:rPr>
          <w:rFonts w:hint="eastAsia" w:cs="宋体"/>
          <w:sz w:val="24"/>
        </w:rPr>
      </w:pPr>
      <w:r>
        <w:rPr>
          <w:rFonts w:hint="eastAsia" w:cs="宋体"/>
          <w:sz w:val="24"/>
        </w:rPr>
        <w:t>9.在投标响应文件的评审、澄清、评价和比较以及授予合同的过程中，投标供应商对采购单位和评标委员会成员有施加影响的任何行为，都将取消其可能的中标资格。</w:t>
      </w:r>
    </w:p>
    <w:p w14:paraId="194DFFBD">
      <w:pPr>
        <w:spacing w:line="360" w:lineRule="auto"/>
        <w:ind w:firstLine="487" w:firstLineChars="202"/>
        <w:rPr>
          <w:rFonts w:hint="eastAsia" w:cs="宋体"/>
          <w:b/>
          <w:bCs/>
          <w:sz w:val="24"/>
        </w:rPr>
      </w:pPr>
      <w:r>
        <w:rPr>
          <w:rFonts w:hint="eastAsia" w:cs="宋体"/>
          <w:b/>
          <w:bCs/>
          <w:sz w:val="24"/>
        </w:rPr>
        <w:t>五、评审原则</w:t>
      </w:r>
    </w:p>
    <w:p w14:paraId="6E623011">
      <w:pPr>
        <w:spacing w:line="360" w:lineRule="auto"/>
        <w:ind w:firstLine="484" w:firstLineChars="202"/>
        <w:rPr>
          <w:rFonts w:hint="eastAsia"/>
          <w:sz w:val="24"/>
        </w:rPr>
      </w:pPr>
      <w:r>
        <w:rPr>
          <w:rFonts w:hint="eastAsia"/>
          <w:sz w:val="24"/>
        </w:rPr>
        <w:t xml:space="preserve">（一）本项目采用 </w:t>
      </w:r>
      <w:r>
        <w:rPr>
          <w:rFonts w:hint="eastAsia"/>
          <w:b/>
          <w:bCs/>
          <w:sz w:val="24"/>
          <w:u w:val="single"/>
        </w:rPr>
        <w:t xml:space="preserve"> 综合评分法</w:t>
      </w:r>
      <w:r>
        <w:rPr>
          <w:rFonts w:hint="eastAsia"/>
          <w:sz w:val="24"/>
        </w:rPr>
        <w:t>，是指投标文件满足招标文件全部实质性要求且按评审因素的量化指标评审得分最高的供应商为中标候选</w:t>
      </w:r>
      <w:r>
        <w:rPr>
          <w:rFonts w:hint="eastAsia" w:cs="宋体"/>
          <w:sz w:val="24"/>
        </w:rPr>
        <w:t>供应商</w:t>
      </w:r>
      <w:r>
        <w:rPr>
          <w:rFonts w:hint="eastAsia"/>
          <w:sz w:val="24"/>
        </w:rPr>
        <w:t>的评审方法。总分值为100分，加分和减分因素除外。</w:t>
      </w:r>
    </w:p>
    <w:p w14:paraId="6EF47DAF">
      <w:pPr>
        <w:spacing w:line="360" w:lineRule="auto"/>
        <w:ind w:firstLine="484" w:firstLineChars="202"/>
        <w:rPr>
          <w:rFonts w:hint="eastAsia"/>
          <w:sz w:val="24"/>
        </w:rPr>
      </w:pPr>
      <w:r>
        <w:rPr>
          <w:rFonts w:hint="eastAsia"/>
          <w:sz w:val="24"/>
        </w:rPr>
        <w:t>首先由采购人评审投标人资格、符合性，对合格的投标人由评委会评审商务技术标，待商务技术标评审结束后，再开启价格标。</w:t>
      </w:r>
    </w:p>
    <w:p w14:paraId="1B43036F">
      <w:pPr>
        <w:spacing w:line="360" w:lineRule="auto"/>
        <w:ind w:firstLine="484" w:firstLineChars="202"/>
        <w:rPr>
          <w:rFonts w:hint="eastAsia"/>
          <w:b/>
          <w:bCs/>
          <w:sz w:val="24"/>
          <w:u w:val="single"/>
        </w:rPr>
      </w:pPr>
      <w:r>
        <w:rPr>
          <w:rFonts w:hint="eastAsia"/>
          <w:sz w:val="24"/>
        </w:rPr>
        <w:t>评委在认真审阅投标文件的基础上，根据各投标文件的技术部分的响应情况，对各评分项目进行评分，不得统一打分。</w:t>
      </w:r>
    </w:p>
    <w:p w14:paraId="7132C20F">
      <w:pPr>
        <w:spacing w:line="360" w:lineRule="auto"/>
        <w:ind w:firstLine="482" w:firstLineChars="200"/>
        <w:rPr>
          <w:rFonts w:hint="eastAsia"/>
          <w:b/>
          <w:bCs/>
          <w:sz w:val="24"/>
          <w:u w:val="single"/>
        </w:rPr>
      </w:pPr>
      <w:r>
        <w:rPr>
          <w:rFonts w:hint="eastAsia" w:cs="宋体"/>
          <w:b/>
          <w:bCs/>
          <w:sz w:val="24"/>
        </w:rPr>
        <w:t>六、评审方法</w:t>
      </w:r>
    </w:p>
    <w:p w14:paraId="29742EB0">
      <w:pPr>
        <w:spacing w:line="360" w:lineRule="auto"/>
        <w:ind w:firstLine="480" w:firstLineChars="200"/>
        <w:rPr>
          <w:rFonts w:hint="eastAsia" w:cs="宋体"/>
          <w:sz w:val="24"/>
        </w:rPr>
      </w:pPr>
      <w:r>
        <w:rPr>
          <w:rFonts w:hint="eastAsia" w:cs="宋体"/>
          <w:sz w:val="24"/>
        </w:rPr>
        <w:t>（一）评标程序：</w:t>
      </w:r>
    </w:p>
    <w:p w14:paraId="7CC217D0">
      <w:pPr>
        <w:spacing w:line="360" w:lineRule="auto"/>
        <w:ind w:firstLine="480" w:firstLineChars="200"/>
        <w:rPr>
          <w:rFonts w:hint="eastAsia" w:cs="宋体"/>
          <w:sz w:val="24"/>
        </w:rPr>
      </w:pPr>
      <w:r>
        <w:rPr>
          <w:rFonts w:hint="eastAsia" w:cs="宋体"/>
          <w:sz w:val="24"/>
        </w:rPr>
        <w:t>资格条件评审—技术标评审--商务标评审，根据最后汇总的综合评分排名确定中标候选人。</w:t>
      </w:r>
    </w:p>
    <w:p w14:paraId="7035E9DA">
      <w:pPr>
        <w:spacing w:line="360" w:lineRule="auto"/>
        <w:ind w:firstLine="482" w:firstLineChars="200"/>
        <w:rPr>
          <w:rFonts w:hint="eastAsia" w:cs="宋体"/>
          <w:b/>
          <w:bCs/>
          <w:sz w:val="24"/>
        </w:rPr>
      </w:pPr>
      <w:r>
        <w:rPr>
          <w:rFonts w:hint="eastAsia" w:cs="宋体"/>
          <w:b/>
          <w:bCs/>
          <w:sz w:val="24"/>
        </w:rPr>
        <w:t>1.投标人资格审查</w:t>
      </w:r>
    </w:p>
    <w:p w14:paraId="79F8C32A">
      <w:pPr>
        <w:spacing w:line="360" w:lineRule="auto"/>
        <w:ind w:firstLine="480" w:firstLineChars="200"/>
        <w:rPr>
          <w:rFonts w:hint="eastAsia" w:cs="宋体"/>
          <w:bCs/>
          <w:sz w:val="24"/>
        </w:rPr>
      </w:pPr>
      <w:r>
        <w:rPr>
          <w:rFonts w:hint="eastAsia" w:cs="宋体"/>
          <w:bCs/>
          <w:sz w:val="24"/>
        </w:rPr>
        <w:t>有效投标人全部进入资格审查，由本工程评标委员会根据参加资格审查的投标人递交的资格证明文件，并按照本工程招标文件资格要求对投标人的资格进行审查。</w:t>
      </w:r>
    </w:p>
    <w:p w14:paraId="4F09A4F0">
      <w:pPr>
        <w:spacing w:line="360" w:lineRule="auto"/>
        <w:ind w:firstLine="480" w:firstLineChars="200"/>
        <w:rPr>
          <w:rFonts w:hint="eastAsia" w:cs="宋体"/>
          <w:bCs/>
          <w:sz w:val="24"/>
        </w:rPr>
      </w:pPr>
      <w:r>
        <w:rPr>
          <w:rFonts w:hint="eastAsia" w:cs="宋体"/>
          <w:bCs/>
          <w:sz w:val="24"/>
        </w:rPr>
        <w:t>本次资格审查采用合格制，各投标人资格审查通过后方能进入技术标评审。</w:t>
      </w:r>
    </w:p>
    <w:p w14:paraId="257A360E">
      <w:pPr>
        <w:spacing w:line="360" w:lineRule="auto"/>
        <w:ind w:firstLine="480" w:firstLineChars="200"/>
        <w:rPr>
          <w:rFonts w:hint="eastAsia" w:cs="宋体"/>
          <w:sz w:val="24"/>
        </w:rPr>
      </w:pPr>
      <w:r>
        <w:rPr>
          <w:rFonts w:hint="eastAsia" w:cs="宋体"/>
          <w:sz w:val="24"/>
        </w:rPr>
        <w:t>投标申请人须确保已提交的资料真实有效，不得隐瞒，如有虚假，一经发现取消其投标或中标资格。</w:t>
      </w:r>
    </w:p>
    <w:p w14:paraId="310A0FDA">
      <w:pPr>
        <w:spacing w:line="360" w:lineRule="auto"/>
        <w:ind w:firstLine="482" w:firstLineChars="200"/>
        <w:rPr>
          <w:rFonts w:hint="eastAsia" w:cs="宋体"/>
          <w:b/>
          <w:bCs/>
          <w:sz w:val="24"/>
        </w:rPr>
      </w:pPr>
      <w:r>
        <w:rPr>
          <w:rFonts w:hint="eastAsia" w:cs="宋体"/>
          <w:b/>
          <w:bCs/>
          <w:sz w:val="24"/>
        </w:rPr>
        <w:t>2.技术标评审（60分）</w:t>
      </w:r>
    </w:p>
    <w:p w14:paraId="50CF2438">
      <w:pPr>
        <w:spacing w:line="360" w:lineRule="auto"/>
        <w:ind w:firstLine="480" w:firstLineChars="200"/>
        <w:rPr>
          <w:rFonts w:hint="eastAsia" w:cs="宋体"/>
          <w:bCs/>
          <w:sz w:val="24"/>
        </w:rPr>
      </w:pPr>
      <w:r>
        <w:rPr>
          <w:rFonts w:hint="eastAsia" w:cs="宋体"/>
          <w:bCs/>
          <w:sz w:val="24"/>
        </w:rPr>
        <w:t>各投标人得分为评委会成员评分的算术平均分，分值保留小数点后两位。</w:t>
      </w:r>
    </w:p>
    <w:tbl>
      <w:tblPr>
        <w:tblStyle w:val="40"/>
        <w:tblW w:w="97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4"/>
        <w:gridCol w:w="1221"/>
        <w:gridCol w:w="6945"/>
        <w:gridCol w:w="834"/>
      </w:tblGrid>
      <w:tr w14:paraId="16ACC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tcBorders>
              <w:top w:val="single" w:color="auto" w:sz="4" w:space="0"/>
              <w:bottom w:val="single" w:color="auto" w:sz="4" w:space="0"/>
              <w:right w:val="single" w:color="auto" w:sz="4" w:space="0"/>
            </w:tcBorders>
            <w:noWrap/>
            <w:vAlign w:val="center"/>
          </w:tcPr>
          <w:p w14:paraId="267E2DBD">
            <w:pPr>
              <w:autoSpaceDE w:val="0"/>
              <w:autoSpaceDN w:val="0"/>
              <w:adjustRightInd w:val="0"/>
              <w:spacing w:line="360" w:lineRule="auto"/>
              <w:jc w:val="center"/>
              <w:rPr>
                <w:rFonts w:ascii="宋体" w:hAnsi="宋体" w:cs="宋体"/>
                <w:b/>
                <w:bCs/>
                <w:sz w:val="24"/>
              </w:rPr>
            </w:pPr>
            <w:r>
              <w:rPr>
                <w:rFonts w:hint="eastAsia" w:ascii="宋体" w:hAnsi="宋体" w:cs="宋体"/>
                <w:b/>
                <w:bCs/>
                <w:sz w:val="24"/>
              </w:rPr>
              <w:t>序号</w:t>
            </w:r>
          </w:p>
        </w:tc>
        <w:tc>
          <w:tcPr>
            <w:tcW w:w="1221" w:type="dxa"/>
            <w:tcBorders>
              <w:top w:val="single" w:color="auto" w:sz="4" w:space="0"/>
              <w:bottom w:val="single" w:color="auto" w:sz="4" w:space="0"/>
              <w:right w:val="single" w:color="auto" w:sz="4" w:space="0"/>
            </w:tcBorders>
            <w:noWrap/>
            <w:vAlign w:val="center"/>
          </w:tcPr>
          <w:p w14:paraId="7A2C395A">
            <w:pPr>
              <w:autoSpaceDE w:val="0"/>
              <w:autoSpaceDN w:val="0"/>
              <w:adjustRightInd w:val="0"/>
              <w:spacing w:line="360" w:lineRule="auto"/>
              <w:jc w:val="center"/>
              <w:rPr>
                <w:rFonts w:ascii="宋体" w:hAnsi="宋体" w:cs="宋体"/>
                <w:b/>
                <w:bCs/>
                <w:sz w:val="24"/>
              </w:rPr>
            </w:pPr>
            <w:r>
              <w:rPr>
                <w:rFonts w:hint="eastAsia" w:ascii="宋体" w:hAnsi="宋体" w:cs="宋体"/>
                <w:b/>
                <w:bCs/>
                <w:sz w:val="24"/>
                <w:lang w:val="zh-CN"/>
              </w:rPr>
              <w:t>评标项目</w:t>
            </w:r>
          </w:p>
        </w:tc>
        <w:tc>
          <w:tcPr>
            <w:tcW w:w="6945" w:type="dxa"/>
            <w:tcBorders>
              <w:top w:val="single" w:color="auto" w:sz="4" w:space="0"/>
              <w:left w:val="single" w:color="auto" w:sz="4" w:space="0"/>
              <w:bottom w:val="single" w:color="auto" w:sz="4" w:space="0"/>
              <w:right w:val="single" w:color="auto" w:sz="4" w:space="0"/>
            </w:tcBorders>
            <w:noWrap/>
            <w:vAlign w:val="center"/>
          </w:tcPr>
          <w:p w14:paraId="6BF7F1CE">
            <w:pPr>
              <w:autoSpaceDE w:val="0"/>
              <w:autoSpaceDN w:val="0"/>
              <w:adjustRightInd w:val="0"/>
              <w:spacing w:line="360" w:lineRule="auto"/>
              <w:jc w:val="center"/>
              <w:rPr>
                <w:rFonts w:ascii="宋体" w:hAnsi="宋体" w:cs="宋体"/>
                <w:b/>
                <w:bCs/>
                <w:sz w:val="24"/>
              </w:rPr>
            </w:pPr>
            <w:r>
              <w:rPr>
                <w:rFonts w:hint="eastAsia" w:ascii="宋体" w:hAnsi="宋体" w:cs="宋体"/>
                <w:b/>
                <w:bCs/>
                <w:sz w:val="24"/>
                <w:lang w:val="zh-CN"/>
              </w:rPr>
              <w:t>评分要求及得分要点</w:t>
            </w:r>
          </w:p>
        </w:tc>
        <w:tc>
          <w:tcPr>
            <w:tcW w:w="834" w:type="dxa"/>
            <w:tcBorders>
              <w:top w:val="single" w:color="auto" w:sz="4" w:space="0"/>
              <w:left w:val="single" w:color="auto" w:sz="4" w:space="0"/>
              <w:bottom w:val="single" w:color="auto" w:sz="4" w:space="0"/>
            </w:tcBorders>
            <w:noWrap/>
            <w:vAlign w:val="center"/>
          </w:tcPr>
          <w:p w14:paraId="487F7465">
            <w:pPr>
              <w:autoSpaceDE w:val="0"/>
              <w:autoSpaceDN w:val="0"/>
              <w:adjustRightInd w:val="0"/>
              <w:spacing w:line="360" w:lineRule="auto"/>
              <w:jc w:val="center"/>
              <w:rPr>
                <w:rFonts w:ascii="宋体" w:hAnsi="宋体" w:cs="宋体"/>
                <w:b/>
                <w:bCs/>
                <w:sz w:val="24"/>
              </w:rPr>
            </w:pPr>
            <w:r>
              <w:rPr>
                <w:rFonts w:hint="eastAsia" w:ascii="宋体" w:hAnsi="宋体" w:cs="宋体"/>
                <w:b/>
                <w:bCs/>
                <w:sz w:val="24"/>
              </w:rPr>
              <w:t>分值</w:t>
            </w:r>
          </w:p>
        </w:tc>
      </w:tr>
      <w:tr w14:paraId="41A73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64" w:type="dxa"/>
            <w:tcBorders>
              <w:top w:val="single" w:color="auto" w:sz="4" w:space="0"/>
              <w:right w:val="single" w:color="auto" w:sz="4" w:space="0"/>
            </w:tcBorders>
            <w:noWrap/>
            <w:vAlign w:val="center"/>
          </w:tcPr>
          <w:p w14:paraId="609F1304">
            <w:pPr>
              <w:autoSpaceDE w:val="0"/>
              <w:autoSpaceDN w:val="0"/>
              <w:adjustRightInd w:val="0"/>
              <w:spacing w:line="360" w:lineRule="auto"/>
              <w:jc w:val="center"/>
              <w:rPr>
                <w:rFonts w:hint="eastAsia" w:ascii="宋体" w:hAnsi="宋体" w:cs="宋体"/>
                <w:b/>
                <w:sz w:val="24"/>
              </w:rPr>
            </w:pPr>
            <w:r>
              <w:rPr>
                <w:rFonts w:hint="eastAsia" w:ascii="宋体" w:hAnsi="宋体" w:cs="宋体"/>
                <w:sz w:val="24"/>
              </w:rPr>
              <w:t>1</w:t>
            </w:r>
          </w:p>
        </w:tc>
        <w:tc>
          <w:tcPr>
            <w:tcW w:w="1221" w:type="dxa"/>
            <w:tcBorders>
              <w:top w:val="single" w:color="auto" w:sz="4" w:space="0"/>
              <w:left w:val="single" w:color="auto" w:sz="4" w:space="0"/>
              <w:bottom w:val="single" w:color="auto" w:sz="4" w:space="0"/>
              <w:right w:val="single" w:color="auto" w:sz="4" w:space="0"/>
            </w:tcBorders>
            <w:noWrap/>
            <w:vAlign w:val="center"/>
          </w:tcPr>
          <w:p w14:paraId="74E12894">
            <w:pPr>
              <w:widowControl/>
              <w:snapToGrid w:val="0"/>
              <w:spacing w:line="360" w:lineRule="auto"/>
              <w:jc w:val="center"/>
              <w:textAlignment w:val="center"/>
              <w:rPr>
                <w:rFonts w:hint="eastAsia" w:ascii="宋体" w:hAnsi="宋体" w:cs="宋体"/>
                <w:sz w:val="24"/>
                <w:lang w:val="en-GB"/>
              </w:rPr>
            </w:pPr>
            <w:r>
              <w:rPr>
                <w:rFonts w:hint="eastAsia" w:ascii="宋体" w:hAnsi="宋体" w:cs="宋体"/>
                <w:sz w:val="24"/>
                <w:lang w:val="en-GB"/>
              </w:rPr>
              <w:t>所投产品质量及技术要求</w:t>
            </w:r>
          </w:p>
        </w:tc>
        <w:tc>
          <w:tcPr>
            <w:tcW w:w="6945" w:type="dxa"/>
            <w:tcBorders>
              <w:top w:val="single" w:color="auto" w:sz="4" w:space="0"/>
              <w:left w:val="single" w:color="auto" w:sz="4" w:space="0"/>
              <w:bottom w:val="single" w:color="auto" w:sz="4" w:space="0"/>
              <w:right w:val="single" w:color="auto" w:sz="4" w:space="0"/>
            </w:tcBorders>
            <w:noWrap/>
            <w:vAlign w:val="center"/>
          </w:tcPr>
          <w:p w14:paraId="593CAE06">
            <w:pPr>
              <w:pStyle w:val="17"/>
              <w:tabs>
                <w:tab w:val="left" w:pos="5250"/>
              </w:tabs>
              <w:spacing w:line="360" w:lineRule="auto"/>
              <w:rPr>
                <w:rFonts w:hint="eastAsia" w:ascii="宋体" w:hAnsi="宋体" w:eastAsia="宋体" w:cs="宋体"/>
                <w:szCs w:val="24"/>
              </w:rPr>
            </w:pPr>
            <w:r>
              <w:rPr>
                <w:rFonts w:hint="eastAsia" w:ascii="宋体" w:hAnsi="宋体" w:eastAsia="宋体" w:cs="宋体"/>
                <w:szCs w:val="24"/>
              </w:rPr>
              <w:t>评委根据投标文件中所明确的产品技术参数要求进行打分。供应商所投产品完全满足招标文件要求的技术参数的，得基本分</w:t>
            </w:r>
            <w:r>
              <w:rPr>
                <w:rFonts w:hint="eastAsia" w:ascii="宋体" w:hAnsi="宋体" w:cs="宋体"/>
                <w:szCs w:val="24"/>
              </w:rPr>
              <w:t>30</w:t>
            </w:r>
            <w:r>
              <w:rPr>
                <w:rFonts w:hint="eastAsia" w:ascii="宋体" w:hAnsi="宋体" w:eastAsia="宋体" w:cs="宋体"/>
                <w:szCs w:val="24"/>
              </w:rPr>
              <w:t>分。</w:t>
            </w:r>
          </w:p>
          <w:p w14:paraId="4AF1D731">
            <w:pPr>
              <w:pStyle w:val="18"/>
              <w:spacing w:line="360" w:lineRule="auto"/>
              <w:rPr>
                <w:rFonts w:hint="eastAsia" w:hAnsi="宋体"/>
                <w:b/>
                <w:color w:val="auto"/>
              </w:rPr>
            </w:pPr>
            <w:r>
              <w:rPr>
                <w:rFonts w:hint="eastAsia" w:hAnsi="宋体"/>
                <w:b/>
                <w:color w:val="auto"/>
              </w:rPr>
              <w:t>1、项目需求中标记“★”的为实质性响应技术指标，投标响应文件中技术参数不接受负偏离，否则作无效投标文件处理。</w:t>
            </w:r>
          </w:p>
          <w:p w14:paraId="6EAA22ED">
            <w:pPr>
              <w:pStyle w:val="18"/>
              <w:spacing w:line="360" w:lineRule="auto"/>
              <w:rPr>
                <w:rFonts w:hint="eastAsia" w:hAnsi="宋体"/>
                <w:b/>
                <w:color w:val="auto"/>
              </w:rPr>
            </w:pPr>
            <w:r>
              <w:rPr>
                <w:rFonts w:hint="eastAsia" w:hAnsi="宋体"/>
                <w:b/>
                <w:color w:val="auto"/>
              </w:rPr>
              <w:t>2、标记“</w:t>
            </w:r>
            <w:r>
              <w:rPr>
                <w:rFonts w:hint="eastAsia" w:hAnsi="宋体"/>
              </w:rPr>
              <w:t>▲</w:t>
            </w:r>
            <w:r>
              <w:rPr>
                <w:rFonts w:hint="eastAsia" w:hAnsi="宋体"/>
                <w:b/>
                <w:color w:val="auto"/>
              </w:rPr>
              <w:t>”的内容，每有一项不符合招标文件要求（或负偏离）的扣4分，扣完为止。</w:t>
            </w:r>
          </w:p>
          <w:p w14:paraId="3D3B0895">
            <w:pPr>
              <w:pStyle w:val="18"/>
              <w:spacing w:line="360" w:lineRule="auto"/>
              <w:rPr>
                <w:rFonts w:hint="eastAsia" w:hAnsi="宋体"/>
                <w:b/>
                <w:color w:val="auto"/>
              </w:rPr>
            </w:pPr>
            <w:r>
              <w:rPr>
                <w:rFonts w:hint="eastAsia" w:hAnsi="宋体"/>
                <w:b/>
                <w:color w:val="auto"/>
              </w:rPr>
              <w:t>3、未标记“★”“</w:t>
            </w:r>
            <w:r>
              <w:rPr>
                <w:rFonts w:hint="eastAsia" w:hAnsi="宋体"/>
              </w:rPr>
              <w:t>▲</w:t>
            </w:r>
            <w:r>
              <w:rPr>
                <w:rFonts w:hint="eastAsia" w:hAnsi="宋体"/>
                <w:b/>
                <w:color w:val="auto"/>
              </w:rPr>
              <w:t>”的内容为其他技术参数。每有一项不符合招标文件要求（或负偏离）的扣2分，扣完为止。</w:t>
            </w:r>
          </w:p>
          <w:p w14:paraId="0775DA7C">
            <w:pPr>
              <w:pStyle w:val="18"/>
              <w:spacing w:line="360" w:lineRule="auto"/>
              <w:rPr>
                <w:rFonts w:hint="eastAsia" w:hAnsi="宋体"/>
                <w:b/>
                <w:bCs/>
                <w:color w:val="auto"/>
              </w:rPr>
            </w:pPr>
            <w:r>
              <w:rPr>
                <w:rFonts w:hint="eastAsia" w:hAnsi="宋体"/>
                <w:b/>
                <w:bCs/>
                <w:color w:val="auto"/>
              </w:rPr>
              <w:t>注：须按《第三章 项目需求》的要求，提供《技术部分正负偏离表》、</w:t>
            </w:r>
            <w:r>
              <w:rPr>
                <w:rFonts w:hint="eastAsia" w:hAnsi="宋体"/>
                <w:b/>
                <w:color w:val="auto"/>
              </w:rPr>
              <w:t>相关证明文件等</w:t>
            </w:r>
            <w:r>
              <w:rPr>
                <w:rFonts w:hint="eastAsia" w:hAnsi="宋体"/>
                <w:b/>
                <w:bCs/>
                <w:color w:val="auto"/>
              </w:rPr>
              <w:t>，不满足或者未提供相应证明材料的，均视为负偏离。</w:t>
            </w:r>
          </w:p>
        </w:tc>
        <w:tc>
          <w:tcPr>
            <w:tcW w:w="834" w:type="dxa"/>
            <w:tcBorders>
              <w:top w:val="single" w:color="auto" w:sz="4" w:space="0"/>
              <w:left w:val="single" w:color="auto" w:sz="4" w:space="0"/>
              <w:bottom w:val="single" w:color="auto" w:sz="4" w:space="0"/>
            </w:tcBorders>
            <w:noWrap/>
            <w:vAlign w:val="center"/>
          </w:tcPr>
          <w:p w14:paraId="58A2A28C">
            <w:pPr>
              <w:widowControl/>
              <w:snapToGrid w:val="0"/>
              <w:spacing w:line="360" w:lineRule="auto"/>
              <w:jc w:val="center"/>
              <w:textAlignment w:val="center"/>
              <w:rPr>
                <w:rFonts w:hint="eastAsia" w:ascii="宋体" w:hAnsi="宋体" w:cs="宋体"/>
                <w:sz w:val="24"/>
              </w:rPr>
            </w:pPr>
            <w:r>
              <w:rPr>
                <w:rFonts w:hint="eastAsia" w:ascii="宋体" w:hAnsi="宋体" w:cs="宋体"/>
                <w:sz w:val="24"/>
              </w:rPr>
              <w:t>30</w:t>
            </w:r>
          </w:p>
        </w:tc>
      </w:tr>
      <w:tr w14:paraId="0DB83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64" w:type="dxa"/>
            <w:tcBorders>
              <w:top w:val="single" w:color="auto" w:sz="4" w:space="0"/>
              <w:right w:val="single" w:color="auto" w:sz="4" w:space="0"/>
            </w:tcBorders>
            <w:noWrap/>
            <w:vAlign w:val="center"/>
          </w:tcPr>
          <w:p w14:paraId="3BDD13E3">
            <w:pPr>
              <w:widowControl/>
              <w:spacing w:line="360" w:lineRule="auto"/>
              <w:jc w:val="center"/>
              <w:rPr>
                <w:rFonts w:hint="eastAsia" w:ascii="宋体" w:hAnsi="宋体" w:cs="宋体"/>
                <w:bCs/>
                <w:sz w:val="24"/>
              </w:rPr>
            </w:pPr>
            <w:r>
              <w:rPr>
                <w:rFonts w:hint="eastAsia" w:ascii="宋体" w:hAnsi="宋体" w:cs="宋体"/>
                <w:bCs/>
                <w:sz w:val="24"/>
              </w:rPr>
              <w:t>2</w:t>
            </w:r>
          </w:p>
        </w:tc>
        <w:tc>
          <w:tcPr>
            <w:tcW w:w="1221" w:type="dxa"/>
            <w:tcBorders>
              <w:top w:val="single" w:color="auto" w:sz="4" w:space="0"/>
              <w:left w:val="single" w:color="auto" w:sz="4" w:space="0"/>
              <w:bottom w:val="single" w:color="auto" w:sz="4" w:space="0"/>
              <w:right w:val="single" w:color="auto" w:sz="4" w:space="0"/>
            </w:tcBorders>
            <w:noWrap/>
            <w:vAlign w:val="center"/>
          </w:tcPr>
          <w:p w14:paraId="5A401C96">
            <w:pPr>
              <w:widowControl/>
              <w:spacing w:line="360" w:lineRule="auto"/>
              <w:jc w:val="center"/>
              <w:rPr>
                <w:rFonts w:hint="eastAsia" w:ascii="宋体" w:hAnsi="宋体" w:cs="宋体"/>
                <w:bCs/>
                <w:sz w:val="24"/>
              </w:rPr>
            </w:pPr>
            <w:r>
              <w:rPr>
                <w:rFonts w:hint="eastAsia" w:ascii="宋体" w:hAnsi="宋体" w:cs="宋体"/>
                <w:bCs/>
                <w:sz w:val="24"/>
              </w:rPr>
              <w:t>质保期</w:t>
            </w:r>
          </w:p>
        </w:tc>
        <w:tc>
          <w:tcPr>
            <w:tcW w:w="6945" w:type="dxa"/>
            <w:tcBorders>
              <w:top w:val="single" w:color="auto" w:sz="4" w:space="0"/>
              <w:left w:val="single" w:color="auto" w:sz="4" w:space="0"/>
              <w:bottom w:val="single" w:color="auto" w:sz="4" w:space="0"/>
              <w:right w:val="single" w:color="auto" w:sz="4" w:space="0"/>
            </w:tcBorders>
            <w:noWrap/>
            <w:vAlign w:val="center"/>
          </w:tcPr>
          <w:p w14:paraId="4732EEA9">
            <w:pPr>
              <w:adjustRightInd w:val="0"/>
              <w:snapToGrid w:val="0"/>
              <w:spacing w:line="360" w:lineRule="auto"/>
              <w:rPr>
                <w:rFonts w:hint="eastAsia" w:ascii="宋体" w:hAnsi="宋体" w:cs="宋体"/>
                <w:bCs/>
                <w:sz w:val="24"/>
              </w:rPr>
            </w:pPr>
            <w:r>
              <w:rPr>
                <w:rFonts w:hint="eastAsia" w:ascii="宋体" w:hAnsi="宋体" w:cs="宋体"/>
                <w:bCs/>
                <w:sz w:val="24"/>
              </w:rPr>
              <w:t>供应商提供A1车型两年或20万公里（以先到为准）的免费质保；在此基础上，每增加1年免费质保，得2分，本项最高得4分。</w:t>
            </w:r>
          </w:p>
        </w:tc>
        <w:tc>
          <w:tcPr>
            <w:tcW w:w="834" w:type="dxa"/>
            <w:tcBorders>
              <w:top w:val="single" w:color="auto" w:sz="4" w:space="0"/>
              <w:left w:val="single" w:color="auto" w:sz="4" w:space="0"/>
              <w:bottom w:val="single" w:color="auto" w:sz="4" w:space="0"/>
            </w:tcBorders>
            <w:noWrap/>
            <w:vAlign w:val="center"/>
          </w:tcPr>
          <w:p w14:paraId="5100ED6C">
            <w:pPr>
              <w:widowControl/>
              <w:snapToGrid w:val="0"/>
              <w:spacing w:line="360" w:lineRule="auto"/>
              <w:jc w:val="center"/>
              <w:textAlignment w:val="center"/>
              <w:rPr>
                <w:rFonts w:hint="eastAsia" w:ascii="宋体" w:hAnsi="宋体" w:cs="宋体"/>
                <w:bCs/>
                <w:snapToGrid w:val="0"/>
                <w:sz w:val="24"/>
                <w:highlight w:val="yellow"/>
              </w:rPr>
            </w:pPr>
            <w:r>
              <w:rPr>
                <w:rFonts w:hint="eastAsia" w:ascii="宋体" w:hAnsi="宋体" w:cs="宋体"/>
                <w:bCs/>
                <w:sz w:val="24"/>
              </w:rPr>
              <w:t>4</w:t>
            </w:r>
          </w:p>
        </w:tc>
      </w:tr>
      <w:tr w14:paraId="3C856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64" w:type="dxa"/>
            <w:tcBorders>
              <w:top w:val="single" w:color="auto" w:sz="4" w:space="0"/>
              <w:right w:val="single" w:color="auto" w:sz="4" w:space="0"/>
            </w:tcBorders>
            <w:noWrap/>
            <w:vAlign w:val="center"/>
          </w:tcPr>
          <w:p w14:paraId="021D60C9">
            <w:pPr>
              <w:autoSpaceDE w:val="0"/>
              <w:autoSpaceDN w:val="0"/>
              <w:adjustRightInd w:val="0"/>
              <w:spacing w:line="360" w:lineRule="auto"/>
              <w:jc w:val="center"/>
              <w:rPr>
                <w:rFonts w:hint="eastAsia" w:ascii="宋体" w:hAnsi="宋体" w:cs="宋体"/>
                <w:snapToGrid w:val="0"/>
                <w:sz w:val="24"/>
              </w:rPr>
            </w:pPr>
            <w:r>
              <w:rPr>
                <w:rFonts w:hint="eastAsia" w:ascii="宋体" w:hAnsi="宋体" w:cs="宋体"/>
                <w:snapToGrid w:val="0"/>
                <w:sz w:val="24"/>
              </w:rPr>
              <w:t>3</w:t>
            </w:r>
          </w:p>
        </w:tc>
        <w:tc>
          <w:tcPr>
            <w:tcW w:w="1221" w:type="dxa"/>
            <w:tcBorders>
              <w:top w:val="single" w:color="auto" w:sz="4" w:space="0"/>
              <w:left w:val="single" w:color="auto" w:sz="4" w:space="0"/>
              <w:bottom w:val="single" w:color="auto" w:sz="4" w:space="0"/>
              <w:right w:val="single" w:color="auto" w:sz="4" w:space="0"/>
            </w:tcBorders>
            <w:noWrap/>
            <w:vAlign w:val="center"/>
          </w:tcPr>
          <w:p w14:paraId="056E7588">
            <w:pPr>
              <w:autoSpaceDE w:val="0"/>
              <w:autoSpaceDN w:val="0"/>
              <w:adjustRightInd w:val="0"/>
              <w:spacing w:line="360" w:lineRule="auto"/>
              <w:jc w:val="left"/>
              <w:rPr>
                <w:rFonts w:hint="eastAsia" w:ascii="宋体" w:hAnsi="宋体" w:cs="宋体"/>
                <w:bCs/>
                <w:snapToGrid w:val="0"/>
                <w:sz w:val="24"/>
                <w:lang w:val="en-GB"/>
              </w:rPr>
            </w:pPr>
            <w:r>
              <w:rPr>
                <w:rFonts w:hint="eastAsia" w:ascii="宋体" w:hAnsi="宋体" w:cs="宋体"/>
                <w:bCs/>
                <w:sz w:val="24"/>
              </w:rPr>
              <w:t xml:space="preserve">管理体系认证证书 </w:t>
            </w:r>
          </w:p>
        </w:tc>
        <w:tc>
          <w:tcPr>
            <w:tcW w:w="6945" w:type="dxa"/>
            <w:tcBorders>
              <w:top w:val="single" w:color="auto" w:sz="4" w:space="0"/>
              <w:left w:val="single" w:color="auto" w:sz="4" w:space="0"/>
              <w:bottom w:val="single" w:color="auto" w:sz="4" w:space="0"/>
              <w:right w:val="single" w:color="auto" w:sz="4" w:space="0"/>
            </w:tcBorders>
            <w:noWrap/>
          </w:tcPr>
          <w:p w14:paraId="28C7C65E">
            <w:pPr>
              <w:autoSpaceDE w:val="0"/>
              <w:autoSpaceDN w:val="0"/>
              <w:adjustRightInd w:val="0"/>
              <w:spacing w:line="360" w:lineRule="auto"/>
              <w:jc w:val="left"/>
              <w:rPr>
                <w:rFonts w:hint="eastAsia" w:ascii="宋体" w:hAnsi="宋体" w:cs="宋体"/>
                <w:bCs/>
                <w:sz w:val="24"/>
              </w:rPr>
            </w:pPr>
            <w:r>
              <w:rPr>
                <w:rFonts w:hint="eastAsia" w:ascii="宋体" w:hAnsi="宋体" w:cs="宋体"/>
                <w:bCs/>
                <w:sz w:val="24"/>
              </w:rPr>
              <w:t>供应商或制造商具有有效的：ISO9001质量管理体系认证、ISO45001职业健康安全管理体系认证、ISO50001能源管理体系认证的，每有一个得2分，本项最高得6分。</w:t>
            </w:r>
          </w:p>
          <w:p w14:paraId="1B7EF382">
            <w:pPr>
              <w:autoSpaceDE w:val="0"/>
              <w:autoSpaceDN w:val="0"/>
              <w:adjustRightInd w:val="0"/>
              <w:spacing w:line="360" w:lineRule="auto"/>
              <w:jc w:val="left"/>
              <w:rPr>
                <w:rFonts w:hint="eastAsia" w:ascii="宋体" w:hAnsi="宋体" w:cs="宋体"/>
                <w:bCs/>
                <w:snapToGrid w:val="0"/>
                <w:sz w:val="24"/>
              </w:rPr>
            </w:pPr>
            <w:r>
              <w:rPr>
                <w:rFonts w:hint="eastAsia" w:ascii="宋体" w:hAnsi="宋体" w:cs="宋体"/>
                <w:bCs/>
                <w:sz w:val="24"/>
              </w:rPr>
              <w:t xml:space="preserve">注：须同时提供①有效期内的认证证书复印件或扫描件，②国家市场监督管理总局全国认证认可信息公共服务平台（http://cx.cnca.cn/CertECloud/index/index/page）证书查询截图，并加盖供应商公章。 </w:t>
            </w:r>
          </w:p>
        </w:tc>
        <w:tc>
          <w:tcPr>
            <w:tcW w:w="834" w:type="dxa"/>
            <w:tcBorders>
              <w:top w:val="single" w:color="auto" w:sz="4" w:space="0"/>
              <w:left w:val="single" w:color="auto" w:sz="4" w:space="0"/>
              <w:bottom w:val="single" w:color="auto" w:sz="4" w:space="0"/>
            </w:tcBorders>
            <w:noWrap/>
            <w:vAlign w:val="center"/>
          </w:tcPr>
          <w:p w14:paraId="5DEDC333">
            <w:pPr>
              <w:widowControl/>
              <w:snapToGrid w:val="0"/>
              <w:spacing w:line="360" w:lineRule="auto"/>
              <w:jc w:val="center"/>
              <w:textAlignment w:val="center"/>
              <w:rPr>
                <w:rFonts w:hint="eastAsia" w:ascii="宋体" w:hAnsi="宋体" w:cs="宋体"/>
                <w:bCs/>
                <w:snapToGrid w:val="0"/>
                <w:sz w:val="24"/>
              </w:rPr>
            </w:pPr>
            <w:r>
              <w:rPr>
                <w:rFonts w:hint="eastAsia" w:ascii="宋体" w:hAnsi="宋体" w:cs="宋体"/>
                <w:bCs/>
                <w:sz w:val="24"/>
              </w:rPr>
              <w:t>6</w:t>
            </w:r>
          </w:p>
        </w:tc>
      </w:tr>
      <w:tr w14:paraId="1EAA0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4" w:type="dxa"/>
            <w:tcBorders>
              <w:top w:val="single" w:color="auto" w:sz="4" w:space="0"/>
              <w:bottom w:val="single" w:color="auto" w:sz="4" w:space="0"/>
              <w:right w:val="single" w:color="auto" w:sz="4" w:space="0"/>
            </w:tcBorders>
            <w:noWrap/>
            <w:vAlign w:val="center"/>
          </w:tcPr>
          <w:p w14:paraId="29F38C55">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4</w:t>
            </w:r>
          </w:p>
        </w:tc>
        <w:tc>
          <w:tcPr>
            <w:tcW w:w="1221" w:type="dxa"/>
            <w:tcBorders>
              <w:top w:val="single" w:color="auto" w:sz="4" w:space="0"/>
              <w:left w:val="single" w:color="auto" w:sz="4" w:space="0"/>
              <w:bottom w:val="single" w:color="auto" w:sz="4" w:space="0"/>
              <w:right w:val="single" w:color="auto" w:sz="4" w:space="0"/>
            </w:tcBorders>
            <w:noWrap/>
            <w:vAlign w:val="center"/>
          </w:tcPr>
          <w:p w14:paraId="053A628B">
            <w:pPr>
              <w:widowControl/>
              <w:snapToGrid w:val="0"/>
              <w:spacing w:line="360" w:lineRule="auto"/>
              <w:jc w:val="center"/>
              <w:textAlignment w:val="center"/>
              <w:rPr>
                <w:rFonts w:hint="eastAsia" w:ascii="宋体" w:hAnsi="宋体" w:cs="宋体"/>
                <w:sz w:val="24"/>
                <w:lang w:val="en-GB"/>
              </w:rPr>
            </w:pPr>
            <w:r>
              <w:rPr>
                <w:rFonts w:hint="eastAsia" w:ascii="宋体" w:hAnsi="宋体" w:cs="宋体"/>
                <w:sz w:val="24"/>
              </w:rPr>
              <w:t>售后服务方案</w:t>
            </w:r>
          </w:p>
        </w:tc>
        <w:tc>
          <w:tcPr>
            <w:tcW w:w="6945" w:type="dxa"/>
            <w:tcBorders>
              <w:top w:val="single" w:color="auto" w:sz="4" w:space="0"/>
              <w:left w:val="single" w:color="auto" w:sz="4" w:space="0"/>
              <w:bottom w:val="single" w:color="auto" w:sz="4" w:space="0"/>
              <w:right w:val="single" w:color="auto" w:sz="4" w:space="0"/>
            </w:tcBorders>
            <w:noWrap/>
            <w:vAlign w:val="center"/>
          </w:tcPr>
          <w:p w14:paraId="6C292172">
            <w:pPr>
              <w:widowControl/>
              <w:adjustRightInd w:val="0"/>
              <w:snapToGrid w:val="0"/>
              <w:spacing w:line="360" w:lineRule="auto"/>
              <w:textAlignment w:val="center"/>
              <w:rPr>
                <w:rFonts w:hint="eastAsia" w:ascii="宋体" w:hAnsi="宋体" w:cs="宋体"/>
                <w:bCs/>
                <w:sz w:val="24"/>
              </w:rPr>
            </w:pPr>
            <w:r>
              <w:rPr>
                <w:rFonts w:hint="eastAsia" w:ascii="宋体" w:hAnsi="宋体" w:cs="宋体"/>
                <w:sz w:val="24"/>
              </w:rPr>
              <w:t>供应商</w:t>
            </w:r>
            <w:r>
              <w:rPr>
                <w:rFonts w:hint="eastAsia" w:ascii="宋体" w:hAnsi="宋体" w:cs="宋体"/>
                <w:bCs/>
                <w:sz w:val="24"/>
              </w:rPr>
              <w:t>提供售后服务书面方案，须包括但不限于以下内容：服务内容、服务流程制度、服务人员安排、服务相应时间等。</w:t>
            </w:r>
          </w:p>
          <w:p w14:paraId="7B8D0A0F">
            <w:pPr>
              <w:widowControl/>
              <w:adjustRightInd w:val="0"/>
              <w:snapToGrid w:val="0"/>
              <w:spacing w:line="360" w:lineRule="auto"/>
              <w:textAlignment w:val="center"/>
              <w:rPr>
                <w:rFonts w:hint="eastAsia" w:ascii="宋体" w:hAnsi="宋体" w:cs="宋体"/>
                <w:b/>
                <w:bCs/>
                <w:sz w:val="24"/>
              </w:rPr>
            </w:pPr>
            <w:r>
              <w:rPr>
                <w:rFonts w:hint="eastAsia" w:ascii="宋体" w:hAnsi="宋体" w:cs="宋体"/>
                <w:bCs/>
                <w:sz w:val="24"/>
              </w:rPr>
              <w:t>售后服务方案全面丰富、合理可行性强、响应及时迅速，售后服务措施高效可行，维护人员稳定充足，得8分；售后服务方案较全面丰富、合理可行性较强、响应较及时迅速，售后服务措施较高效可行，维护人员较稳定充足，得6分；售后服务方案合理性一般，售后服务措施可行性一般，维护人员配置一般，得4分。</w:t>
            </w:r>
            <w:r>
              <w:rPr>
                <w:rFonts w:hint="eastAsia" w:ascii="宋体" w:hAnsi="宋体" w:cs="宋体"/>
                <w:sz w:val="24"/>
              </w:rPr>
              <w:t>售后服务方案整体较差得2分。无此项不得分。</w:t>
            </w:r>
          </w:p>
        </w:tc>
        <w:tc>
          <w:tcPr>
            <w:tcW w:w="834" w:type="dxa"/>
            <w:tcBorders>
              <w:top w:val="single" w:color="auto" w:sz="4" w:space="0"/>
              <w:left w:val="single" w:color="auto" w:sz="4" w:space="0"/>
              <w:bottom w:val="single" w:color="auto" w:sz="4" w:space="0"/>
            </w:tcBorders>
            <w:noWrap/>
            <w:vAlign w:val="center"/>
          </w:tcPr>
          <w:p w14:paraId="71EE4538">
            <w:pPr>
              <w:widowControl/>
              <w:snapToGrid w:val="0"/>
              <w:spacing w:line="360" w:lineRule="auto"/>
              <w:jc w:val="center"/>
              <w:textAlignment w:val="center"/>
              <w:rPr>
                <w:rFonts w:hint="eastAsia" w:ascii="宋体" w:hAnsi="宋体" w:cs="宋体"/>
                <w:sz w:val="24"/>
              </w:rPr>
            </w:pPr>
            <w:r>
              <w:rPr>
                <w:rFonts w:hint="eastAsia" w:ascii="宋体" w:hAnsi="宋体" w:cs="宋体"/>
                <w:sz w:val="24"/>
              </w:rPr>
              <w:t>8</w:t>
            </w:r>
          </w:p>
        </w:tc>
      </w:tr>
      <w:tr w14:paraId="65D79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3" w:hRule="atLeast"/>
          <w:jc w:val="center"/>
        </w:trPr>
        <w:tc>
          <w:tcPr>
            <w:tcW w:w="764" w:type="dxa"/>
            <w:tcBorders>
              <w:top w:val="single" w:color="auto" w:sz="4" w:space="0"/>
              <w:bottom w:val="single" w:color="auto" w:sz="4" w:space="0"/>
              <w:right w:val="single" w:color="auto" w:sz="4" w:space="0"/>
            </w:tcBorders>
            <w:noWrap/>
            <w:vAlign w:val="center"/>
          </w:tcPr>
          <w:p w14:paraId="1D4848CD">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5</w:t>
            </w:r>
          </w:p>
        </w:tc>
        <w:tc>
          <w:tcPr>
            <w:tcW w:w="1221" w:type="dxa"/>
            <w:tcBorders>
              <w:top w:val="single" w:color="auto" w:sz="4" w:space="0"/>
              <w:left w:val="single" w:color="auto" w:sz="4" w:space="0"/>
              <w:bottom w:val="single" w:color="auto" w:sz="4" w:space="0"/>
              <w:right w:val="single" w:color="auto" w:sz="4" w:space="0"/>
            </w:tcBorders>
            <w:noWrap/>
            <w:vAlign w:val="center"/>
          </w:tcPr>
          <w:p w14:paraId="6E4FA849">
            <w:pPr>
              <w:widowControl/>
              <w:snapToGrid w:val="0"/>
              <w:spacing w:line="360" w:lineRule="auto"/>
              <w:jc w:val="center"/>
              <w:textAlignment w:val="center"/>
              <w:rPr>
                <w:rFonts w:hint="eastAsia" w:ascii="宋体" w:hAnsi="宋体" w:cs="宋体"/>
                <w:bCs/>
                <w:sz w:val="24"/>
              </w:rPr>
            </w:pPr>
            <w:r>
              <w:rPr>
                <w:rFonts w:hint="eastAsia" w:ascii="宋体" w:hAnsi="宋体" w:cs="宋体"/>
                <w:bCs/>
                <w:sz w:val="24"/>
              </w:rPr>
              <w:t>质量保障措施</w:t>
            </w:r>
          </w:p>
        </w:tc>
        <w:tc>
          <w:tcPr>
            <w:tcW w:w="6945" w:type="dxa"/>
            <w:tcBorders>
              <w:top w:val="single" w:color="auto" w:sz="4" w:space="0"/>
              <w:left w:val="single" w:color="auto" w:sz="4" w:space="0"/>
              <w:bottom w:val="single" w:color="auto" w:sz="4" w:space="0"/>
              <w:right w:val="single" w:color="auto" w:sz="4" w:space="0"/>
            </w:tcBorders>
            <w:noWrap/>
            <w:vAlign w:val="center"/>
          </w:tcPr>
          <w:p w14:paraId="13B91FE8">
            <w:pPr>
              <w:spacing w:line="360" w:lineRule="auto"/>
              <w:rPr>
                <w:rFonts w:hint="eastAsia" w:ascii="宋体" w:hAnsi="宋体" w:cs="宋体"/>
                <w:bCs/>
                <w:sz w:val="24"/>
              </w:rPr>
            </w:pPr>
            <w:r>
              <w:rPr>
                <w:rFonts w:hint="eastAsia" w:ascii="宋体" w:hAnsi="宋体" w:cs="宋体"/>
                <w:bCs/>
                <w:sz w:val="24"/>
              </w:rPr>
              <w:t>根据供应商针对本项目提供有针对性的质量保障措施，包括但不限于：①产品的安全生产流程、②技术保证、③产品质量验收保证措施等内容。</w:t>
            </w:r>
          </w:p>
          <w:p w14:paraId="4B88100B">
            <w:pPr>
              <w:spacing w:line="360" w:lineRule="auto"/>
              <w:rPr>
                <w:rFonts w:hint="eastAsia" w:ascii="宋体" w:hAnsi="宋体" w:cs="宋体"/>
                <w:bCs/>
                <w:sz w:val="24"/>
              </w:rPr>
            </w:pPr>
            <w:r>
              <w:rPr>
                <w:rFonts w:hint="eastAsia" w:ascii="宋体" w:hAnsi="宋体" w:cs="宋体"/>
                <w:bCs/>
                <w:sz w:val="24"/>
              </w:rPr>
              <w:t>根据以上方案完善性、可行性、针对性及对本项目的有效保障性进行评价：质量保证措施完善、可行性强、针对性强、符合本项目采购要求的，得6分；质量保证措施较完善、可行性较强、针对性较强、基本本项目采购要求的，得4分；质量保证措施完善性、可行性、针对性一般，基本本项目采购要求的，得2分。</w:t>
            </w:r>
            <w:r>
              <w:rPr>
                <w:rFonts w:hint="eastAsia" w:ascii="宋体" w:hAnsi="宋体" w:cs="宋体"/>
                <w:sz w:val="24"/>
              </w:rPr>
              <w:t>无此项不得分。</w:t>
            </w:r>
          </w:p>
        </w:tc>
        <w:tc>
          <w:tcPr>
            <w:tcW w:w="834" w:type="dxa"/>
            <w:tcBorders>
              <w:top w:val="single" w:color="auto" w:sz="4" w:space="0"/>
              <w:left w:val="single" w:color="auto" w:sz="4" w:space="0"/>
              <w:bottom w:val="single" w:color="auto" w:sz="4" w:space="0"/>
            </w:tcBorders>
            <w:noWrap/>
            <w:vAlign w:val="center"/>
          </w:tcPr>
          <w:p w14:paraId="64EF7663">
            <w:pPr>
              <w:widowControl/>
              <w:snapToGrid w:val="0"/>
              <w:spacing w:line="360" w:lineRule="auto"/>
              <w:jc w:val="center"/>
              <w:textAlignment w:val="center"/>
              <w:rPr>
                <w:rFonts w:hint="eastAsia" w:ascii="宋体" w:hAnsi="宋体" w:cs="宋体"/>
                <w:bCs/>
                <w:sz w:val="24"/>
              </w:rPr>
            </w:pPr>
            <w:r>
              <w:rPr>
                <w:rFonts w:hint="eastAsia" w:ascii="宋体" w:hAnsi="宋体" w:cs="宋体"/>
                <w:bCs/>
                <w:sz w:val="24"/>
              </w:rPr>
              <w:t>6</w:t>
            </w:r>
          </w:p>
        </w:tc>
      </w:tr>
      <w:tr w14:paraId="2FBB6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764" w:type="dxa"/>
            <w:tcBorders>
              <w:top w:val="single" w:color="auto" w:sz="4" w:space="0"/>
              <w:bottom w:val="single" w:color="auto" w:sz="4" w:space="0"/>
              <w:right w:val="single" w:color="auto" w:sz="4" w:space="0"/>
            </w:tcBorders>
            <w:noWrap/>
            <w:vAlign w:val="center"/>
          </w:tcPr>
          <w:p w14:paraId="331ACEF8">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6</w:t>
            </w:r>
          </w:p>
        </w:tc>
        <w:tc>
          <w:tcPr>
            <w:tcW w:w="1221" w:type="dxa"/>
            <w:tcBorders>
              <w:top w:val="single" w:color="auto" w:sz="4" w:space="0"/>
              <w:left w:val="single" w:color="auto" w:sz="4" w:space="0"/>
              <w:bottom w:val="single" w:color="auto" w:sz="4" w:space="0"/>
              <w:right w:val="single" w:color="auto" w:sz="4" w:space="0"/>
            </w:tcBorders>
            <w:noWrap/>
            <w:vAlign w:val="center"/>
          </w:tcPr>
          <w:p w14:paraId="24F246A7">
            <w:pPr>
              <w:widowControl/>
              <w:snapToGrid w:val="0"/>
              <w:spacing w:line="360" w:lineRule="auto"/>
              <w:jc w:val="center"/>
              <w:textAlignment w:val="center"/>
              <w:rPr>
                <w:rFonts w:hint="eastAsia" w:ascii="宋体" w:hAnsi="宋体" w:cs="宋体"/>
                <w:bCs/>
                <w:sz w:val="24"/>
              </w:rPr>
            </w:pPr>
            <w:r>
              <w:rPr>
                <w:rFonts w:hint="eastAsia" w:ascii="宋体" w:hAnsi="宋体" w:cs="宋体"/>
                <w:bCs/>
                <w:sz w:val="24"/>
              </w:rPr>
              <w:t>实施方案</w:t>
            </w:r>
          </w:p>
        </w:tc>
        <w:tc>
          <w:tcPr>
            <w:tcW w:w="6945" w:type="dxa"/>
            <w:tcBorders>
              <w:top w:val="single" w:color="auto" w:sz="4" w:space="0"/>
              <w:left w:val="single" w:color="auto" w:sz="4" w:space="0"/>
              <w:bottom w:val="single" w:color="auto" w:sz="4" w:space="0"/>
              <w:right w:val="single" w:color="auto" w:sz="4" w:space="0"/>
            </w:tcBorders>
            <w:noWrap/>
            <w:vAlign w:val="center"/>
          </w:tcPr>
          <w:p w14:paraId="14C68377">
            <w:pPr>
              <w:autoSpaceDE w:val="0"/>
              <w:autoSpaceDN w:val="0"/>
              <w:adjustRightInd w:val="0"/>
              <w:spacing w:line="360" w:lineRule="auto"/>
              <w:jc w:val="left"/>
              <w:rPr>
                <w:rFonts w:hint="eastAsia" w:ascii="宋体" w:hAnsi="宋体" w:cs="宋体"/>
                <w:bCs/>
                <w:sz w:val="24"/>
              </w:rPr>
            </w:pPr>
            <w:r>
              <w:rPr>
                <w:rFonts w:hint="eastAsia" w:ascii="宋体" w:hAnsi="宋体" w:cs="宋体"/>
                <w:bCs/>
                <w:sz w:val="24"/>
              </w:rPr>
              <w:t xml:space="preserve">根据供应商或制造商针对本项目制定的综合实施方案进行评审，包括但不限于:项目建设需求分析、项目重难点解析及应对措施、备货及运输供货进度保障措施、安装调试方案、与采购人衔接节点安排、项目实施过程中的安全管理方案。 </w:t>
            </w:r>
          </w:p>
          <w:p w14:paraId="3ACCF68F">
            <w:pPr>
              <w:snapToGrid w:val="0"/>
              <w:spacing w:line="360" w:lineRule="auto"/>
              <w:rPr>
                <w:rFonts w:hint="eastAsia" w:ascii="宋体" w:hAnsi="宋体" w:cs="宋体"/>
                <w:bCs/>
                <w:sz w:val="24"/>
              </w:rPr>
            </w:pPr>
            <w:r>
              <w:rPr>
                <w:rFonts w:hint="eastAsia" w:ascii="宋体" w:hAnsi="宋体" w:cs="宋体"/>
                <w:bCs/>
                <w:sz w:val="24"/>
              </w:rPr>
              <w:t>根据以上方案完善性、可行性、针对性及对本项目的有效保障性进行评价：实施方案完善、可行性强、针对性强，切实符合采购的需求的，得6分；质量保证措施较完善、可行性较强、针对性较强、基本符合采购的需求的，得4分；质量保证措施完善性、可行性、针对性一般，基本符合采购的需求的，得2分。</w:t>
            </w:r>
            <w:r>
              <w:rPr>
                <w:rFonts w:hint="eastAsia" w:ascii="宋体" w:hAnsi="宋体" w:cs="宋体"/>
                <w:sz w:val="24"/>
              </w:rPr>
              <w:t>无此项不得分。</w:t>
            </w:r>
          </w:p>
        </w:tc>
        <w:tc>
          <w:tcPr>
            <w:tcW w:w="834" w:type="dxa"/>
            <w:tcBorders>
              <w:top w:val="single" w:color="auto" w:sz="4" w:space="0"/>
              <w:left w:val="single" w:color="auto" w:sz="4" w:space="0"/>
              <w:bottom w:val="single" w:color="auto" w:sz="4" w:space="0"/>
            </w:tcBorders>
            <w:noWrap/>
            <w:vAlign w:val="center"/>
          </w:tcPr>
          <w:p w14:paraId="6FC53885">
            <w:pPr>
              <w:widowControl/>
              <w:snapToGrid w:val="0"/>
              <w:spacing w:line="360" w:lineRule="auto"/>
              <w:jc w:val="center"/>
              <w:textAlignment w:val="center"/>
              <w:rPr>
                <w:rFonts w:hint="eastAsia" w:ascii="宋体" w:hAnsi="宋体" w:cs="宋体"/>
                <w:bCs/>
                <w:sz w:val="24"/>
              </w:rPr>
            </w:pPr>
            <w:r>
              <w:rPr>
                <w:rFonts w:hint="eastAsia" w:ascii="宋体" w:hAnsi="宋体" w:cs="宋体"/>
                <w:bCs/>
                <w:sz w:val="24"/>
              </w:rPr>
              <w:t>6</w:t>
            </w:r>
          </w:p>
        </w:tc>
      </w:tr>
    </w:tbl>
    <w:p w14:paraId="34898F10">
      <w:pPr>
        <w:adjustRightInd w:val="0"/>
        <w:snapToGrid w:val="0"/>
        <w:spacing w:line="360" w:lineRule="auto"/>
        <w:rPr>
          <w:rFonts w:hint="eastAsia" w:cs="宋体"/>
          <w:b/>
          <w:bCs/>
          <w:sz w:val="24"/>
          <w:lang w:val="zh-CN"/>
        </w:rPr>
      </w:pPr>
      <w:r>
        <w:rPr>
          <w:rFonts w:hint="eastAsia" w:cs="宋体"/>
          <w:b/>
          <w:bCs/>
          <w:sz w:val="24"/>
          <w:lang w:val="zh-CN"/>
        </w:rPr>
        <w:t>注：</w:t>
      </w:r>
    </w:p>
    <w:p w14:paraId="1B10DD96">
      <w:pPr>
        <w:adjustRightInd w:val="0"/>
        <w:snapToGrid w:val="0"/>
        <w:spacing w:line="360" w:lineRule="auto"/>
        <w:ind w:firstLine="482" w:firstLineChars="200"/>
        <w:rPr>
          <w:rFonts w:hint="eastAsia" w:cs="宋体"/>
          <w:b/>
          <w:bCs/>
          <w:sz w:val="24"/>
          <w:lang w:val="zh-CN"/>
        </w:rPr>
      </w:pPr>
      <w:r>
        <w:rPr>
          <w:rFonts w:hint="eastAsia" w:cs="宋体"/>
          <w:b/>
          <w:bCs/>
          <w:sz w:val="24"/>
          <w:lang w:val="zh-CN"/>
        </w:rPr>
        <w:t>如有为成交而恶意提供虚假材料应标的行为，将根据招标规定追究法律责任。</w:t>
      </w:r>
    </w:p>
    <w:p w14:paraId="243A830A">
      <w:pPr>
        <w:adjustRightInd w:val="0"/>
        <w:snapToGrid w:val="0"/>
        <w:spacing w:line="360" w:lineRule="auto"/>
        <w:ind w:firstLine="482" w:firstLineChars="200"/>
        <w:rPr>
          <w:rFonts w:hint="eastAsia" w:cs="宋体"/>
          <w:b/>
          <w:bCs/>
          <w:sz w:val="24"/>
          <w:lang w:val="zh-CN"/>
        </w:rPr>
      </w:pPr>
      <w:r>
        <w:rPr>
          <w:rFonts w:hint="eastAsia" w:cs="宋体"/>
          <w:b/>
          <w:bCs/>
          <w:sz w:val="24"/>
          <w:lang w:val="zh-CN"/>
        </w:rPr>
        <w:t>请供应商根据评分标准制作评分索引并放在评审内容的前面，评分索引中应标明每个评分点的页码范围，如投标文件内容顺序混乱，导致评委无法查看，后果自负。</w:t>
      </w:r>
    </w:p>
    <w:p w14:paraId="46E6DD05">
      <w:pPr>
        <w:adjustRightInd w:val="0"/>
        <w:snapToGrid w:val="0"/>
        <w:spacing w:line="360" w:lineRule="auto"/>
        <w:ind w:firstLine="482" w:firstLineChars="200"/>
        <w:rPr>
          <w:rFonts w:hint="eastAsia" w:cs="宋体"/>
          <w:b/>
          <w:bCs/>
          <w:sz w:val="24"/>
          <w:lang w:val="zh-CN"/>
        </w:rPr>
      </w:pPr>
      <w:r>
        <w:rPr>
          <w:rFonts w:hint="eastAsia" w:cs="宋体"/>
          <w:b/>
          <w:bCs/>
          <w:sz w:val="24"/>
          <w:lang w:val="zh-CN"/>
        </w:rPr>
        <w:t>请供应商制作投标文件时保证图片、文字材料的完整、清晰可辨，任何原因导致评委看不清楚或无法查看，后果由供应商自负。</w:t>
      </w:r>
    </w:p>
    <w:p w14:paraId="24D8FC52">
      <w:pPr>
        <w:adjustRightInd w:val="0"/>
        <w:snapToGrid w:val="0"/>
        <w:spacing w:line="360" w:lineRule="auto"/>
        <w:ind w:firstLine="482" w:firstLineChars="200"/>
        <w:rPr>
          <w:rFonts w:hint="eastAsia" w:cs="宋体"/>
          <w:b/>
          <w:bCs/>
          <w:sz w:val="24"/>
          <w:lang w:val="zh-CN"/>
        </w:rPr>
      </w:pPr>
      <w:r>
        <w:rPr>
          <w:rFonts w:hint="eastAsia" w:cs="宋体"/>
          <w:b/>
          <w:bCs/>
          <w:sz w:val="24"/>
          <w:lang w:val="zh-CN"/>
        </w:rPr>
        <w:t>业绩应提供中文文本，如是外文文本，请翻译成中文文本并须公证处公证，否则该项业绩在评标时不予认可。</w:t>
      </w:r>
    </w:p>
    <w:p w14:paraId="15FE7213">
      <w:pPr>
        <w:adjustRightInd w:val="0"/>
        <w:snapToGrid w:val="0"/>
        <w:spacing w:line="360" w:lineRule="auto"/>
        <w:ind w:firstLine="482" w:firstLineChars="200"/>
        <w:rPr>
          <w:rFonts w:hint="eastAsia" w:cs="宋体"/>
          <w:b/>
          <w:bCs/>
          <w:sz w:val="24"/>
          <w:lang w:val="zh-CN"/>
        </w:rPr>
      </w:pPr>
      <w:r>
        <w:rPr>
          <w:rFonts w:hint="eastAsia" w:cs="宋体"/>
          <w:b/>
          <w:bCs/>
          <w:sz w:val="24"/>
          <w:lang w:val="zh-CN"/>
        </w:rPr>
        <w:t>评委依据招标文件载明的方法评分，评分四舍五入精确到小数点后两位。</w:t>
      </w:r>
    </w:p>
    <w:p w14:paraId="2CF3342D">
      <w:pPr>
        <w:spacing w:line="360" w:lineRule="auto"/>
        <w:ind w:firstLine="482" w:firstLineChars="200"/>
        <w:rPr>
          <w:rFonts w:hint="eastAsia" w:cs="宋体"/>
          <w:b/>
          <w:sz w:val="24"/>
        </w:rPr>
      </w:pPr>
      <w:r>
        <w:rPr>
          <w:rFonts w:hint="eastAsia" w:cs="宋体"/>
          <w:b/>
          <w:sz w:val="24"/>
        </w:rPr>
        <w:t>3.商务标评审（40分）</w:t>
      </w:r>
    </w:p>
    <w:p w14:paraId="2BD6595E">
      <w:pPr>
        <w:adjustRightInd w:val="0"/>
        <w:snapToGrid w:val="0"/>
        <w:spacing w:line="360" w:lineRule="auto"/>
        <w:ind w:firstLine="480" w:firstLineChars="200"/>
        <w:rPr>
          <w:rFonts w:hint="eastAsia" w:cs="宋体"/>
          <w:sz w:val="24"/>
        </w:rPr>
      </w:pPr>
      <w:r>
        <w:rPr>
          <w:rFonts w:hint="eastAsia" w:cs="宋体"/>
          <w:bCs/>
          <w:sz w:val="24"/>
        </w:rPr>
        <w:t>（1）</w:t>
      </w:r>
      <w:r>
        <w:rPr>
          <w:rFonts w:hint="eastAsia" w:cs="宋体"/>
          <w:b/>
          <w:sz w:val="24"/>
        </w:rPr>
        <w:t>本次项目最高单价限价：标段一44万元/辆，超过最高单价限价作无效标处理</w:t>
      </w:r>
      <w:r>
        <w:rPr>
          <w:rFonts w:hint="eastAsia" w:cs="宋体"/>
          <w:bCs/>
          <w:sz w:val="24"/>
        </w:rPr>
        <w:t>。</w:t>
      </w:r>
    </w:p>
    <w:p w14:paraId="45B93671">
      <w:pPr>
        <w:adjustRightInd w:val="0"/>
        <w:snapToGrid w:val="0"/>
        <w:spacing w:line="360" w:lineRule="auto"/>
        <w:ind w:firstLine="480" w:firstLineChars="200"/>
        <w:rPr>
          <w:rFonts w:hint="eastAsia" w:cs="宋体"/>
          <w:sz w:val="24"/>
        </w:rPr>
      </w:pPr>
      <w:r>
        <w:rPr>
          <w:rFonts w:hint="eastAsia" w:cs="宋体"/>
          <w:bCs/>
          <w:sz w:val="24"/>
        </w:rPr>
        <w:t>（2）</w:t>
      </w:r>
      <w:r>
        <w:rPr>
          <w:rFonts w:hint="eastAsia" w:cs="宋体"/>
          <w:sz w:val="24"/>
        </w:rPr>
        <w:t>价格分统一采用低价优先法计算，即满足招标文件要求（不超过项目预算）且投标</w:t>
      </w:r>
      <w:r>
        <w:rPr>
          <w:rFonts w:hint="eastAsia" w:cs="宋体"/>
          <w:b/>
          <w:bCs/>
          <w:sz w:val="24"/>
        </w:rPr>
        <w:t>报价</w:t>
      </w:r>
      <w:r>
        <w:rPr>
          <w:rFonts w:hint="eastAsia" w:cs="宋体"/>
          <w:sz w:val="24"/>
        </w:rPr>
        <w:t>最低的供应商的价格为评标基准价，其价格分为满分。其他投标人的价格统一按照下列公式计算：</w:t>
      </w:r>
    </w:p>
    <w:p w14:paraId="5CCA9208">
      <w:pPr>
        <w:adjustRightInd w:val="0"/>
        <w:snapToGrid w:val="0"/>
        <w:spacing w:line="360" w:lineRule="auto"/>
        <w:ind w:firstLine="480" w:firstLineChars="200"/>
        <w:rPr>
          <w:rFonts w:cs="宋体"/>
          <w:sz w:val="24"/>
        </w:rPr>
      </w:pPr>
      <w:r>
        <w:rPr>
          <w:rFonts w:hint="eastAsia" w:cs="宋体"/>
          <w:sz w:val="24"/>
        </w:rPr>
        <w:t>投标报价得分=（评标基准价/投标报价）×40</w:t>
      </w:r>
    </w:p>
    <w:p w14:paraId="61BF580B">
      <w:pPr>
        <w:spacing w:line="360" w:lineRule="auto"/>
        <w:ind w:firstLine="480" w:firstLineChars="200"/>
        <w:rPr>
          <w:rFonts w:hint="eastAsia" w:cs="宋体"/>
          <w:b/>
          <w:bCs/>
          <w:sz w:val="24"/>
        </w:rPr>
      </w:pPr>
      <w:r>
        <w:rPr>
          <w:rFonts w:hint="eastAsia" w:cs="宋体"/>
          <w:sz w:val="24"/>
        </w:rPr>
        <w:t>评标基准价不因招投标当事人质疑、投诉、复议以及其他任何情形而改变，但评标过程中的计算错误可作调整。</w:t>
      </w:r>
    </w:p>
    <w:p w14:paraId="278B5E98">
      <w:pPr>
        <w:spacing w:line="360" w:lineRule="auto"/>
        <w:ind w:firstLine="482" w:firstLineChars="200"/>
        <w:rPr>
          <w:rFonts w:hint="eastAsia" w:cs="宋体"/>
          <w:bCs/>
          <w:sz w:val="24"/>
        </w:rPr>
      </w:pPr>
      <w:r>
        <w:rPr>
          <w:rFonts w:hint="eastAsia" w:cs="宋体"/>
          <w:b/>
          <w:bCs/>
          <w:sz w:val="24"/>
        </w:rPr>
        <w:t>4.中标</w:t>
      </w:r>
      <w:r>
        <w:rPr>
          <w:rFonts w:hint="eastAsia" w:cs="宋体"/>
          <w:b/>
          <w:sz w:val="24"/>
        </w:rPr>
        <w:t>人的确定</w:t>
      </w:r>
    </w:p>
    <w:p w14:paraId="74F79274">
      <w:pPr>
        <w:spacing w:line="360" w:lineRule="auto"/>
        <w:ind w:firstLine="480" w:firstLineChars="200"/>
        <w:rPr>
          <w:rFonts w:hint="eastAsia" w:cs="宋体"/>
          <w:bCs/>
          <w:sz w:val="24"/>
        </w:rPr>
      </w:pPr>
      <w:r>
        <w:rPr>
          <w:rFonts w:hint="eastAsia" w:cs="宋体"/>
          <w:bCs/>
          <w:sz w:val="24"/>
        </w:rPr>
        <w:t>评委会汇总各评委</w:t>
      </w:r>
      <w:r>
        <w:rPr>
          <w:rFonts w:hint="eastAsia" w:cs="宋体"/>
          <w:sz w:val="24"/>
        </w:rPr>
        <w:t>评分</w:t>
      </w:r>
      <w:r>
        <w:rPr>
          <w:rFonts w:hint="eastAsia" w:cs="宋体"/>
          <w:bCs/>
          <w:sz w:val="24"/>
        </w:rPr>
        <w:t>后，推荐总得分最高的投标人为中标供应商。如出现相同最高分，由评委会根据技术指标优劣，优者推荐为中标供应商。评委会写出评标报告。</w:t>
      </w:r>
    </w:p>
    <w:p w14:paraId="5FA77D21">
      <w:pPr>
        <w:spacing w:line="360" w:lineRule="auto"/>
        <w:ind w:firstLine="482" w:firstLineChars="200"/>
        <w:rPr>
          <w:rFonts w:hint="eastAsia" w:cs="宋体"/>
          <w:b/>
          <w:bCs/>
          <w:sz w:val="24"/>
        </w:rPr>
      </w:pPr>
      <w:r>
        <w:rPr>
          <w:rFonts w:hint="eastAsia" w:cs="宋体"/>
          <w:b/>
          <w:bCs/>
          <w:sz w:val="24"/>
        </w:rPr>
        <w:t>5.第一中标候选人毁标或有异议的处理</w:t>
      </w:r>
    </w:p>
    <w:p w14:paraId="5E41C1CB">
      <w:pPr>
        <w:spacing w:line="360" w:lineRule="auto"/>
        <w:ind w:firstLine="480" w:firstLineChars="200"/>
        <w:rPr>
          <w:rFonts w:hint="eastAsia" w:cs="宋体"/>
          <w:b/>
          <w:bCs/>
          <w:kern w:val="0"/>
          <w:sz w:val="24"/>
        </w:rPr>
      </w:pPr>
      <w:r>
        <w:rPr>
          <w:rFonts w:hint="eastAsia" w:cs="宋体"/>
          <w:sz w:val="24"/>
        </w:rPr>
        <w:t>若第一中标候选人毁标的，则由第二中标候选人中标，第一中标候选人记不良记录一次。</w:t>
      </w:r>
    </w:p>
    <w:p w14:paraId="19BE9F8D">
      <w:pPr>
        <w:spacing w:line="360" w:lineRule="auto"/>
        <w:ind w:firstLine="482" w:firstLineChars="200"/>
        <w:rPr>
          <w:rFonts w:hint="eastAsia" w:cs="宋体"/>
          <w:b/>
          <w:bCs/>
          <w:sz w:val="24"/>
        </w:rPr>
      </w:pPr>
      <w:r>
        <w:rPr>
          <w:rFonts w:hint="eastAsia" w:cs="宋体"/>
          <w:b/>
          <w:bCs/>
          <w:sz w:val="24"/>
        </w:rPr>
        <w:t>6.评标争议</w:t>
      </w:r>
    </w:p>
    <w:p w14:paraId="47495453">
      <w:pPr>
        <w:spacing w:line="360" w:lineRule="auto"/>
        <w:ind w:firstLine="480" w:firstLineChars="200"/>
        <w:rPr>
          <w:rFonts w:hint="eastAsia" w:cs="宋体"/>
          <w:sz w:val="24"/>
        </w:rPr>
      </w:pPr>
      <w:r>
        <w:rPr>
          <w:rFonts w:hint="eastAsia" w:cs="宋体"/>
          <w:sz w:val="24"/>
        </w:rPr>
        <w:t>评标时评委对评标的细则若有争议，由评标小组评委集体讨论确定。</w:t>
      </w:r>
    </w:p>
    <w:p w14:paraId="3151E0D0">
      <w:pPr>
        <w:spacing w:line="360" w:lineRule="auto"/>
        <w:ind w:firstLine="482" w:firstLineChars="200"/>
        <w:rPr>
          <w:rFonts w:hint="eastAsia" w:cs="宋体"/>
          <w:b/>
          <w:bCs/>
          <w:sz w:val="24"/>
        </w:rPr>
      </w:pPr>
      <w:r>
        <w:rPr>
          <w:rFonts w:hint="eastAsia" w:cs="宋体"/>
          <w:b/>
          <w:bCs/>
          <w:sz w:val="24"/>
        </w:rPr>
        <w:t>7.落标原因</w:t>
      </w:r>
    </w:p>
    <w:p w14:paraId="0CB96C8D">
      <w:pPr>
        <w:spacing w:line="360" w:lineRule="auto"/>
        <w:ind w:firstLine="480" w:firstLineChars="200"/>
        <w:rPr>
          <w:rFonts w:hint="eastAsia" w:cs="宋体"/>
          <w:sz w:val="24"/>
        </w:rPr>
      </w:pPr>
      <w:r>
        <w:rPr>
          <w:rFonts w:hint="eastAsia" w:cs="宋体"/>
          <w:sz w:val="24"/>
        </w:rPr>
        <w:t>评标小组不对落标的投标供应商做落标原因的解释。</w:t>
      </w:r>
    </w:p>
    <w:p w14:paraId="2F142B65">
      <w:pPr>
        <w:spacing w:line="360" w:lineRule="auto"/>
        <w:ind w:firstLine="200"/>
        <w:rPr>
          <w:rFonts w:hint="eastAsia" w:cs="宋体"/>
          <w:b/>
          <w:sz w:val="24"/>
        </w:rPr>
      </w:pPr>
      <w:r>
        <w:rPr>
          <w:rFonts w:hint="eastAsia"/>
          <w:b/>
          <w:bCs/>
          <w:sz w:val="24"/>
        </w:rPr>
        <w:t xml:space="preserve">  </w:t>
      </w:r>
      <w:r>
        <w:rPr>
          <w:rFonts w:hint="eastAsia" w:cs="宋体"/>
          <w:b/>
          <w:sz w:val="24"/>
        </w:rPr>
        <w:t>七、出现下列情形之一的，作无效投标处理：</w:t>
      </w:r>
    </w:p>
    <w:p w14:paraId="728EF614">
      <w:pPr>
        <w:spacing w:line="360" w:lineRule="auto"/>
        <w:ind w:firstLine="480" w:firstLineChars="200"/>
        <w:rPr>
          <w:rFonts w:hint="eastAsia" w:cs="宋体"/>
          <w:sz w:val="24"/>
        </w:rPr>
      </w:pPr>
      <w:r>
        <w:rPr>
          <w:rFonts w:hint="eastAsia" w:cs="宋体"/>
          <w:sz w:val="24"/>
        </w:rPr>
        <w:t>1.投标响应文件未按招标文件要求签署、盖章的；</w:t>
      </w:r>
    </w:p>
    <w:p w14:paraId="47E74672">
      <w:pPr>
        <w:spacing w:line="360" w:lineRule="auto"/>
        <w:ind w:firstLine="480" w:firstLineChars="200"/>
        <w:rPr>
          <w:rFonts w:hint="eastAsia" w:cs="宋体"/>
          <w:sz w:val="24"/>
        </w:rPr>
      </w:pPr>
      <w:r>
        <w:rPr>
          <w:rFonts w:hint="eastAsia" w:cs="宋体"/>
          <w:sz w:val="24"/>
        </w:rPr>
        <w:t>2.不具备招标文件中规定的资格要求的；</w:t>
      </w:r>
    </w:p>
    <w:p w14:paraId="2BD85F01">
      <w:pPr>
        <w:spacing w:line="360" w:lineRule="auto"/>
        <w:ind w:firstLine="480" w:firstLineChars="200"/>
        <w:rPr>
          <w:rFonts w:hint="eastAsia" w:cs="宋体"/>
          <w:sz w:val="24"/>
        </w:rPr>
      </w:pPr>
      <w:r>
        <w:rPr>
          <w:rFonts w:hint="eastAsia" w:cs="宋体"/>
          <w:sz w:val="24"/>
        </w:rPr>
        <w:t>3.报价超过招标文件中规定的预算金额或者最高限价的；</w:t>
      </w:r>
    </w:p>
    <w:p w14:paraId="426312B7">
      <w:pPr>
        <w:spacing w:line="360" w:lineRule="auto"/>
        <w:ind w:firstLine="480" w:firstLineChars="200"/>
        <w:rPr>
          <w:rFonts w:hint="eastAsia" w:cs="宋体"/>
          <w:sz w:val="24"/>
        </w:rPr>
      </w:pPr>
      <w:r>
        <w:rPr>
          <w:rFonts w:hint="eastAsia" w:cs="宋体"/>
          <w:sz w:val="24"/>
        </w:rPr>
        <w:t>4.投标响应文件含有采购单位不能接受的附加条件的；</w:t>
      </w:r>
    </w:p>
    <w:p w14:paraId="52470544">
      <w:pPr>
        <w:spacing w:line="360" w:lineRule="auto"/>
        <w:ind w:firstLine="480" w:firstLineChars="200"/>
        <w:rPr>
          <w:rFonts w:hint="eastAsia" w:cs="宋体"/>
          <w:sz w:val="24"/>
        </w:rPr>
      </w:pPr>
      <w:r>
        <w:rPr>
          <w:rFonts w:hint="eastAsia" w:cs="宋体"/>
          <w:sz w:val="24"/>
        </w:rPr>
        <w:t>5.法律、法规和招标文件规定的其他无效情形。</w:t>
      </w:r>
    </w:p>
    <w:p w14:paraId="00F8EE64">
      <w:pPr>
        <w:spacing w:line="360" w:lineRule="auto"/>
        <w:ind w:firstLine="482" w:firstLineChars="200"/>
        <w:rPr>
          <w:rFonts w:hint="eastAsia" w:cs="宋体"/>
          <w:sz w:val="24"/>
        </w:rPr>
      </w:pPr>
      <w:r>
        <w:rPr>
          <w:rFonts w:hint="eastAsia" w:cs="宋体"/>
          <w:b/>
          <w:sz w:val="24"/>
        </w:rPr>
        <w:t>八、有下列情形之一的，视为投标供应商串通投标，其投标无效：</w:t>
      </w:r>
    </w:p>
    <w:p w14:paraId="35F58CE0">
      <w:pPr>
        <w:spacing w:line="360" w:lineRule="auto"/>
        <w:ind w:firstLine="484" w:firstLineChars="202"/>
        <w:rPr>
          <w:rFonts w:hint="eastAsia" w:cs="宋体"/>
          <w:sz w:val="24"/>
        </w:rPr>
      </w:pPr>
      <w:r>
        <w:rPr>
          <w:rFonts w:hint="eastAsia" w:cs="宋体"/>
          <w:sz w:val="24"/>
        </w:rPr>
        <w:t>1.不同投标供应商的投标响应文件由同一单位或者个人编制；</w:t>
      </w:r>
    </w:p>
    <w:p w14:paraId="03DBAB86">
      <w:pPr>
        <w:spacing w:line="360" w:lineRule="auto"/>
        <w:ind w:firstLine="484" w:firstLineChars="202"/>
        <w:rPr>
          <w:rFonts w:hint="eastAsia" w:cs="宋体"/>
          <w:sz w:val="24"/>
        </w:rPr>
      </w:pPr>
      <w:r>
        <w:rPr>
          <w:rFonts w:hint="eastAsia" w:cs="宋体"/>
          <w:sz w:val="24"/>
        </w:rPr>
        <w:t>2.不同投标供应商委托同一单位或者个人办理投标事宜；</w:t>
      </w:r>
    </w:p>
    <w:p w14:paraId="03ACC132">
      <w:pPr>
        <w:spacing w:line="360" w:lineRule="auto"/>
        <w:ind w:firstLine="484" w:firstLineChars="202"/>
        <w:rPr>
          <w:rFonts w:hint="eastAsia" w:cs="宋体"/>
          <w:sz w:val="24"/>
        </w:rPr>
      </w:pPr>
      <w:r>
        <w:rPr>
          <w:rFonts w:hint="eastAsia" w:cs="宋体"/>
          <w:sz w:val="24"/>
        </w:rPr>
        <w:t>3.不同投标供应商的投标响应文件载明的项目管理成员或者联系人员为同一人；</w:t>
      </w:r>
    </w:p>
    <w:p w14:paraId="5EA464C6">
      <w:pPr>
        <w:spacing w:line="360" w:lineRule="auto"/>
        <w:ind w:firstLine="484" w:firstLineChars="202"/>
        <w:rPr>
          <w:rFonts w:hint="eastAsia" w:cs="宋体"/>
          <w:sz w:val="24"/>
        </w:rPr>
      </w:pPr>
      <w:r>
        <w:rPr>
          <w:rFonts w:hint="eastAsia" w:cs="宋体"/>
          <w:sz w:val="24"/>
        </w:rPr>
        <w:t>4.不同投标供应商的投标响应文件异常一致或者投标报价呈规律性差异；</w:t>
      </w:r>
    </w:p>
    <w:p w14:paraId="15FF6AF6">
      <w:pPr>
        <w:spacing w:line="360" w:lineRule="auto"/>
        <w:ind w:firstLine="484" w:firstLineChars="202"/>
        <w:rPr>
          <w:rFonts w:hint="eastAsia" w:cs="宋体"/>
          <w:sz w:val="24"/>
        </w:rPr>
      </w:pPr>
      <w:r>
        <w:rPr>
          <w:rFonts w:hint="eastAsia" w:cs="宋体"/>
          <w:sz w:val="24"/>
        </w:rPr>
        <w:t>5.不同投标供应商的投标响应文件相互混装；</w:t>
      </w:r>
    </w:p>
    <w:p w14:paraId="77AD8D6B">
      <w:pPr>
        <w:spacing w:line="360" w:lineRule="auto"/>
        <w:ind w:firstLine="484" w:firstLineChars="202"/>
        <w:rPr>
          <w:rFonts w:hint="eastAsia" w:cs="宋体"/>
          <w:sz w:val="24"/>
        </w:rPr>
      </w:pPr>
      <w:r>
        <w:rPr>
          <w:rFonts w:hint="eastAsia" w:cs="宋体"/>
          <w:sz w:val="24"/>
        </w:rPr>
        <w:t>6.不同投标供应商的投标保证金从同一单位或者个人的账户转出。</w:t>
      </w:r>
    </w:p>
    <w:p w14:paraId="1E818908">
      <w:pPr>
        <w:spacing w:line="360" w:lineRule="auto"/>
        <w:ind w:firstLine="482" w:firstLineChars="200"/>
        <w:rPr>
          <w:rFonts w:hint="eastAsia" w:cs="宋体"/>
          <w:sz w:val="24"/>
        </w:rPr>
      </w:pPr>
      <w:r>
        <w:rPr>
          <w:rFonts w:hint="eastAsia" w:cs="宋体"/>
          <w:b/>
          <w:sz w:val="24"/>
        </w:rPr>
        <w:t>九、变更为其他方式采购的情形处理：</w:t>
      </w:r>
    </w:p>
    <w:p w14:paraId="3E610949">
      <w:pPr>
        <w:spacing w:line="360" w:lineRule="auto"/>
        <w:ind w:firstLine="484" w:firstLineChars="202"/>
        <w:rPr>
          <w:rFonts w:hint="eastAsia" w:cs="宋体"/>
          <w:sz w:val="24"/>
        </w:rPr>
      </w:pPr>
      <w:r>
        <w:rPr>
          <w:rFonts w:hint="eastAsia" w:cs="宋体"/>
          <w:sz w:val="24"/>
        </w:rPr>
        <w:t>本项目投标截止后投标供应商不足3家或者通过资格审查或符合性审查的投标供应商不足3家的，除采购任务取消情形外，按照以下方式处理：</w:t>
      </w:r>
    </w:p>
    <w:p w14:paraId="0C0FCDE4">
      <w:pPr>
        <w:spacing w:line="360" w:lineRule="auto"/>
        <w:ind w:firstLine="484" w:firstLineChars="202"/>
        <w:rPr>
          <w:rFonts w:hint="eastAsia" w:cs="宋体"/>
          <w:sz w:val="24"/>
        </w:rPr>
      </w:pPr>
      <w:r>
        <w:rPr>
          <w:rFonts w:hint="eastAsia" w:cs="宋体"/>
          <w:sz w:val="24"/>
        </w:rPr>
        <w:t>1.招标文件存在不合理条款或者招标程序不符合规定的，采购单位、采购代理机构改正后依法重新招标；</w:t>
      </w:r>
    </w:p>
    <w:p w14:paraId="0FCCEE92">
      <w:pPr>
        <w:spacing w:line="360" w:lineRule="auto"/>
        <w:ind w:firstLine="484" w:firstLineChars="202"/>
        <w:rPr>
          <w:rFonts w:hint="eastAsia" w:cs="宋体"/>
          <w:sz w:val="24"/>
        </w:rPr>
      </w:pPr>
      <w:r>
        <w:rPr>
          <w:rFonts w:hint="eastAsia" w:cs="宋体"/>
          <w:sz w:val="24"/>
        </w:rPr>
        <w:t>2.招标文件没有不合理条款、招标程序符合规定，需要采用其他采购方式采购的，采购单位应当报相关部门批准。</w:t>
      </w:r>
    </w:p>
    <w:p w14:paraId="687A9075">
      <w:pPr>
        <w:spacing w:line="360" w:lineRule="auto"/>
        <w:ind w:firstLine="482" w:firstLineChars="200"/>
        <w:rPr>
          <w:rFonts w:hint="eastAsia" w:cs="宋体"/>
          <w:b/>
          <w:sz w:val="24"/>
        </w:rPr>
      </w:pPr>
      <w:r>
        <w:rPr>
          <w:rFonts w:hint="eastAsia" w:cs="宋体"/>
          <w:b/>
          <w:sz w:val="24"/>
        </w:rPr>
        <w:t>十、出现下列情形之一的，作废标处理：</w:t>
      </w:r>
    </w:p>
    <w:p w14:paraId="70872F5D">
      <w:pPr>
        <w:spacing w:line="360" w:lineRule="auto"/>
        <w:ind w:firstLine="480" w:firstLineChars="200"/>
        <w:rPr>
          <w:rFonts w:hint="eastAsia" w:cs="宋体"/>
          <w:sz w:val="24"/>
        </w:rPr>
      </w:pPr>
      <w:r>
        <w:rPr>
          <w:rFonts w:hint="eastAsia" w:cs="宋体"/>
          <w:sz w:val="24"/>
        </w:rPr>
        <w:t>1.出现影响采购公正的违法违规行为的；</w:t>
      </w:r>
    </w:p>
    <w:p w14:paraId="3C523F23">
      <w:pPr>
        <w:spacing w:line="360" w:lineRule="auto"/>
        <w:ind w:firstLine="480" w:firstLineChars="200"/>
        <w:rPr>
          <w:rFonts w:hint="eastAsia" w:cs="宋体"/>
          <w:sz w:val="24"/>
        </w:rPr>
      </w:pPr>
      <w:r>
        <w:rPr>
          <w:rFonts w:hint="eastAsia" w:cs="宋体"/>
          <w:sz w:val="24"/>
        </w:rPr>
        <w:t>2.所有投标供应商报价超出采购预算价的；</w:t>
      </w:r>
    </w:p>
    <w:p w14:paraId="0063C824">
      <w:pPr>
        <w:spacing w:line="360" w:lineRule="auto"/>
        <w:ind w:firstLine="480" w:firstLineChars="200"/>
        <w:rPr>
          <w:rFonts w:hint="eastAsia" w:cs="宋体"/>
          <w:sz w:val="24"/>
        </w:rPr>
      </w:pPr>
      <w:r>
        <w:rPr>
          <w:rFonts w:hint="eastAsia" w:cs="宋体"/>
          <w:sz w:val="24"/>
        </w:rPr>
        <w:t>3.因重大变故，采购任务被取消的；</w:t>
      </w:r>
    </w:p>
    <w:p w14:paraId="1D89F7C0">
      <w:pPr>
        <w:spacing w:line="360" w:lineRule="auto"/>
        <w:ind w:firstLine="480" w:firstLineChars="200"/>
        <w:rPr>
          <w:rFonts w:hint="eastAsia" w:cs="宋体"/>
          <w:sz w:val="24"/>
        </w:rPr>
      </w:pPr>
      <w:r>
        <w:rPr>
          <w:rFonts w:hint="eastAsia" w:cs="宋体"/>
          <w:sz w:val="24"/>
        </w:rPr>
        <w:t>4.评标委员会依据法律法规可以认定为废标的其他情况。</w:t>
      </w:r>
    </w:p>
    <w:p w14:paraId="31374BAA">
      <w:pPr>
        <w:spacing w:line="360" w:lineRule="auto"/>
        <w:ind w:firstLine="482" w:firstLineChars="200"/>
        <w:rPr>
          <w:rFonts w:hint="eastAsia" w:cs="宋体"/>
          <w:b/>
          <w:sz w:val="24"/>
        </w:rPr>
      </w:pPr>
      <w:r>
        <w:rPr>
          <w:rFonts w:hint="eastAsia" w:cs="宋体"/>
          <w:b/>
          <w:sz w:val="24"/>
        </w:rPr>
        <w:t>十一、中标通知：</w:t>
      </w:r>
    </w:p>
    <w:p w14:paraId="60DD2136">
      <w:pPr>
        <w:spacing w:line="360" w:lineRule="auto"/>
        <w:ind w:firstLine="480" w:firstLineChars="200"/>
        <w:rPr>
          <w:rFonts w:hint="eastAsia" w:cs="宋体"/>
          <w:kern w:val="0"/>
          <w:sz w:val="24"/>
        </w:rPr>
      </w:pPr>
      <w:r>
        <w:rPr>
          <w:rFonts w:hint="eastAsia" w:cs="宋体"/>
          <w:kern w:val="0"/>
          <w:sz w:val="24"/>
        </w:rPr>
        <w:t>1.开标结束后，招标采购单位自中标供应商确定之日起2个工作日内在指定媒体上公告中标结果。</w:t>
      </w:r>
    </w:p>
    <w:p w14:paraId="1997DBC2">
      <w:pPr>
        <w:spacing w:line="360" w:lineRule="auto"/>
        <w:ind w:firstLine="480" w:firstLineChars="200"/>
        <w:rPr>
          <w:rFonts w:hint="eastAsia" w:cs="宋体"/>
          <w:kern w:val="0"/>
          <w:sz w:val="24"/>
        </w:rPr>
      </w:pPr>
      <w:r>
        <w:rPr>
          <w:rFonts w:hint="eastAsia" w:cs="宋体"/>
          <w:kern w:val="0"/>
          <w:sz w:val="24"/>
        </w:rPr>
        <w:t>2.中标公告期限为1个工作日，期限结束后向中标供应商发出《中标通知书》。</w:t>
      </w:r>
    </w:p>
    <w:p w14:paraId="13A2F844">
      <w:pPr>
        <w:spacing w:line="360" w:lineRule="auto"/>
        <w:ind w:firstLine="456" w:firstLineChars="200"/>
        <w:rPr>
          <w:rFonts w:cs="宋体"/>
          <w:spacing w:val="-6"/>
          <w:sz w:val="24"/>
        </w:rPr>
      </w:pPr>
      <w:r>
        <w:rPr>
          <w:rFonts w:hint="eastAsia" w:cs="宋体"/>
          <w:spacing w:val="-6"/>
          <w:sz w:val="24"/>
        </w:rPr>
        <w:t>3.</w:t>
      </w:r>
      <w:r>
        <w:rPr>
          <w:rFonts w:hint="eastAsia" w:cs="宋体"/>
          <w:kern w:val="0"/>
          <w:sz w:val="24"/>
        </w:rPr>
        <w:t>《中标通知书》</w:t>
      </w:r>
      <w:r>
        <w:rPr>
          <w:rFonts w:hint="eastAsia" w:cs="宋体"/>
          <w:spacing w:val="-6"/>
          <w:sz w:val="24"/>
        </w:rPr>
        <w:t>一经发出，即具有法律效力。招标单位、</w:t>
      </w:r>
      <w:r>
        <w:rPr>
          <w:rFonts w:hint="eastAsia" w:cs="宋体"/>
          <w:kern w:val="0"/>
          <w:sz w:val="24"/>
        </w:rPr>
        <w:t>中标</w:t>
      </w:r>
      <w:r>
        <w:rPr>
          <w:rFonts w:hint="eastAsia" w:cs="宋体"/>
          <w:spacing w:val="-6"/>
          <w:sz w:val="24"/>
        </w:rPr>
        <w:t>供应商依法承担法律责任。</w:t>
      </w:r>
    </w:p>
    <w:p w14:paraId="30C37A57">
      <w:pPr>
        <w:spacing w:line="360" w:lineRule="auto"/>
        <w:jc w:val="center"/>
        <w:rPr>
          <w:rFonts w:hint="eastAsia"/>
          <w:b/>
          <w:sz w:val="36"/>
          <w:szCs w:val="36"/>
        </w:rPr>
      </w:pPr>
      <w:r>
        <w:rPr>
          <w:rFonts w:cs="宋体"/>
        </w:rPr>
        <w:br w:type="page"/>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b/>
          <w:sz w:val="36"/>
          <w:szCs w:val="36"/>
        </w:rPr>
        <w:t>第五部分 合同主要条款</w:t>
      </w:r>
    </w:p>
    <w:p w14:paraId="7674E1AD">
      <w:pPr>
        <w:spacing w:line="360" w:lineRule="auto"/>
        <w:rPr>
          <w:rFonts w:ascii="宋体" w:hAnsi="宋体" w:cs="宋体"/>
          <w:sz w:val="24"/>
          <w:u w:val="single"/>
        </w:rPr>
      </w:pPr>
      <w:r>
        <w:rPr>
          <w:rFonts w:hint="eastAsia" w:ascii="宋体" w:hAnsi="宋体" w:cs="宋体"/>
          <w:sz w:val="24"/>
        </w:rPr>
        <w:t>合同编号：</w:t>
      </w:r>
    </w:p>
    <w:p w14:paraId="763596F7">
      <w:pPr>
        <w:spacing w:line="360" w:lineRule="auto"/>
        <w:jc w:val="center"/>
        <w:rPr>
          <w:rFonts w:ascii="宋体" w:hAnsi="宋体" w:cs="宋体"/>
          <w:b/>
          <w:sz w:val="28"/>
          <w:szCs w:val="28"/>
        </w:rPr>
      </w:pPr>
    </w:p>
    <w:p w14:paraId="03656E62">
      <w:pPr>
        <w:spacing w:line="360" w:lineRule="auto"/>
        <w:jc w:val="center"/>
        <w:rPr>
          <w:rFonts w:ascii="宋体" w:hAnsi="宋体" w:cs="宋体"/>
          <w:b/>
          <w:sz w:val="28"/>
          <w:szCs w:val="28"/>
        </w:rPr>
      </w:pPr>
    </w:p>
    <w:p w14:paraId="17159010">
      <w:pPr>
        <w:spacing w:line="360" w:lineRule="auto"/>
        <w:jc w:val="center"/>
        <w:rPr>
          <w:rFonts w:ascii="宋体" w:hAnsi="宋体" w:cs="宋体"/>
          <w:b/>
          <w:sz w:val="44"/>
          <w:szCs w:val="44"/>
        </w:rPr>
      </w:pPr>
      <w:r>
        <w:rPr>
          <w:rFonts w:hint="eastAsia" w:ascii="宋体" w:hAnsi="宋体" w:cs="宋体"/>
          <w:b/>
          <w:sz w:val="44"/>
          <w:szCs w:val="44"/>
        </w:rPr>
        <w:t>采购合同</w:t>
      </w:r>
    </w:p>
    <w:p w14:paraId="606CE546">
      <w:pPr>
        <w:spacing w:line="360" w:lineRule="auto"/>
        <w:jc w:val="center"/>
        <w:rPr>
          <w:rFonts w:ascii="宋体" w:hAnsi="宋体" w:cs="宋体"/>
          <w:b/>
          <w:sz w:val="24"/>
        </w:rPr>
      </w:pPr>
    </w:p>
    <w:p w14:paraId="1C05F5C0">
      <w:pPr>
        <w:pStyle w:val="428"/>
        <w:spacing w:line="360" w:lineRule="auto"/>
        <w:ind w:firstLine="0"/>
        <w:rPr>
          <w:rFonts w:hint="default" w:ascii="宋体" w:hAnsi="宋体" w:cs="宋体"/>
          <w:szCs w:val="24"/>
        </w:rPr>
      </w:pPr>
    </w:p>
    <w:p w14:paraId="225EAC3C">
      <w:pPr>
        <w:pStyle w:val="428"/>
        <w:spacing w:line="360" w:lineRule="auto"/>
        <w:ind w:firstLine="0"/>
        <w:rPr>
          <w:rFonts w:hint="default" w:ascii="宋体" w:hAnsi="宋体" w:cs="宋体"/>
          <w:szCs w:val="24"/>
        </w:rPr>
      </w:pPr>
    </w:p>
    <w:p w14:paraId="63B8773C">
      <w:pPr>
        <w:pStyle w:val="428"/>
        <w:spacing w:line="360" w:lineRule="auto"/>
        <w:ind w:firstLine="0"/>
        <w:rPr>
          <w:rFonts w:hint="default" w:ascii="宋体" w:hAnsi="宋体" w:cs="宋体"/>
          <w:szCs w:val="24"/>
        </w:rPr>
      </w:pPr>
    </w:p>
    <w:p w14:paraId="6DAB567A">
      <w:pPr>
        <w:pStyle w:val="428"/>
        <w:spacing w:line="360" w:lineRule="auto"/>
        <w:ind w:firstLine="0"/>
        <w:jc w:val="center"/>
        <w:rPr>
          <w:rFonts w:hint="default" w:ascii="宋体" w:hAnsi="宋体" w:cs="宋体"/>
          <w:b/>
          <w:szCs w:val="24"/>
        </w:rPr>
      </w:pPr>
      <w:r>
        <w:rPr>
          <w:rFonts w:ascii="宋体" w:hAnsi="宋体" w:cs="宋体"/>
          <w:b/>
          <w:szCs w:val="24"/>
        </w:rPr>
        <w:t>第一部分 合同书</w:t>
      </w:r>
    </w:p>
    <w:p w14:paraId="6915A7C3">
      <w:pPr>
        <w:pStyle w:val="428"/>
        <w:spacing w:line="360" w:lineRule="auto"/>
        <w:ind w:firstLine="0"/>
        <w:rPr>
          <w:rFonts w:hint="default" w:ascii="宋体" w:hAnsi="宋体" w:cs="宋体"/>
          <w:szCs w:val="24"/>
        </w:rPr>
      </w:pPr>
    </w:p>
    <w:p w14:paraId="6ABB403F">
      <w:pPr>
        <w:pStyle w:val="428"/>
        <w:spacing w:line="360" w:lineRule="auto"/>
        <w:ind w:firstLine="0"/>
        <w:rPr>
          <w:rFonts w:hint="default" w:ascii="宋体" w:hAnsi="宋体" w:cs="宋体"/>
          <w:szCs w:val="24"/>
        </w:rPr>
      </w:pPr>
    </w:p>
    <w:p w14:paraId="1E99D2C2">
      <w:pPr>
        <w:pStyle w:val="428"/>
        <w:spacing w:line="360" w:lineRule="auto"/>
        <w:ind w:firstLine="0"/>
        <w:rPr>
          <w:rFonts w:hint="default" w:ascii="宋体" w:hAnsi="宋体" w:cs="宋体"/>
          <w:szCs w:val="24"/>
        </w:rPr>
      </w:pPr>
    </w:p>
    <w:p w14:paraId="31E012DB">
      <w:pPr>
        <w:spacing w:before="120" w:line="360" w:lineRule="auto"/>
        <w:rPr>
          <w:rFonts w:ascii="宋体" w:hAnsi="宋体" w:cs="宋体"/>
          <w:sz w:val="24"/>
        </w:rPr>
      </w:pPr>
    </w:p>
    <w:p w14:paraId="1734678E">
      <w:pPr>
        <w:spacing w:before="120" w:line="360" w:lineRule="auto"/>
        <w:ind w:left="96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u w:val="single"/>
          <w:lang w:eastAsia="zh-CN"/>
        </w:rPr>
        <w:t>南通新通安投资开发有限公司A1及B2车型采购项目（标段一）（第二次）</w:t>
      </w:r>
    </w:p>
    <w:p w14:paraId="22BD4AC6">
      <w:pPr>
        <w:pStyle w:val="429"/>
        <w:spacing w:before="120"/>
        <w:rPr>
          <w:rFonts w:ascii="宋体" w:hAnsi="宋体" w:eastAsia="宋体" w:cs="宋体"/>
          <w:szCs w:val="24"/>
        </w:rPr>
      </w:pPr>
    </w:p>
    <w:p w14:paraId="682239AE">
      <w:pPr>
        <w:pStyle w:val="429"/>
        <w:spacing w:before="120"/>
        <w:rPr>
          <w:rFonts w:ascii="宋体" w:hAnsi="宋体" w:eastAsia="宋体" w:cs="宋体"/>
          <w:szCs w:val="24"/>
        </w:rPr>
      </w:pPr>
    </w:p>
    <w:p w14:paraId="08C13A03">
      <w:pPr>
        <w:spacing w:line="360" w:lineRule="auto"/>
        <w:rPr>
          <w:rFonts w:ascii="宋体" w:hAnsi="宋体" w:cs="宋体"/>
        </w:rPr>
      </w:pPr>
    </w:p>
    <w:p w14:paraId="759EFC13">
      <w:pPr>
        <w:spacing w:before="120" w:line="360" w:lineRule="auto"/>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南通新通安投资开发有限公司</w:t>
      </w:r>
    </w:p>
    <w:p w14:paraId="6D1D6623">
      <w:pPr>
        <w:spacing w:before="120" w:line="360" w:lineRule="auto"/>
        <w:rPr>
          <w:rFonts w:ascii="宋体" w:hAnsi="宋体" w:cs="宋体"/>
          <w:sz w:val="24"/>
        </w:rPr>
      </w:pPr>
    </w:p>
    <w:p w14:paraId="444B208F">
      <w:pPr>
        <w:spacing w:before="120" w:line="360" w:lineRule="auto"/>
        <w:ind w:left="960"/>
        <w:rPr>
          <w:rFonts w:ascii="宋体" w:hAnsi="宋体" w:cs="宋体"/>
          <w:sz w:val="24"/>
          <w:u w:val="single"/>
        </w:rPr>
      </w:pPr>
      <w:r>
        <w:rPr>
          <w:rFonts w:hint="eastAsia" w:ascii="宋体" w:hAnsi="宋体" w:cs="宋体"/>
          <w:sz w:val="24"/>
        </w:rPr>
        <w:t>乙方：</w:t>
      </w:r>
    </w:p>
    <w:p w14:paraId="6F8FD1D8">
      <w:pPr>
        <w:spacing w:before="120" w:line="360" w:lineRule="auto"/>
        <w:rPr>
          <w:rFonts w:ascii="宋体" w:hAnsi="宋体" w:cs="宋体"/>
          <w:sz w:val="24"/>
        </w:rPr>
      </w:pPr>
    </w:p>
    <w:p w14:paraId="4749B0A4">
      <w:pPr>
        <w:spacing w:before="120" w:line="360" w:lineRule="auto"/>
        <w:ind w:firstLine="960" w:firstLineChars="400"/>
        <w:rPr>
          <w:rFonts w:ascii="宋体" w:hAnsi="宋体" w:cs="宋体"/>
          <w:sz w:val="24"/>
          <w:u w:val="single"/>
        </w:rPr>
      </w:pPr>
      <w:r>
        <w:rPr>
          <w:rFonts w:hint="eastAsia" w:ascii="宋体" w:hAnsi="宋体" w:cs="宋体"/>
          <w:sz w:val="24"/>
        </w:rPr>
        <w:t>签订地：</w:t>
      </w:r>
    </w:p>
    <w:p w14:paraId="595A1933">
      <w:pPr>
        <w:spacing w:before="120" w:line="360" w:lineRule="auto"/>
        <w:rPr>
          <w:rFonts w:ascii="宋体" w:hAnsi="宋体" w:cs="宋体"/>
          <w:sz w:val="24"/>
        </w:rPr>
      </w:pPr>
    </w:p>
    <w:p w14:paraId="2EB68EC5">
      <w:pPr>
        <w:spacing w:before="120" w:line="360" w:lineRule="auto"/>
        <w:ind w:firstLine="960" w:firstLineChars="400"/>
        <w:rPr>
          <w:rFonts w:ascii="宋体" w:hAnsi="宋体" w:cs="宋体"/>
          <w:sz w:val="24"/>
          <w:u w:val="single"/>
        </w:rPr>
      </w:pPr>
      <w:r>
        <w:rPr>
          <w:rFonts w:hint="eastAsia" w:ascii="宋体" w:hAnsi="宋体" w:cs="宋体"/>
          <w:sz w:val="24"/>
        </w:rPr>
        <w:t>签订日期：年   月    日</w:t>
      </w:r>
    </w:p>
    <w:p w14:paraId="16B0DEC9">
      <w:pPr>
        <w:autoSpaceDE w:val="0"/>
        <w:autoSpaceDN w:val="0"/>
        <w:adjustRightInd w:val="0"/>
        <w:spacing w:line="360" w:lineRule="auto"/>
        <w:ind w:firstLine="640"/>
        <w:jc w:val="center"/>
        <w:rPr>
          <w:rFonts w:ascii="宋体" w:hAnsi="宋体" w:cs="宋体"/>
          <w:sz w:val="24"/>
        </w:rPr>
        <w:sectPr>
          <w:footerReference r:id="rId3" w:type="default"/>
          <w:pgSz w:w="11907" w:h="16840"/>
          <w:pgMar w:top="1588" w:right="1587" w:bottom="1418" w:left="1587" w:header="851" w:footer="851" w:gutter="0"/>
          <w:pgNumType w:fmt="numberInDash"/>
          <w:cols w:space="720" w:num="1"/>
          <w:docGrid w:linePitch="462" w:charSpace="0"/>
        </w:sectPr>
      </w:pPr>
    </w:p>
    <w:p w14:paraId="67182DDE">
      <w:pPr>
        <w:snapToGrid w:val="0"/>
        <w:spacing w:line="360" w:lineRule="auto"/>
        <w:ind w:firstLine="480" w:firstLineChars="200"/>
        <w:rPr>
          <w:rFonts w:ascii="宋体" w:hAnsi="宋体" w:cs="宋体"/>
          <w:sz w:val="24"/>
        </w:rPr>
      </w:pPr>
      <w:r>
        <w:rPr>
          <w:rFonts w:hint="eastAsia" w:ascii="宋体" w:hAnsi="宋体" w:cs="宋体"/>
          <w:sz w:val="24"/>
          <w:lang w:val="zh-CN"/>
        </w:rPr>
        <w:t>年月日</w:t>
      </w:r>
      <w:r>
        <w:rPr>
          <w:rFonts w:hint="eastAsia" w:ascii="宋体" w:hAnsi="宋体" w:cs="宋体"/>
          <w:sz w:val="24"/>
        </w:rPr>
        <w:t>，</w:t>
      </w:r>
      <w:r>
        <w:rPr>
          <w:rFonts w:hint="eastAsia" w:ascii="宋体" w:hAnsi="宋体" w:cs="宋体"/>
          <w:sz w:val="24"/>
          <w:u w:val="single"/>
        </w:rPr>
        <w:t>南通新通安投资开发有限公司</w:t>
      </w:r>
      <w:r>
        <w:rPr>
          <w:rFonts w:hint="eastAsia" w:ascii="宋体" w:hAnsi="宋体" w:cs="宋体"/>
          <w:sz w:val="24"/>
        </w:rPr>
        <w:t>以</w:t>
      </w:r>
      <w:r>
        <w:rPr>
          <w:rFonts w:hint="eastAsia" w:ascii="宋体" w:hAnsi="宋体" w:cs="宋体"/>
          <w:sz w:val="24"/>
          <w:u w:val="single"/>
        </w:rPr>
        <w:t xml:space="preserve"> 公开招标方式 </w:t>
      </w:r>
      <w:r>
        <w:rPr>
          <w:rFonts w:hint="eastAsia" w:ascii="宋体" w:hAnsi="宋体" w:cs="宋体"/>
          <w:sz w:val="24"/>
        </w:rPr>
        <w:t>对</w:t>
      </w:r>
      <w:r>
        <w:rPr>
          <w:rFonts w:hint="eastAsia" w:ascii="宋体" w:hAnsi="宋体" w:cs="宋体"/>
          <w:sz w:val="24"/>
          <w:u w:val="single"/>
          <w:lang w:eastAsia="zh-CN"/>
        </w:rPr>
        <w:t>南通新通安投资开发有限公司A1及B2车型采购项目（标段一）（第二次）</w:t>
      </w:r>
      <w:r>
        <w:rPr>
          <w:rFonts w:hint="eastAsia" w:ascii="宋体" w:hAnsi="宋体" w:cs="宋体"/>
          <w:sz w:val="24"/>
        </w:rPr>
        <w:t>进行了采购。经</w:t>
      </w:r>
      <w:r>
        <w:rPr>
          <w:rFonts w:hint="eastAsia" w:ascii="宋体" w:hAnsi="宋体" w:cs="宋体"/>
          <w:sz w:val="24"/>
          <w:u w:val="single"/>
        </w:rPr>
        <w:t xml:space="preserve">  评标小组  </w:t>
      </w:r>
      <w:r>
        <w:rPr>
          <w:rFonts w:hint="eastAsia" w:ascii="宋体" w:hAnsi="宋体" w:cs="宋体"/>
          <w:sz w:val="24"/>
        </w:rPr>
        <w:t>评定，</w:t>
      </w:r>
      <w:r>
        <w:rPr>
          <w:rFonts w:hint="eastAsia" w:ascii="宋体" w:hAnsi="宋体" w:cs="宋体"/>
          <w:sz w:val="24"/>
          <w:u w:val="single"/>
        </w:rPr>
        <w:t xml:space="preserve">   （中标供应商名称） </w:t>
      </w:r>
      <w:r>
        <w:rPr>
          <w:rFonts w:hint="eastAsia" w:ascii="宋体" w:hAnsi="宋体" w:cs="宋体"/>
          <w:sz w:val="24"/>
        </w:rPr>
        <w:t>为该项目</w:t>
      </w:r>
      <w:r>
        <w:rPr>
          <w:rFonts w:hint="eastAsia" w:ascii="宋体" w:hAnsi="宋体" w:cs="宋体"/>
          <w:b/>
          <w:bCs/>
          <w:sz w:val="24"/>
        </w:rPr>
        <w:t>（标段</w:t>
      </w:r>
      <w:r>
        <w:rPr>
          <w:rFonts w:hint="eastAsia" w:ascii="宋体" w:hAnsi="宋体" w:cs="宋体"/>
          <w:b/>
          <w:bCs/>
          <w:sz w:val="24"/>
          <w:u w:val="single"/>
        </w:rPr>
        <w:t xml:space="preserve">    </w:t>
      </w:r>
      <w:r>
        <w:rPr>
          <w:rFonts w:hint="eastAsia" w:ascii="宋体" w:hAnsi="宋体" w:cs="宋体"/>
          <w:b/>
          <w:bCs/>
          <w:sz w:val="24"/>
        </w:rPr>
        <w:t>）</w:t>
      </w:r>
      <w:r>
        <w:rPr>
          <w:rFonts w:hint="eastAsia" w:ascii="宋体" w:hAnsi="宋体" w:cs="宋体"/>
          <w:sz w:val="24"/>
        </w:rPr>
        <w:t>成交供应商。现于成交通知书发出之日起三十日内，按照采购文件确定的事项签订本合同。</w:t>
      </w:r>
    </w:p>
    <w:p w14:paraId="62DF165B">
      <w:pPr>
        <w:snapToGrid w:val="0"/>
        <w:spacing w:line="360" w:lineRule="auto"/>
        <w:ind w:firstLine="480" w:firstLineChars="200"/>
        <w:rPr>
          <w:rFonts w:ascii="宋体" w:hAnsi="宋体" w:cs="宋体"/>
          <w:sz w:val="24"/>
        </w:rPr>
      </w:pPr>
      <w:r>
        <w:rPr>
          <w:rFonts w:hint="eastAsia" w:ascii="宋体" w:hAnsi="宋体" w:cs="宋体"/>
          <w:sz w:val="24"/>
          <w:lang w:val="zh-CN"/>
        </w:rPr>
        <w:t>根据《中华人民共和国</w:t>
      </w:r>
      <w:r>
        <w:rPr>
          <w:rFonts w:hint="eastAsia" w:ascii="宋体" w:hAnsi="宋体" w:cs="宋体"/>
          <w:sz w:val="24"/>
        </w:rPr>
        <w:t>民法典</w:t>
      </w:r>
      <w:r>
        <w:rPr>
          <w:rFonts w:hint="eastAsia" w:ascii="宋体" w:hAnsi="宋体" w:cs="宋体"/>
          <w:sz w:val="24"/>
          <w:lang w:val="zh-CN"/>
        </w:rPr>
        <w:t>》等相关法律法规之规定，按照平等、自愿、公平和诚实信用的原则，经</w:t>
      </w:r>
      <w:r>
        <w:rPr>
          <w:rFonts w:hint="eastAsia" w:ascii="宋体" w:hAnsi="宋体" w:cs="宋体"/>
          <w:sz w:val="24"/>
          <w:u w:val="single"/>
        </w:rPr>
        <w:t>南通新通安投资开发有限公司</w:t>
      </w:r>
      <w:r>
        <w:rPr>
          <w:rFonts w:hint="eastAsia" w:ascii="宋体" w:hAnsi="宋体" w:cs="宋体"/>
          <w:sz w:val="24"/>
          <w:lang w:val="zh-CN"/>
        </w:rPr>
        <w:t>(以下简称：甲方)和</w:t>
      </w:r>
      <w:r>
        <w:rPr>
          <w:rFonts w:hint="eastAsia" w:ascii="宋体" w:hAnsi="宋体" w:cs="宋体"/>
          <w:sz w:val="24"/>
          <w:u w:val="single"/>
        </w:rPr>
        <w:t xml:space="preserve">  （中标供应商名称）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0CD486E7">
      <w:pPr>
        <w:snapToGrid w:val="0"/>
        <w:spacing w:line="360" w:lineRule="auto"/>
        <w:ind w:firstLine="482" w:firstLineChars="200"/>
        <w:outlineLvl w:val="0"/>
        <w:rPr>
          <w:rFonts w:ascii="宋体" w:hAnsi="宋体" w:cs="宋体"/>
          <w:sz w:val="24"/>
        </w:rPr>
      </w:pPr>
      <w:bookmarkStart w:id="201" w:name="_Toc28855"/>
      <w:bookmarkStart w:id="202" w:name="_Toc19273"/>
      <w:bookmarkStart w:id="203" w:name="_Toc20421"/>
      <w:bookmarkStart w:id="204" w:name="_Toc15367"/>
      <w:bookmarkStart w:id="205" w:name="_Toc22967"/>
      <w:r>
        <w:rPr>
          <w:rFonts w:hint="eastAsia" w:ascii="宋体" w:hAnsi="宋体" w:cs="宋体"/>
          <w:b/>
          <w:sz w:val="24"/>
        </w:rPr>
        <w:t>1.1 合同组成部分</w:t>
      </w:r>
      <w:bookmarkEnd w:id="201"/>
      <w:bookmarkEnd w:id="202"/>
      <w:bookmarkEnd w:id="203"/>
      <w:bookmarkEnd w:id="204"/>
      <w:bookmarkEnd w:id="205"/>
    </w:p>
    <w:p w14:paraId="74193E7B">
      <w:pPr>
        <w:snapToGrid w:val="0"/>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3D9DD60">
      <w:pPr>
        <w:snapToGrid w:val="0"/>
        <w:spacing w:line="360" w:lineRule="auto"/>
        <w:ind w:firstLine="480" w:firstLineChars="200"/>
        <w:rPr>
          <w:rFonts w:ascii="宋体" w:hAnsi="宋体" w:cs="宋体"/>
          <w:sz w:val="24"/>
        </w:rPr>
      </w:pPr>
      <w:r>
        <w:rPr>
          <w:rFonts w:hint="eastAsia" w:ascii="宋体" w:hAnsi="宋体" w:cs="宋体"/>
          <w:sz w:val="24"/>
        </w:rPr>
        <w:t>1.1.1 本合同及其补充合同、变更协议；</w:t>
      </w:r>
    </w:p>
    <w:p w14:paraId="473A838E">
      <w:pPr>
        <w:snapToGrid w:val="0"/>
        <w:spacing w:line="360" w:lineRule="auto"/>
        <w:ind w:firstLine="480" w:firstLineChars="200"/>
        <w:rPr>
          <w:rFonts w:ascii="宋体" w:hAnsi="宋体" w:cs="宋体"/>
          <w:sz w:val="24"/>
        </w:rPr>
      </w:pPr>
      <w:r>
        <w:rPr>
          <w:rFonts w:hint="eastAsia" w:ascii="宋体" w:hAnsi="宋体" w:cs="宋体"/>
          <w:sz w:val="24"/>
        </w:rPr>
        <w:t>1.1.2 中标/成交通知书；</w:t>
      </w:r>
    </w:p>
    <w:p w14:paraId="4FA59BAD">
      <w:pPr>
        <w:snapToGrid w:val="0"/>
        <w:spacing w:line="360" w:lineRule="auto"/>
        <w:ind w:firstLine="480" w:firstLineChars="200"/>
        <w:rPr>
          <w:rFonts w:ascii="宋体" w:hAnsi="宋体" w:cs="宋体"/>
          <w:sz w:val="24"/>
        </w:rPr>
      </w:pPr>
      <w:r>
        <w:rPr>
          <w:rFonts w:hint="eastAsia" w:ascii="宋体" w:hAnsi="宋体" w:cs="宋体"/>
          <w:sz w:val="24"/>
        </w:rPr>
        <w:t>1.1.3 投标响应文件（含澄清或者说明文件）；</w:t>
      </w:r>
    </w:p>
    <w:p w14:paraId="47B2BE53">
      <w:pPr>
        <w:snapToGrid w:val="0"/>
        <w:spacing w:line="360" w:lineRule="auto"/>
        <w:ind w:firstLine="480" w:firstLineChars="200"/>
        <w:rPr>
          <w:rFonts w:ascii="宋体" w:hAnsi="宋体" w:cs="宋体"/>
          <w:sz w:val="24"/>
        </w:rPr>
      </w:pPr>
      <w:r>
        <w:rPr>
          <w:rFonts w:hint="eastAsia" w:ascii="宋体" w:hAnsi="宋体" w:cs="宋体"/>
          <w:sz w:val="24"/>
        </w:rPr>
        <w:t>1.1.4 招标文件（含澄清或者修改文件）；</w:t>
      </w:r>
    </w:p>
    <w:p w14:paraId="147232D6">
      <w:pPr>
        <w:snapToGrid w:val="0"/>
        <w:spacing w:line="360" w:lineRule="auto"/>
        <w:ind w:firstLine="480" w:firstLineChars="200"/>
        <w:rPr>
          <w:rFonts w:ascii="宋体" w:hAnsi="宋体" w:cs="宋体"/>
          <w:sz w:val="24"/>
        </w:rPr>
      </w:pPr>
      <w:r>
        <w:rPr>
          <w:rFonts w:hint="eastAsia" w:ascii="宋体" w:hAnsi="宋体" w:cs="宋体"/>
          <w:sz w:val="24"/>
        </w:rPr>
        <w:t>1.1.5 其他相关采购文件。</w:t>
      </w:r>
    </w:p>
    <w:p w14:paraId="6332C366">
      <w:pPr>
        <w:snapToGrid w:val="0"/>
        <w:spacing w:line="360" w:lineRule="auto"/>
        <w:ind w:firstLine="482" w:firstLineChars="200"/>
        <w:outlineLvl w:val="0"/>
        <w:rPr>
          <w:rFonts w:ascii="宋体" w:hAnsi="宋体" w:cs="宋体"/>
          <w:b/>
          <w:sz w:val="24"/>
        </w:rPr>
      </w:pPr>
      <w:bookmarkStart w:id="206" w:name="_Toc6773"/>
      <w:bookmarkStart w:id="207" w:name="_Toc18585"/>
      <w:bookmarkStart w:id="208" w:name="_Toc22185"/>
      <w:bookmarkStart w:id="209" w:name="_Toc2918"/>
      <w:bookmarkStart w:id="210" w:name="_Toc6311"/>
      <w:r>
        <w:rPr>
          <w:rFonts w:hint="eastAsia" w:ascii="宋体" w:hAnsi="宋体" w:cs="宋体"/>
          <w:b/>
          <w:sz w:val="24"/>
        </w:rPr>
        <w:t>1.2 标的</w:t>
      </w:r>
      <w:bookmarkEnd w:id="206"/>
      <w:bookmarkEnd w:id="207"/>
      <w:bookmarkEnd w:id="208"/>
      <w:bookmarkEnd w:id="209"/>
      <w:bookmarkEnd w:id="210"/>
    </w:p>
    <w:p w14:paraId="5C25D788">
      <w:pPr>
        <w:snapToGrid w:val="0"/>
        <w:spacing w:line="360" w:lineRule="auto"/>
        <w:ind w:firstLine="480" w:firstLineChars="200"/>
        <w:rPr>
          <w:rFonts w:ascii="宋体" w:hAnsi="宋体" w:cs="宋体"/>
          <w:sz w:val="24"/>
          <w:u w:val="single"/>
        </w:rPr>
      </w:pPr>
      <w:r>
        <w:rPr>
          <w:rFonts w:hint="eastAsia" w:ascii="宋体" w:hAnsi="宋体" w:cs="宋体"/>
          <w:sz w:val="24"/>
        </w:rPr>
        <w:t>1.2.1 货物名称及数量：</w:t>
      </w:r>
      <w:r>
        <w:rPr>
          <w:rFonts w:hint="eastAsia" w:ascii="宋体" w:hAnsi="宋体" w:cs="宋体"/>
          <w:sz w:val="24"/>
          <w:u w:val="single"/>
        </w:rPr>
        <w:t>A1车型2辆</w:t>
      </w:r>
      <w:r>
        <w:rPr>
          <w:rFonts w:hint="eastAsia" w:ascii="宋体" w:hAnsi="宋体" w:cs="宋体"/>
          <w:sz w:val="24"/>
        </w:rPr>
        <w:t>；</w:t>
      </w:r>
    </w:p>
    <w:p w14:paraId="52817A3B">
      <w:pPr>
        <w:snapToGrid w:val="0"/>
        <w:spacing w:line="360" w:lineRule="auto"/>
        <w:ind w:firstLine="480" w:firstLineChars="200"/>
        <w:rPr>
          <w:rFonts w:ascii="宋体" w:hAnsi="宋体" w:cs="宋体"/>
          <w:sz w:val="24"/>
        </w:rPr>
      </w:pPr>
      <w:r>
        <w:rPr>
          <w:rFonts w:hint="eastAsia" w:ascii="宋体" w:hAnsi="宋体" w:cs="宋体"/>
          <w:sz w:val="24"/>
        </w:rPr>
        <w:t>1.2.2 货物质量：</w:t>
      </w:r>
      <w:r>
        <w:rPr>
          <w:rFonts w:hint="eastAsia" w:ascii="宋体" w:hAnsi="宋体" w:cs="宋体"/>
          <w:sz w:val="24"/>
          <w:u w:val="single"/>
        </w:rPr>
        <w:t xml:space="preserve">   具体按甲方要求     </w:t>
      </w:r>
      <w:r>
        <w:rPr>
          <w:rFonts w:hint="eastAsia" w:ascii="宋体" w:hAnsi="宋体" w:cs="宋体"/>
          <w:sz w:val="24"/>
        </w:rPr>
        <w:t>。</w:t>
      </w:r>
    </w:p>
    <w:p w14:paraId="7D916C71">
      <w:pPr>
        <w:snapToGrid w:val="0"/>
        <w:spacing w:line="360" w:lineRule="auto"/>
        <w:ind w:firstLine="482" w:firstLineChars="200"/>
        <w:outlineLvl w:val="0"/>
        <w:rPr>
          <w:rFonts w:ascii="宋体" w:hAnsi="宋体" w:cs="宋体"/>
          <w:b/>
          <w:sz w:val="24"/>
        </w:rPr>
      </w:pPr>
      <w:bookmarkStart w:id="211" w:name="_Toc5635"/>
      <w:bookmarkStart w:id="212" w:name="_Toc21124"/>
      <w:bookmarkStart w:id="213" w:name="_Toc4929"/>
      <w:bookmarkStart w:id="214" w:name="_Toc1386"/>
      <w:bookmarkStart w:id="215" w:name="_Toc13918"/>
      <w:r>
        <w:rPr>
          <w:rFonts w:hint="eastAsia" w:ascii="宋体" w:hAnsi="宋体" w:cs="宋体"/>
          <w:b/>
          <w:sz w:val="24"/>
        </w:rPr>
        <w:t>1.3 价款</w:t>
      </w:r>
      <w:bookmarkEnd w:id="211"/>
      <w:bookmarkEnd w:id="212"/>
      <w:bookmarkEnd w:id="213"/>
      <w:bookmarkEnd w:id="214"/>
      <w:bookmarkEnd w:id="215"/>
    </w:p>
    <w:p w14:paraId="00DADFD3">
      <w:pPr>
        <w:snapToGrid w:val="0"/>
        <w:spacing w:line="360" w:lineRule="auto"/>
        <w:ind w:firstLine="480" w:firstLineChars="200"/>
        <w:textAlignment w:val="baseline"/>
        <w:rPr>
          <w:rFonts w:ascii="宋体" w:hAnsi="宋体" w:cs="宋体"/>
          <w:sz w:val="24"/>
        </w:rPr>
      </w:pPr>
      <w:r>
        <w:rPr>
          <w:rFonts w:hint="eastAsia" w:ascii="宋体" w:hAnsi="宋体" w:cs="宋体"/>
          <w:sz w:val="24"/>
        </w:rPr>
        <w:t>本合同总价为：</w:t>
      </w:r>
      <w:r>
        <w:rPr>
          <w:rFonts w:hint="eastAsia" w:ascii="宋体" w:hAnsi="宋体" w:cs="宋体"/>
          <w:sz w:val="24"/>
          <w:u w:val="single"/>
        </w:rPr>
        <w:t>¥      元</w:t>
      </w:r>
      <w:r>
        <w:rPr>
          <w:rFonts w:hint="eastAsia" w:ascii="宋体" w:hAnsi="宋体" w:cs="宋体"/>
          <w:sz w:val="24"/>
        </w:rPr>
        <w:t>（大写：</w:t>
      </w:r>
      <w:r>
        <w:rPr>
          <w:rFonts w:hint="eastAsia" w:ascii="宋体" w:hAnsi="宋体" w:cs="宋体"/>
          <w:sz w:val="24"/>
          <w:u w:val="single"/>
        </w:rPr>
        <w:t xml:space="preserve">人民币           </w:t>
      </w:r>
      <w:r>
        <w:rPr>
          <w:rFonts w:hint="eastAsia" w:ascii="宋体" w:hAnsi="宋体" w:cs="宋体"/>
          <w:sz w:val="24"/>
        </w:rPr>
        <w:t xml:space="preserve"> ）。合同价应至少包含但不限于裸车费、运至采购单位指定地点的运输费（包括上、下力）、上门服务费、人工费、成品保护费、交通费、通讯费、垃圾的清理清运费、售后服务费、办公设备费、管理费、利润、税金、政策性文件及为达到甲方要求所包含的所有风险、责任等各项费用。</w:t>
      </w:r>
    </w:p>
    <w:p w14:paraId="6F94AA5F">
      <w:pPr>
        <w:snapToGrid w:val="0"/>
        <w:spacing w:line="360" w:lineRule="auto"/>
        <w:ind w:firstLine="480" w:firstLineChars="200"/>
        <w:rPr>
          <w:rFonts w:ascii="宋体" w:hAnsi="宋体" w:cs="宋体"/>
          <w:sz w:val="24"/>
          <w:u w:val="single"/>
        </w:rPr>
      </w:pPr>
      <w:r>
        <w:rPr>
          <w:rFonts w:hint="eastAsia" w:ascii="宋体" w:hAnsi="宋体" w:cs="宋体"/>
          <w:sz w:val="24"/>
        </w:rPr>
        <w:t>分项价格：</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3402"/>
        <w:gridCol w:w="2552"/>
      </w:tblGrid>
      <w:tr w14:paraId="4443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68" w:type="dxa"/>
            <w:vAlign w:val="center"/>
          </w:tcPr>
          <w:p w14:paraId="0A09C3A9">
            <w:pPr>
              <w:pStyle w:val="244"/>
              <w:spacing w:line="360" w:lineRule="auto"/>
              <w:jc w:val="center"/>
              <w:rPr>
                <w:rFonts w:hAnsi="宋体"/>
                <w:sz w:val="24"/>
                <w:szCs w:val="24"/>
              </w:rPr>
            </w:pPr>
            <w:r>
              <w:rPr>
                <w:rFonts w:hAnsi="宋体"/>
                <w:sz w:val="24"/>
                <w:szCs w:val="24"/>
              </w:rPr>
              <w:t>序号</w:t>
            </w:r>
          </w:p>
        </w:tc>
        <w:tc>
          <w:tcPr>
            <w:tcW w:w="3402" w:type="dxa"/>
            <w:vAlign w:val="center"/>
          </w:tcPr>
          <w:p w14:paraId="0BE5104C">
            <w:pPr>
              <w:pStyle w:val="244"/>
              <w:spacing w:line="360" w:lineRule="auto"/>
              <w:ind w:firstLine="200"/>
              <w:jc w:val="center"/>
              <w:rPr>
                <w:rFonts w:hAnsi="宋体"/>
                <w:sz w:val="24"/>
                <w:szCs w:val="24"/>
              </w:rPr>
            </w:pPr>
            <w:r>
              <w:rPr>
                <w:rFonts w:hAnsi="宋体"/>
                <w:sz w:val="24"/>
                <w:szCs w:val="24"/>
              </w:rPr>
              <w:t>分项名称</w:t>
            </w:r>
          </w:p>
        </w:tc>
        <w:tc>
          <w:tcPr>
            <w:tcW w:w="2552" w:type="dxa"/>
            <w:vAlign w:val="center"/>
          </w:tcPr>
          <w:p w14:paraId="36564F47">
            <w:pPr>
              <w:pStyle w:val="244"/>
              <w:spacing w:line="360" w:lineRule="auto"/>
              <w:jc w:val="center"/>
              <w:rPr>
                <w:rFonts w:hAnsi="宋体"/>
                <w:sz w:val="24"/>
                <w:szCs w:val="24"/>
              </w:rPr>
            </w:pPr>
            <w:r>
              <w:rPr>
                <w:rFonts w:hAnsi="宋体"/>
                <w:sz w:val="24"/>
                <w:szCs w:val="24"/>
              </w:rPr>
              <w:t>分项价格</w:t>
            </w:r>
          </w:p>
        </w:tc>
      </w:tr>
      <w:tr w14:paraId="07C6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68" w:type="dxa"/>
            <w:vAlign w:val="center"/>
          </w:tcPr>
          <w:p w14:paraId="5742ED80">
            <w:pPr>
              <w:pStyle w:val="244"/>
              <w:spacing w:line="360" w:lineRule="auto"/>
              <w:ind w:firstLine="200"/>
              <w:jc w:val="center"/>
              <w:rPr>
                <w:rFonts w:hAnsi="宋体"/>
                <w:sz w:val="24"/>
                <w:szCs w:val="24"/>
              </w:rPr>
            </w:pPr>
          </w:p>
        </w:tc>
        <w:tc>
          <w:tcPr>
            <w:tcW w:w="3402" w:type="dxa"/>
            <w:vAlign w:val="center"/>
          </w:tcPr>
          <w:p w14:paraId="1FB6CA51">
            <w:pPr>
              <w:pStyle w:val="244"/>
              <w:spacing w:line="360" w:lineRule="auto"/>
              <w:ind w:firstLine="200"/>
              <w:jc w:val="center"/>
              <w:rPr>
                <w:rFonts w:hAnsi="宋体"/>
                <w:sz w:val="24"/>
                <w:szCs w:val="24"/>
              </w:rPr>
            </w:pPr>
          </w:p>
        </w:tc>
        <w:tc>
          <w:tcPr>
            <w:tcW w:w="2552" w:type="dxa"/>
            <w:vAlign w:val="center"/>
          </w:tcPr>
          <w:p w14:paraId="50050B15">
            <w:pPr>
              <w:pStyle w:val="244"/>
              <w:spacing w:line="360" w:lineRule="auto"/>
              <w:ind w:firstLine="200"/>
              <w:jc w:val="center"/>
              <w:rPr>
                <w:rFonts w:hAnsi="宋体"/>
                <w:sz w:val="24"/>
                <w:szCs w:val="24"/>
              </w:rPr>
            </w:pPr>
          </w:p>
        </w:tc>
      </w:tr>
      <w:tr w14:paraId="444E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68" w:type="dxa"/>
            <w:vAlign w:val="center"/>
          </w:tcPr>
          <w:p w14:paraId="7C875EAA">
            <w:pPr>
              <w:pStyle w:val="244"/>
              <w:spacing w:line="360" w:lineRule="auto"/>
              <w:ind w:firstLine="200"/>
              <w:jc w:val="center"/>
              <w:rPr>
                <w:rFonts w:hAnsi="宋体"/>
                <w:sz w:val="24"/>
                <w:szCs w:val="24"/>
              </w:rPr>
            </w:pPr>
          </w:p>
        </w:tc>
        <w:tc>
          <w:tcPr>
            <w:tcW w:w="3402" w:type="dxa"/>
            <w:vAlign w:val="center"/>
          </w:tcPr>
          <w:p w14:paraId="2244DBB2">
            <w:pPr>
              <w:pStyle w:val="244"/>
              <w:spacing w:line="360" w:lineRule="auto"/>
              <w:ind w:firstLine="200"/>
              <w:jc w:val="center"/>
              <w:rPr>
                <w:rFonts w:hAnsi="宋体"/>
                <w:sz w:val="24"/>
                <w:szCs w:val="24"/>
              </w:rPr>
            </w:pPr>
          </w:p>
        </w:tc>
        <w:tc>
          <w:tcPr>
            <w:tcW w:w="2552" w:type="dxa"/>
            <w:vAlign w:val="center"/>
          </w:tcPr>
          <w:p w14:paraId="7DE95A6E">
            <w:pPr>
              <w:pStyle w:val="244"/>
              <w:spacing w:line="360" w:lineRule="auto"/>
              <w:ind w:firstLine="200"/>
              <w:jc w:val="center"/>
              <w:rPr>
                <w:rFonts w:hAnsi="宋体"/>
                <w:sz w:val="24"/>
                <w:szCs w:val="24"/>
              </w:rPr>
            </w:pPr>
          </w:p>
        </w:tc>
      </w:tr>
      <w:tr w14:paraId="6417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0" w:type="dxa"/>
            <w:gridSpan w:val="2"/>
            <w:vAlign w:val="center"/>
          </w:tcPr>
          <w:p w14:paraId="180C076C">
            <w:pPr>
              <w:pStyle w:val="244"/>
              <w:spacing w:line="360" w:lineRule="auto"/>
              <w:ind w:firstLine="200"/>
              <w:jc w:val="center"/>
              <w:rPr>
                <w:rFonts w:hAnsi="宋体"/>
                <w:sz w:val="24"/>
                <w:szCs w:val="24"/>
              </w:rPr>
            </w:pPr>
            <w:r>
              <w:rPr>
                <w:rFonts w:hAnsi="宋体"/>
                <w:sz w:val="24"/>
                <w:szCs w:val="24"/>
              </w:rPr>
              <w:t>总价</w:t>
            </w:r>
          </w:p>
        </w:tc>
        <w:tc>
          <w:tcPr>
            <w:tcW w:w="2552" w:type="dxa"/>
            <w:vAlign w:val="center"/>
          </w:tcPr>
          <w:p w14:paraId="0E700AE7">
            <w:pPr>
              <w:pStyle w:val="244"/>
              <w:spacing w:line="360" w:lineRule="auto"/>
              <w:ind w:firstLine="200"/>
              <w:jc w:val="center"/>
              <w:rPr>
                <w:rFonts w:hAnsi="宋体"/>
                <w:sz w:val="24"/>
                <w:szCs w:val="24"/>
              </w:rPr>
            </w:pPr>
          </w:p>
        </w:tc>
      </w:tr>
    </w:tbl>
    <w:p w14:paraId="45DC32DC">
      <w:pPr>
        <w:snapToGrid w:val="0"/>
        <w:spacing w:line="360" w:lineRule="auto"/>
        <w:ind w:firstLine="480" w:firstLineChars="200"/>
        <w:rPr>
          <w:rFonts w:ascii="宋体" w:hAnsi="宋体" w:cs="宋体"/>
          <w:b/>
          <w:sz w:val="24"/>
        </w:rPr>
      </w:pPr>
      <w:r>
        <w:rPr>
          <w:rFonts w:hint="eastAsia" w:ascii="宋体" w:hAnsi="宋体" w:cs="宋体"/>
          <w:sz w:val="24"/>
        </w:rPr>
        <w:t>甲方</w:t>
      </w:r>
      <w:r>
        <w:rPr>
          <w:rFonts w:hint="eastAsia" w:ascii="宋体" w:hAnsi="宋体" w:cs="宋体"/>
          <w:sz w:val="24"/>
          <w:lang w:val="zh-CN"/>
        </w:rPr>
        <w:t>如需追加</w:t>
      </w:r>
      <w:r>
        <w:rPr>
          <w:rFonts w:hint="eastAsia" w:ascii="宋体" w:hAnsi="宋体" w:cs="宋体"/>
          <w:sz w:val="24"/>
        </w:rPr>
        <w:t>货物的数量</w:t>
      </w:r>
      <w:r>
        <w:rPr>
          <w:rFonts w:hint="eastAsia" w:ascii="宋体" w:hAnsi="宋体" w:cs="宋体"/>
          <w:sz w:val="24"/>
          <w:lang w:val="zh-CN"/>
        </w:rPr>
        <w:t>，</w:t>
      </w:r>
      <w:r>
        <w:rPr>
          <w:rFonts w:hint="eastAsia" w:ascii="宋体" w:hAnsi="宋体" w:cs="宋体"/>
          <w:sz w:val="24"/>
        </w:rPr>
        <w:t>乙方</w:t>
      </w:r>
      <w:r>
        <w:rPr>
          <w:rFonts w:hint="eastAsia" w:ascii="宋体" w:hAnsi="宋体" w:cs="宋体"/>
          <w:sz w:val="24"/>
          <w:lang w:val="zh-CN"/>
        </w:rPr>
        <w:t>需按</w:t>
      </w:r>
      <w:r>
        <w:rPr>
          <w:rFonts w:hint="eastAsia" w:ascii="宋体" w:hAnsi="宋体" w:cs="宋体"/>
          <w:sz w:val="24"/>
        </w:rPr>
        <w:t>甲方</w:t>
      </w:r>
      <w:r>
        <w:rPr>
          <w:rFonts w:hint="eastAsia" w:ascii="宋体" w:hAnsi="宋体" w:cs="宋体"/>
          <w:sz w:val="24"/>
          <w:lang w:val="zh-CN"/>
        </w:rPr>
        <w:t>要求供货，</w:t>
      </w:r>
      <w:r>
        <w:rPr>
          <w:rFonts w:hint="eastAsia" w:ascii="宋体" w:hAnsi="宋体" w:cs="宋体"/>
          <w:sz w:val="24"/>
        </w:rPr>
        <w:t>按合同</w:t>
      </w:r>
      <w:r>
        <w:rPr>
          <w:rFonts w:hint="eastAsia" w:ascii="宋体" w:hAnsi="宋体" w:cs="宋体"/>
          <w:sz w:val="24"/>
          <w:lang w:val="zh-CN"/>
        </w:rPr>
        <w:t>单价*实际供货量进行结算。本次采购</w:t>
      </w:r>
      <w:r>
        <w:rPr>
          <w:rFonts w:hint="eastAsia" w:ascii="宋体" w:hAnsi="宋体" w:cs="宋体"/>
          <w:sz w:val="24"/>
        </w:rPr>
        <w:t>合同</w:t>
      </w:r>
      <w:r>
        <w:rPr>
          <w:rFonts w:hint="eastAsia" w:ascii="宋体" w:hAnsi="宋体" w:cs="宋体"/>
          <w:sz w:val="24"/>
          <w:lang w:val="zh-CN"/>
        </w:rPr>
        <w:t>单价一年内有效，如后期增加按此单价结算。</w:t>
      </w:r>
    </w:p>
    <w:p w14:paraId="4B93629A">
      <w:pPr>
        <w:snapToGrid w:val="0"/>
        <w:spacing w:line="360" w:lineRule="auto"/>
        <w:ind w:firstLine="482" w:firstLineChars="200"/>
        <w:rPr>
          <w:rFonts w:ascii="宋体" w:hAnsi="宋体" w:cs="宋体"/>
          <w:b/>
          <w:sz w:val="24"/>
        </w:rPr>
      </w:pPr>
      <w:r>
        <w:rPr>
          <w:rFonts w:hint="eastAsia" w:ascii="宋体" w:hAnsi="宋体" w:cs="宋体"/>
          <w:b/>
          <w:sz w:val="24"/>
        </w:rPr>
        <w:t>1.4 付款方式和发票开具方式</w:t>
      </w:r>
    </w:p>
    <w:p w14:paraId="243F943A">
      <w:pPr>
        <w:snapToGrid w:val="0"/>
        <w:spacing w:line="360" w:lineRule="auto"/>
        <w:ind w:firstLine="480" w:firstLineChars="200"/>
        <w:rPr>
          <w:rFonts w:ascii="宋体" w:hAnsi="宋体" w:cs="宋体"/>
          <w:sz w:val="24"/>
        </w:rPr>
      </w:pPr>
      <w:r>
        <w:rPr>
          <w:rFonts w:hint="eastAsia" w:ascii="宋体" w:hAnsi="宋体" w:cs="宋体"/>
          <w:sz w:val="24"/>
        </w:rPr>
        <w:t>1.4.1付款方式：</w:t>
      </w:r>
      <w:r>
        <w:rPr>
          <w:rFonts w:hint="eastAsia" w:ascii="宋体" w:hAnsi="宋体" w:cs="宋体"/>
          <w:sz w:val="24"/>
          <w:u w:val="single"/>
        </w:rPr>
        <w:t xml:space="preserve">银行转账（收款名：       账号：      开户行：    ） </w:t>
      </w:r>
      <w:r>
        <w:rPr>
          <w:rFonts w:hint="eastAsia" w:ascii="宋体" w:hAnsi="宋体" w:cs="宋体"/>
          <w:sz w:val="24"/>
        </w:rPr>
        <w:t>；</w:t>
      </w:r>
    </w:p>
    <w:p w14:paraId="70183677">
      <w:pPr>
        <w:snapToGrid w:val="0"/>
        <w:spacing w:line="360" w:lineRule="auto"/>
        <w:ind w:firstLine="480" w:firstLineChars="200"/>
        <w:rPr>
          <w:rFonts w:ascii="宋体" w:hAnsi="宋体" w:cs="宋体"/>
          <w:sz w:val="24"/>
        </w:rPr>
      </w:pPr>
      <w:r>
        <w:rPr>
          <w:rFonts w:hint="eastAsia" w:ascii="宋体" w:hAnsi="宋体" w:cs="宋体"/>
          <w:sz w:val="24"/>
        </w:rPr>
        <w:t>1.4.2 发票开具方式：</w:t>
      </w:r>
      <w:r>
        <w:rPr>
          <w:rFonts w:hint="eastAsia" w:ascii="宋体" w:hAnsi="宋体" w:cs="宋体"/>
          <w:sz w:val="24"/>
          <w:u w:val="single"/>
        </w:rPr>
        <w:t xml:space="preserve">纸质税务发票或电子税务发票，且须符合甲方财务制度规定 </w:t>
      </w:r>
      <w:r>
        <w:rPr>
          <w:rFonts w:hint="eastAsia" w:ascii="宋体" w:hAnsi="宋体" w:cs="宋体"/>
          <w:sz w:val="24"/>
        </w:rPr>
        <w:t>。</w:t>
      </w:r>
    </w:p>
    <w:p w14:paraId="0837E859">
      <w:pPr>
        <w:snapToGrid w:val="0"/>
        <w:spacing w:line="360" w:lineRule="auto"/>
        <w:ind w:firstLine="482" w:firstLineChars="200"/>
        <w:outlineLvl w:val="0"/>
        <w:rPr>
          <w:rFonts w:ascii="宋体" w:hAnsi="宋体" w:cs="宋体"/>
          <w:b/>
          <w:sz w:val="24"/>
        </w:rPr>
      </w:pPr>
      <w:bookmarkStart w:id="216" w:name="_Toc8772"/>
      <w:bookmarkStart w:id="217" w:name="_Toc4760"/>
      <w:bookmarkStart w:id="218" w:name="_Toc3625"/>
      <w:bookmarkStart w:id="219" w:name="_Toc11108"/>
      <w:bookmarkStart w:id="220" w:name="_Toc31421"/>
      <w:r>
        <w:rPr>
          <w:rFonts w:hint="eastAsia" w:ascii="宋体" w:hAnsi="宋体" w:cs="宋体"/>
          <w:b/>
          <w:sz w:val="24"/>
        </w:rPr>
        <w:t xml:space="preserve">1.5 </w:t>
      </w:r>
      <w:bookmarkEnd w:id="216"/>
      <w:bookmarkEnd w:id="217"/>
      <w:bookmarkEnd w:id="218"/>
      <w:bookmarkEnd w:id="219"/>
      <w:bookmarkEnd w:id="220"/>
      <w:r>
        <w:rPr>
          <w:rFonts w:hint="eastAsia" w:ascii="宋体" w:hAnsi="宋体" w:cs="宋体"/>
          <w:b/>
          <w:sz w:val="24"/>
        </w:rPr>
        <w:t>货物交付期限、地点和方式</w:t>
      </w:r>
    </w:p>
    <w:p w14:paraId="735FA60C">
      <w:pPr>
        <w:snapToGrid w:val="0"/>
        <w:spacing w:line="360" w:lineRule="auto"/>
        <w:ind w:firstLine="480" w:firstLineChars="200"/>
        <w:rPr>
          <w:rFonts w:ascii="宋体" w:hAnsi="宋体" w:cs="宋体"/>
          <w:sz w:val="24"/>
          <w:u w:val="single"/>
        </w:rPr>
      </w:pPr>
      <w:r>
        <w:rPr>
          <w:rFonts w:hint="eastAsia" w:ascii="宋体" w:hAnsi="宋体" w:cs="宋体"/>
          <w:sz w:val="24"/>
        </w:rPr>
        <w:t>1.5.1 交付期限：</w:t>
      </w:r>
      <w:r>
        <w:rPr>
          <w:rFonts w:hint="eastAsia" w:ascii="宋体" w:hAnsi="宋体" w:cs="宋体"/>
          <w:sz w:val="24"/>
          <w:u w:val="single"/>
        </w:rPr>
        <w:t xml:space="preserve"> 日历天  </w:t>
      </w:r>
      <w:r>
        <w:rPr>
          <w:rFonts w:hint="eastAsia" w:ascii="宋体" w:hAnsi="宋体" w:cs="宋体"/>
          <w:sz w:val="24"/>
        </w:rPr>
        <w:t>；</w:t>
      </w:r>
    </w:p>
    <w:p w14:paraId="15A0016A">
      <w:pPr>
        <w:snapToGrid w:val="0"/>
        <w:spacing w:line="360" w:lineRule="auto"/>
        <w:ind w:firstLine="480" w:firstLineChars="200"/>
        <w:rPr>
          <w:rFonts w:ascii="宋体" w:hAnsi="宋体" w:cs="宋体"/>
          <w:sz w:val="24"/>
        </w:rPr>
      </w:pPr>
      <w:r>
        <w:rPr>
          <w:rFonts w:hint="eastAsia" w:ascii="宋体" w:hAnsi="宋体" w:cs="宋体"/>
          <w:sz w:val="24"/>
        </w:rPr>
        <w:t>1.5.2 交付地点：</w:t>
      </w:r>
      <w:r>
        <w:rPr>
          <w:rFonts w:hint="eastAsia" w:ascii="宋体" w:hAnsi="宋体" w:cs="宋体"/>
          <w:sz w:val="24"/>
          <w:u w:val="single"/>
        </w:rPr>
        <w:t xml:space="preserve"> 甲方指定地点 </w:t>
      </w:r>
      <w:r>
        <w:rPr>
          <w:rFonts w:hint="eastAsia" w:ascii="宋体" w:hAnsi="宋体" w:cs="宋体"/>
          <w:sz w:val="24"/>
        </w:rPr>
        <w:t>；</w:t>
      </w:r>
    </w:p>
    <w:p w14:paraId="23C0A077">
      <w:pPr>
        <w:snapToGrid w:val="0"/>
        <w:spacing w:line="360" w:lineRule="auto"/>
        <w:ind w:firstLine="480" w:firstLineChars="200"/>
        <w:rPr>
          <w:rFonts w:ascii="宋体" w:hAnsi="宋体" w:cs="宋体"/>
          <w:sz w:val="24"/>
        </w:rPr>
      </w:pPr>
      <w:r>
        <w:rPr>
          <w:rFonts w:hint="eastAsia" w:ascii="宋体" w:hAnsi="宋体" w:cs="宋体"/>
          <w:sz w:val="24"/>
        </w:rPr>
        <w:t>1.5.3 交付方式：</w:t>
      </w:r>
      <w:r>
        <w:rPr>
          <w:rFonts w:hint="eastAsia" w:ascii="宋体" w:hAnsi="宋体" w:cs="宋体"/>
          <w:sz w:val="24"/>
          <w:u w:val="single"/>
        </w:rPr>
        <w:t xml:space="preserve"> 按甲方要求 </w:t>
      </w:r>
      <w:r>
        <w:rPr>
          <w:rFonts w:hint="eastAsia" w:ascii="宋体" w:hAnsi="宋体" w:cs="宋体"/>
          <w:sz w:val="24"/>
        </w:rPr>
        <w:t>。</w:t>
      </w:r>
    </w:p>
    <w:p w14:paraId="3AB89D53">
      <w:pPr>
        <w:snapToGrid w:val="0"/>
        <w:spacing w:line="360" w:lineRule="auto"/>
        <w:ind w:firstLine="482" w:firstLineChars="200"/>
        <w:outlineLvl w:val="0"/>
        <w:rPr>
          <w:rFonts w:ascii="宋体" w:hAnsi="宋体" w:cs="宋体"/>
          <w:b/>
          <w:sz w:val="24"/>
        </w:rPr>
      </w:pPr>
      <w:bookmarkStart w:id="221" w:name="_Toc19554"/>
      <w:bookmarkStart w:id="222" w:name="_Toc21423"/>
      <w:bookmarkStart w:id="223" w:name="_Toc27250"/>
      <w:r>
        <w:rPr>
          <w:rFonts w:hint="eastAsia" w:ascii="宋体" w:hAnsi="宋体" w:cs="宋体"/>
          <w:b/>
          <w:sz w:val="24"/>
        </w:rPr>
        <w:t>1.6 违约责任</w:t>
      </w:r>
      <w:bookmarkEnd w:id="221"/>
      <w:bookmarkEnd w:id="222"/>
      <w:bookmarkEnd w:id="223"/>
    </w:p>
    <w:p w14:paraId="75D38420">
      <w:pPr>
        <w:snapToGrid w:val="0"/>
        <w:spacing w:line="360" w:lineRule="auto"/>
        <w:ind w:firstLine="480" w:firstLineChars="200"/>
        <w:rPr>
          <w:rFonts w:ascii="宋体" w:hAnsi="宋体" w:cs="宋体"/>
          <w:sz w:val="24"/>
        </w:rPr>
      </w:pPr>
      <w:r>
        <w:rPr>
          <w:rFonts w:hint="eastAsia" w:ascii="宋体" w:hAnsi="宋体" w:cs="宋体"/>
          <w:sz w:val="24"/>
        </w:rPr>
        <w:t>1.6.1 除不可抗力外，如果乙方没有按照本合同约定的期限、地点和方式交付货物，那么甲方可要求乙方支付违约金，违约金按每迟延交付货物一日的应交付而未交付货物价格的</w:t>
      </w:r>
      <w:r>
        <w:rPr>
          <w:rFonts w:ascii="宋体" w:hAnsi="宋体" w:cs="宋体"/>
          <w:sz w:val="24"/>
          <w:u w:val="single"/>
        </w:rPr>
        <w:t xml:space="preserve"> 1 </w:t>
      </w:r>
      <w:r>
        <w:rPr>
          <w:rFonts w:hint="eastAsia" w:ascii="宋体" w:hAnsi="宋体" w:cs="宋体"/>
          <w:sz w:val="24"/>
          <w:u w:val="single"/>
        </w:rPr>
        <w:t>‰</w:t>
      </w:r>
      <w:r>
        <w:rPr>
          <w:rFonts w:hint="eastAsia" w:ascii="宋体" w:hAnsi="宋体" w:cs="宋体"/>
          <w:sz w:val="24"/>
        </w:rPr>
        <w:t>计算，最高限额为本合同总价的</w:t>
      </w:r>
      <w:r>
        <w:rPr>
          <w:rFonts w:hint="eastAsia" w:ascii="宋体" w:hAnsi="宋体" w:cs="宋体"/>
          <w:sz w:val="24"/>
          <w:u w:val="single"/>
        </w:rPr>
        <w:t xml:space="preserve"> 10</w:t>
      </w:r>
      <w:r>
        <w:rPr>
          <w:rFonts w:hint="eastAsia" w:ascii="宋体" w:hAnsi="宋体" w:cs="宋体"/>
          <w:sz w:val="24"/>
        </w:rPr>
        <w:t>%；迟延交付货物的违约金计算数额达到前述最高限额之日起，甲方有权在要求乙方支付违约金的同时，书面通知乙方解除本合同；</w:t>
      </w:r>
    </w:p>
    <w:p w14:paraId="39F34C0E">
      <w:pPr>
        <w:snapToGrid w:val="0"/>
        <w:spacing w:line="360" w:lineRule="auto"/>
        <w:ind w:firstLine="480" w:firstLineChars="200"/>
        <w:rPr>
          <w:rFonts w:ascii="宋体" w:hAnsi="宋体" w:cs="宋体"/>
          <w:sz w:val="24"/>
        </w:rPr>
      </w:pPr>
      <w:r>
        <w:rPr>
          <w:rFonts w:hint="eastAsia" w:ascii="宋体" w:hAnsi="宋体" w:cs="宋体"/>
          <w:sz w:val="24"/>
        </w:rPr>
        <w:t>1.6.2 除不可抗力外，如果甲方没有按照本合同约定的付款方式付款，那么乙方可要求甲方支付违约金，违约金按每迟延付款一日的应付而未付款的</w:t>
      </w:r>
      <w:r>
        <w:rPr>
          <w:rFonts w:hint="eastAsia" w:ascii="宋体" w:hAnsi="宋体"/>
          <w:sz w:val="24"/>
          <w:u w:val="single"/>
        </w:rPr>
        <w:t xml:space="preserve"> / </w:t>
      </w:r>
      <w:r>
        <w:rPr>
          <w:rFonts w:hint="eastAsia" w:ascii="宋体" w:hAnsi="宋体" w:cs="宋体"/>
          <w:sz w:val="24"/>
        </w:rPr>
        <w:t>%计算，最高限额为本合同总价的</w:t>
      </w:r>
      <w:r>
        <w:rPr>
          <w:rFonts w:hint="eastAsia" w:ascii="宋体" w:hAnsi="宋体"/>
          <w:sz w:val="24"/>
          <w:u w:val="single"/>
        </w:rPr>
        <w:t xml:space="preserve"> / </w:t>
      </w:r>
      <w:r>
        <w:rPr>
          <w:rFonts w:hint="eastAsia" w:ascii="宋体" w:hAnsi="宋体" w:cs="宋体"/>
          <w:sz w:val="24"/>
        </w:rPr>
        <w:t>%；迟延付款的违约金计算数额达到前述最高限额之日起，乙方有权在要求甲方支付违约金的同时，书面通知甲方解除本合同；</w:t>
      </w:r>
    </w:p>
    <w:p w14:paraId="73324D6F">
      <w:pPr>
        <w:snapToGrid w:val="0"/>
        <w:spacing w:line="360" w:lineRule="auto"/>
        <w:ind w:firstLine="480" w:firstLineChars="200"/>
        <w:rPr>
          <w:rFonts w:ascii="宋体" w:hAnsi="宋体" w:cs="宋体"/>
          <w:sz w:val="24"/>
        </w:rPr>
      </w:pPr>
      <w:r>
        <w:rPr>
          <w:rFonts w:hint="eastAsia" w:ascii="宋体" w:hAnsi="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F78A5B5">
      <w:pPr>
        <w:snapToGrid w:val="0"/>
        <w:spacing w:line="360" w:lineRule="auto"/>
        <w:ind w:firstLine="480" w:firstLineChars="200"/>
        <w:rPr>
          <w:rFonts w:ascii="宋体" w:hAnsi="宋体" w:cs="宋体"/>
          <w:sz w:val="24"/>
        </w:rPr>
      </w:pPr>
      <w:r>
        <w:rPr>
          <w:rFonts w:hint="eastAsia" w:ascii="宋体" w:hAnsi="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0744FEC">
      <w:pPr>
        <w:snapToGrid w:val="0"/>
        <w:spacing w:line="360" w:lineRule="auto"/>
        <w:ind w:firstLine="480" w:firstLineChars="200"/>
        <w:rPr>
          <w:rFonts w:ascii="宋体" w:hAnsi="宋体" w:cs="宋体"/>
          <w:sz w:val="24"/>
        </w:rPr>
      </w:pPr>
      <w:r>
        <w:rPr>
          <w:rFonts w:hint="eastAsia" w:ascii="宋体" w:hAnsi="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10F391E">
      <w:pPr>
        <w:snapToGrid w:val="0"/>
        <w:spacing w:line="360" w:lineRule="auto"/>
        <w:ind w:firstLine="480" w:firstLineChars="200"/>
        <w:rPr>
          <w:rFonts w:ascii="宋体" w:hAnsi="宋体" w:cs="宋体"/>
          <w:sz w:val="24"/>
        </w:rPr>
      </w:pPr>
      <w:r>
        <w:rPr>
          <w:rFonts w:hint="eastAsia" w:ascii="宋体" w:hAnsi="宋体" w:cs="宋体"/>
          <w:sz w:val="24"/>
        </w:rPr>
        <w:t>1.6.6 如果出现政府采购监督管理部门在处理投诉事项期间，书面通知甲方暂停采购活动的情形，或者询问或质疑事项可能影响成交结果的，导致甲方中止履行合同的情形，均不视为甲方违约。</w:t>
      </w:r>
    </w:p>
    <w:p w14:paraId="2CBBD023">
      <w:pPr>
        <w:snapToGrid w:val="0"/>
        <w:spacing w:line="360" w:lineRule="auto"/>
        <w:ind w:firstLine="482" w:firstLineChars="200"/>
        <w:outlineLvl w:val="0"/>
        <w:rPr>
          <w:rFonts w:ascii="宋体" w:hAnsi="宋体" w:cs="宋体"/>
          <w:b/>
          <w:sz w:val="24"/>
        </w:rPr>
      </w:pPr>
      <w:bookmarkStart w:id="224" w:name="_Toc28375"/>
      <w:bookmarkStart w:id="225" w:name="_Toc16021"/>
      <w:bookmarkStart w:id="226" w:name="_Toc15583"/>
      <w:r>
        <w:rPr>
          <w:rFonts w:hint="eastAsia" w:ascii="宋体" w:hAnsi="宋体" w:cs="宋体"/>
          <w:b/>
          <w:sz w:val="24"/>
        </w:rPr>
        <w:t>1.7 合同争议的解决</w:t>
      </w:r>
      <w:bookmarkEnd w:id="224"/>
      <w:bookmarkEnd w:id="225"/>
      <w:bookmarkEnd w:id="226"/>
    </w:p>
    <w:p w14:paraId="497E5028">
      <w:pPr>
        <w:snapToGrid w:val="0"/>
        <w:spacing w:line="360" w:lineRule="auto"/>
        <w:ind w:firstLine="480" w:firstLineChars="200"/>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本合同履行过程中发生的任何争议，双方当事人均可通过和解或者调解解决；不愿和解、调解或者和解、调解不成的，可以选择下列第</w:t>
      </w:r>
      <w:r>
        <w:rPr>
          <w:rFonts w:hint="eastAsia" w:ascii="宋体" w:hAnsi="宋体" w:cs="宋体"/>
          <w:sz w:val="24"/>
          <w:u w:val="single"/>
        </w:rPr>
        <w:t xml:space="preserve"> 2 </w:t>
      </w:r>
      <w:r>
        <w:rPr>
          <w:rFonts w:hint="eastAsia" w:ascii="宋体" w:hAnsi="宋体" w:cs="宋体"/>
          <w:sz w:val="24"/>
        </w:rPr>
        <w:t>种方式解决：</w:t>
      </w:r>
    </w:p>
    <w:p w14:paraId="36A35772">
      <w:pPr>
        <w:snapToGrid w:val="0"/>
        <w:spacing w:line="360" w:lineRule="auto"/>
        <w:ind w:firstLine="480" w:firstLineChars="200"/>
        <w:rPr>
          <w:rFonts w:ascii="宋体" w:hAnsi="宋体" w:cs="宋体"/>
          <w:sz w:val="24"/>
        </w:rPr>
      </w:pPr>
      <w:r>
        <w:rPr>
          <w:rFonts w:hint="eastAsia" w:ascii="宋体" w:hAnsi="宋体" w:cs="宋体"/>
          <w:sz w:val="24"/>
        </w:rPr>
        <w:t>1.7.1 将争议提交</w:t>
      </w:r>
      <w:r>
        <w:rPr>
          <w:rFonts w:hint="eastAsia" w:ascii="宋体" w:hAnsi="宋体" w:cs="宋体"/>
          <w:sz w:val="24"/>
          <w:u w:val="single"/>
        </w:rPr>
        <w:t xml:space="preserve"> 南通 </w:t>
      </w:r>
      <w:r>
        <w:rPr>
          <w:rFonts w:hint="eastAsia" w:ascii="宋体" w:hAnsi="宋体" w:cs="宋体"/>
          <w:sz w:val="24"/>
        </w:rPr>
        <w:t>仲裁委员会依申请仲裁时其现行有效的仲裁规则裁决；</w:t>
      </w:r>
    </w:p>
    <w:p w14:paraId="19F44793">
      <w:pPr>
        <w:snapToGrid w:val="0"/>
        <w:spacing w:line="360" w:lineRule="auto"/>
        <w:ind w:firstLine="480" w:firstLineChars="200"/>
        <w:rPr>
          <w:rFonts w:ascii="宋体" w:hAnsi="宋体" w:cs="宋体"/>
          <w:sz w:val="24"/>
        </w:rPr>
      </w:pPr>
      <w:r>
        <w:rPr>
          <w:rFonts w:hint="eastAsia" w:ascii="宋体" w:hAnsi="宋体" w:cs="宋体"/>
          <w:sz w:val="24"/>
        </w:rPr>
        <w:t>1.7.2 向</w:t>
      </w:r>
      <w:r>
        <w:rPr>
          <w:rFonts w:hint="eastAsia" w:ascii="宋体" w:hAnsi="宋体" w:cs="宋体"/>
          <w:sz w:val="24"/>
          <w:u w:val="single"/>
        </w:rPr>
        <w:t xml:space="preserve">  南通市崇川区   </w:t>
      </w:r>
      <w:r>
        <w:rPr>
          <w:rFonts w:hint="eastAsia" w:ascii="宋体" w:hAnsi="宋体" w:cs="宋体"/>
          <w:sz w:val="24"/>
        </w:rPr>
        <w:t>人民法院起诉。</w:t>
      </w:r>
    </w:p>
    <w:p w14:paraId="737D4DB9">
      <w:pPr>
        <w:snapToGrid w:val="0"/>
        <w:spacing w:line="360" w:lineRule="auto"/>
        <w:ind w:firstLine="482" w:firstLineChars="200"/>
        <w:outlineLvl w:val="0"/>
        <w:rPr>
          <w:rFonts w:ascii="宋体" w:hAnsi="宋体" w:cs="宋体"/>
          <w:b/>
          <w:sz w:val="24"/>
        </w:rPr>
      </w:pPr>
      <w:bookmarkStart w:id="227" w:name="_Toc7245"/>
      <w:bookmarkStart w:id="228" w:name="_Toc15322"/>
      <w:bookmarkStart w:id="229" w:name="_Toc11173"/>
      <w:r>
        <w:rPr>
          <w:rFonts w:hint="eastAsia" w:ascii="宋体" w:hAnsi="宋体" w:cs="宋体"/>
          <w:b/>
          <w:sz w:val="24"/>
        </w:rPr>
        <w:t>1.8 合同生效</w:t>
      </w:r>
      <w:bookmarkEnd w:id="227"/>
      <w:bookmarkEnd w:id="228"/>
      <w:bookmarkEnd w:id="229"/>
    </w:p>
    <w:p w14:paraId="4E22C9F0">
      <w:pPr>
        <w:snapToGrid w:val="0"/>
        <w:spacing w:line="360" w:lineRule="auto"/>
        <w:ind w:firstLine="480" w:firstLineChars="200"/>
        <w:rPr>
          <w:rFonts w:ascii="宋体" w:hAnsi="宋体" w:cs="宋体"/>
          <w:b/>
          <w:sz w:val="24"/>
        </w:rPr>
      </w:pPr>
      <w:r>
        <w:rPr>
          <w:rFonts w:hint="eastAsia" w:ascii="宋体" w:hAnsi="宋体" w:cs="宋体"/>
          <w:sz w:val="24"/>
        </w:rPr>
        <w:t>本合同自双方当事人盖章或者签字时生效。</w:t>
      </w:r>
    </w:p>
    <w:p w14:paraId="4A772157">
      <w:pPr>
        <w:autoSpaceDE w:val="0"/>
        <w:autoSpaceDN w:val="0"/>
        <w:adjustRightInd w:val="0"/>
        <w:snapToGrid w:val="0"/>
        <w:spacing w:line="360" w:lineRule="auto"/>
        <w:rPr>
          <w:rFonts w:ascii="宋体" w:hAnsi="宋体" w:cs="宋体"/>
          <w:sz w:val="24"/>
          <w:lang w:val="zh-CN"/>
        </w:rPr>
      </w:pPr>
    </w:p>
    <w:p w14:paraId="67895A04">
      <w:pPr>
        <w:autoSpaceDE w:val="0"/>
        <w:autoSpaceDN w:val="0"/>
        <w:adjustRightInd w:val="0"/>
        <w:snapToGrid w:val="0"/>
        <w:spacing w:line="360" w:lineRule="auto"/>
        <w:rPr>
          <w:rFonts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14:paraId="4430284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lang w:val="zh-CN"/>
        </w:rPr>
        <w:t>统一社会信用代码：                        统一社会信用代码或身份证号码：</w:t>
      </w:r>
    </w:p>
    <w:p w14:paraId="6A8E770D">
      <w:pPr>
        <w:autoSpaceDE w:val="0"/>
        <w:autoSpaceDN w:val="0"/>
        <w:adjustRightInd w:val="0"/>
        <w:snapToGrid w:val="0"/>
        <w:spacing w:line="360" w:lineRule="auto"/>
        <w:rPr>
          <w:rFonts w:ascii="宋体" w:hAnsi="宋体" w:cs="宋体"/>
          <w:sz w:val="24"/>
          <w:lang w:val="zh-CN"/>
        </w:rPr>
      </w:pPr>
      <w:r>
        <w:rPr>
          <w:rFonts w:hint="eastAsia" w:ascii="宋体" w:hAnsi="宋体" w:cs="宋体"/>
          <w:sz w:val="24"/>
          <w:lang w:val="zh-CN"/>
        </w:rPr>
        <w:t>住所：                                   住所：</w:t>
      </w:r>
    </w:p>
    <w:p w14:paraId="6E5F7FF5">
      <w:pPr>
        <w:autoSpaceDE w:val="0"/>
        <w:autoSpaceDN w:val="0"/>
        <w:adjustRightInd w:val="0"/>
        <w:snapToGrid w:val="0"/>
        <w:spacing w:line="360" w:lineRule="auto"/>
        <w:rPr>
          <w:rFonts w:ascii="宋体" w:hAnsi="宋体" w:cs="宋体"/>
          <w:sz w:val="24"/>
          <w:lang w:val="zh-CN"/>
        </w:rPr>
      </w:pPr>
      <w:r>
        <w:rPr>
          <w:rFonts w:hint="eastAsia" w:ascii="宋体" w:hAnsi="宋体" w:cs="宋体"/>
          <w:sz w:val="24"/>
          <w:lang w:val="zh-CN"/>
        </w:rPr>
        <w:t>法定代表人或                             法定代表人</w:t>
      </w:r>
    </w:p>
    <w:p w14:paraId="05E8E3A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lang w:val="zh-CN"/>
        </w:rPr>
        <w:t xml:space="preserve">授权代表（签字）：                        或授权代表（签字）: </w:t>
      </w:r>
    </w:p>
    <w:p w14:paraId="6102E938">
      <w:pPr>
        <w:autoSpaceDE w:val="0"/>
        <w:autoSpaceDN w:val="0"/>
        <w:adjustRightInd w:val="0"/>
        <w:snapToGrid w:val="0"/>
        <w:spacing w:line="360" w:lineRule="auto"/>
        <w:rPr>
          <w:rFonts w:ascii="宋体" w:hAnsi="宋体" w:cs="宋体"/>
          <w:sz w:val="24"/>
          <w:lang w:val="zh-CN"/>
        </w:rPr>
      </w:pPr>
      <w:r>
        <w:rPr>
          <w:rFonts w:hint="eastAsia" w:ascii="宋体" w:hAnsi="宋体" w:cs="宋体"/>
          <w:sz w:val="24"/>
          <w:lang w:val="zh-CN"/>
        </w:rPr>
        <w:t>联系人：                                 联系人：</w:t>
      </w:r>
    </w:p>
    <w:p w14:paraId="4CB7E93E">
      <w:pPr>
        <w:autoSpaceDE w:val="0"/>
        <w:autoSpaceDN w:val="0"/>
        <w:adjustRightInd w:val="0"/>
        <w:snapToGrid w:val="0"/>
        <w:spacing w:line="360" w:lineRule="auto"/>
        <w:rPr>
          <w:rFonts w:ascii="宋体" w:hAnsi="宋体" w:cs="宋体"/>
          <w:sz w:val="24"/>
          <w:lang w:val="zh-CN"/>
        </w:rPr>
      </w:pPr>
      <w:r>
        <w:rPr>
          <w:rFonts w:hint="eastAsia" w:ascii="宋体" w:hAnsi="宋体" w:cs="宋体"/>
          <w:sz w:val="24"/>
          <w:lang w:val="zh-CN"/>
        </w:rPr>
        <w:t>约定送达地址：                           约定送达地址：</w:t>
      </w:r>
    </w:p>
    <w:p w14:paraId="21F63E51">
      <w:pPr>
        <w:autoSpaceDE w:val="0"/>
        <w:autoSpaceDN w:val="0"/>
        <w:adjustRightInd w:val="0"/>
        <w:snapToGrid w:val="0"/>
        <w:spacing w:line="360" w:lineRule="auto"/>
        <w:rPr>
          <w:rFonts w:ascii="宋体" w:hAnsi="宋体" w:cs="宋体"/>
          <w:sz w:val="24"/>
          <w:lang w:val="zh-CN"/>
        </w:rPr>
      </w:pPr>
      <w:r>
        <w:rPr>
          <w:rFonts w:hint="eastAsia" w:ascii="宋体" w:hAnsi="宋体" w:cs="宋体"/>
          <w:sz w:val="24"/>
          <w:lang w:val="zh-CN"/>
        </w:rPr>
        <w:t>邮政编码：                               邮政编码：</w:t>
      </w:r>
    </w:p>
    <w:p w14:paraId="0AA3812C">
      <w:pPr>
        <w:autoSpaceDE w:val="0"/>
        <w:autoSpaceDN w:val="0"/>
        <w:adjustRightInd w:val="0"/>
        <w:snapToGrid w:val="0"/>
        <w:spacing w:line="360" w:lineRule="auto"/>
        <w:rPr>
          <w:rFonts w:ascii="宋体" w:hAnsi="宋体" w:cs="宋体"/>
          <w:sz w:val="24"/>
          <w:lang w:val="zh-CN"/>
        </w:rPr>
      </w:pPr>
      <w:r>
        <w:rPr>
          <w:rFonts w:hint="eastAsia" w:ascii="宋体" w:hAnsi="宋体" w:cs="宋体"/>
          <w:sz w:val="24"/>
          <w:lang w:val="zh-CN"/>
        </w:rPr>
        <w:t xml:space="preserve">电话:                                    电话: </w:t>
      </w:r>
    </w:p>
    <w:p w14:paraId="67D17CD0">
      <w:pPr>
        <w:autoSpaceDE w:val="0"/>
        <w:autoSpaceDN w:val="0"/>
        <w:adjustRightInd w:val="0"/>
        <w:snapToGrid w:val="0"/>
        <w:spacing w:line="360" w:lineRule="auto"/>
        <w:rPr>
          <w:rFonts w:ascii="宋体" w:hAnsi="宋体" w:cs="宋体"/>
          <w:sz w:val="24"/>
          <w:lang w:val="zh-CN"/>
        </w:rPr>
      </w:pPr>
      <w:r>
        <w:rPr>
          <w:rFonts w:hint="eastAsia" w:ascii="宋体" w:hAnsi="宋体" w:cs="宋体"/>
          <w:sz w:val="24"/>
          <w:lang w:val="zh-CN"/>
        </w:rPr>
        <w:t>传真:                                    传真:</w:t>
      </w:r>
    </w:p>
    <w:p w14:paraId="69BAD7FA">
      <w:pPr>
        <w:autoSpaceDE w:val="0"/>
        <w:autoSpaceDN w:val="0"/>
        <w:adjustRightInd w:val="0"/>
        <w:snapToGrid w:val="0"/>
        <w:spacing w:line="360" w:lineRule="auto"/>
        <w:rPr>
          <w:rFonts w:ascii="宋体" w:hAnsi="宋体" w:cs="宋体"/>
          <w:sz w:val="24"/>
        </w:rPr>
      </w:pPr>
      <w:r>
        <w:rPr>
          <w:rFonts w:hint="eastAsia" w:ascii="宋体" w:hAnsi="宋体" w:cs="宋体"/>
          <w:sz w:val="24"/>
          <w:lang w:val="zh-CN"/>
        </w:rPr>
        <w:t>电子邮箱：                               电子邮箱：</w:t>
      </w:r>
    </w:p>
    <w:p w14:paraId="74F32267">
      <w:pPr>
        <w:autoSpaceDE w:val="0"/>
        <w:autoSpaceDN w:val="0"/>
        <w:adjustRightInd w:val="0"/>
        <w:snapToGrid w:val="0"/>
        <w:spacing w:line="360" w:lineRule="auto"/>
        <w:rPr>
          <w:rFonts w:ascii="宋体" w:hAnsi="宋体" w:cs="宋体"/>
          <w:sz w:val="24"/>
        </w:rPr>
      </w:pPr>
      <w:r>
        <w:rPr>
          <w:rFonts w:hint="eastAsia" w:ascii="宋体" w:hAnsi="宋体" w:cs="宋体"/>
          <w:sz w:val="24"/>
        </w:rPr>
        <w:t xml:space="preserve">开户银行：                               开户银行： </w:t>
      </w:r>
    </w:p>
    <w:p w14:paraId="1C57499D">
      <w:pPr>
        <w:autoSpaceDE w:val="0"/>
        <w:autoSpaceDN w:val="0"/>
        <w:adjustRightInd w:val="0"/>
        <w:snapToGrid w:val="0"/>
        <w:spacing w:line="360" w:lineRule="auto"/>
        <w:rPr>
          <w:rFonts w:ascii="宋体" w:hAnsi="宋体" w:cs="宋体"/>
          <w:sz w:val="24"/>
        </w:rPr>
      </w:pPr>
      <w:r>
        <w:rPr>
          <w:rFonts w:hint="eastAsia" w:ascii="宋体" w:hAnsi="宋体" w:cs="宋体"/>
          <w:sz w:val="24"/>
        </w:rPr>
        <w:t xml:space="preserve">开户名称：                               开户名称： </w:t>
      </w:r>
    </w:p>
    <w:p w14:paraId="5834A8E2">
      <w:pPr>
        <w:autoSpaceDE w:val="0"/>
        <w:autoSpaceDN w:val="0"/>
        <w:adjustRightInd w:val="0"/>
        <w:snapToGrid w:val="0"/>
        <w:spacing w:line="360" w:lineRule="auto"/>
        <w:rPr>
          <w:rFonts w:ascii="宋体" w:hAnsi="宋体" w:cs="宋体"/>
          <w:sz w:val="24"/>
        </w:rPr>
      </w:pPr>
      <w:r>
        <w:rPr>
          <w:rFonts w:hint="eastAsia" w:ascii="宋体" w:hAnsi="宋体" w:cs="宋体"/>
          <w:sz w:val="24"/>
        </w:rPr>
        <w:t>开户账号：开户账号：</w:t>
      </w:r>
    </w:p>
    <w:p w14:paraId="0DCAEA4C">
      <w:pPr>
        <w:spacing w:line="360" w:lineRule="auto"/>
        <w:rPr>
          <w:rFonts w:ascii="宋体" w:hAnsi="宋体" w:cs="宋体"/>
          <w:b/>
        </w:rPr>
      </w:pPr>
      <w:bookmarkStart w:id="230" w:name="_Toc331685783"/>
      <w:r>
        <w:rPr>
          <w:rFonts w:hint="eastAsia" w:ascii="宋体" w:hAnsi="宋体" w:cs="宋体"/>
          <w:b/>
        </w:rPr>
        <w:br w:type="page"/>
      </w:r>
    </w:p>
    <w:bookmarkEnd w:id="230"/>
    <w:p w14:paraId="22CDA489">
      <w:pPr>
        <w:pStyle w:val="428"/>
        <w:snapToGrid w:val="0"/>
        <w:spacing w:line="360" w:lineRule="auto"/>
        <w:ind w:firstLine="200"/>
        <w:jc w:val="center"/>
        <w:rPr>
          <w:rFonts w:hint="default" w:ascii="宋体" w:hAnsi="宋体" w:cs="宋体"/>
          <w:b/>
          <w:sz w:val="24"/>
          <w:szCs w:val="24"/>
        </w:rPr>
      </w:pPr>
      <w:r>
        <w:rPr>
          <w:rFonts w:ascii="宋体" w:hAnsi="宋体" w:cs="宋体"/>
          <w:b/>
          <w:sz w:val="24"/>
          <w:szCs w:val="24"/>
        </w:rPr>
        <w:t>第二部分 合同一般条款</w:t>
      </w:r>
    </w:p>
    <w:p w14:paraId="6115F9FE">
      <w:pPr>
        <w:snapToGrid w:val="0"/>
        <w:spacing w:line="360" w:lineRule="auto"/>
        <w:ind w:firstLine="482" w:firstLineChars="200"/>
        <w:outlineLvl w:val="0"/>
        <w:rPr>
          <w:rFonts w:ascii="宋体" w:hAnsi="宋体" w:cs="宋体"/>
          <w:b/>
          <w:sz w:val="24"/>
        </w:rPr>
      </w:pPr>
      <w:bookmarkStart w:id="231" w:name="_Ref467379109"/>
      <w:bookmarkStart w:id="232" w:name="_Toc487900349"/>
      <w:bookmarkStart w:id="233" w:name="_Toc28763"/>
      <w:bookmarkStart w:id="234" w:name="_Toc16917"/>
      <w:bookmarkStart w:id="235" w:name="_Ref467378499"/>
      <w:bookmarkStart w:id="236" w:name="_Toc19614"/>
      <w:bookmarkStart w:id="237" w:name="_Ref467379205"/>
      <w:bookmarkStart w:id="238" w:name="_Ref467379195"/>
      <w:bookmarkStart w:id="239" w:name="_Toc259093669"/>
      <w:bookmarkStart w:id="240" w:name="_Ref467379094"/>
      <w:bookmarkStart w:id="241" w:name="_Toc279701240"/>
      <w:bookmarkStart w:id="242" w:name="_Ref467378404"/>
      <w:bookmarkStart w:id="243" w:name="_Ref467379225"/>
      <w:bookmarkStart w:id="244" w:name="_Ref467378463"/>
      <w:bookmarkStart w:id="245" w:name="_Ref467379214"/>
      <w:bookmarkStart w:id="246" w:name="_Ref467379101"/>
      <w:r>
        <w:rPr>
          <w:rFonts w:hint="eastAsia" w:ascii="宋体" w:hAnsi="宋体" w:cs="宋体"/>
          <w:b/>
          <w:sz w:val="24"/>
        </w:rPr>
        <w:t>2.1 定义</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40CC7AA7">
      <w:pPr>
        <w:snapToGrid w:val="0"/>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45EA1F3">
      <w:pPr>
        <w:snapToGrid w:val="0"/>
        <w:spacing w:line="360" w:lineRule="auto"/>
        <w:ind w:firstLine="480" w:firstLineChars="200"/>
        <w:rPr>
          <w:rFonts w:ascii="宋体" w:hAnsi="宋体" w:cs="宋体"/>
          <w:sz w:val="24"/>
        </w:rPr>
      </w:pPr>
      <w:r>
        <w:rPr>
          <w:rFonts w:hint="eastAsia" w:ascii="宋体" w:hAnsi="宋体" w:cs="宋体"/>
          <w:sz w:val="24"/>
        </w:rPr>
        <w:t>2.1.1 “合同”系指采购单位和成交供应商签订的载明双方当事人所达成的协议，并包括所有的附件、附录和构成合同的其他文件。</w:t>
      </w:r>
    </w:p>
    <w:p w14:paraId="7A6320E7">
      <w:pPr>
        <w:snapToGrid w:val="0"/>
        <w:spacing w:line="360" w:lineRule="auto"/>
        <w:ind w:firstLine="480" w:firstLineChars="200"/>
        <w:rPr>
          <w:rFonts w:ascii="宋体" w:hAnsi="宋体" w:cs="宋体"/>
          <w:sz w:val="24"/>
        </w:rPr>
      </w:pPr>
      <w:r>
        <w:rPr>
          <w:rFonts w:hint="eastAsia" w:ascii="宋体" w:hAnsi="宋体" w:cs="宋体"/>
          <w:sz w:val="24"/>
        </w:rPr>
        <w:t>2.1.2 “合同价”系指根据合同约定，成交供应商在完全履行合同义务后，采购单位应支付给成交供应商的价格。</w:t>
      </w:r>
    </w:p>
    <w:p w14:paraId="4A7FF7D7">
      <w:pPr>
        <w:snapToGrid w:val="0"/>
        <w:spacing w:line="360" w:lineRule="auto"/>
        <w:ind w:firstLine="480" w:firstLineChars="200"/>
        <w:rPr>
          <w:rFonts w:ascii="宋体" w:hAnsi="宋体" w:cs="宋体"/>
          <w:sz w:val="24"/>
        </w:rPr>
      </w:pPr>
      <w:r>
        <w:rPr>
          <w:rFonts w:hint="eastAsia" w:ascii="宋体" w:hAnsi="宋体" w:cs="宋体"/>
          <w:sz w:val="24"/>
        </w:rPr>
        <w:t>2.1.3 “货物”系指成交供应商根据合同约定应向采购单位交付的一切各种形态和种类的物品，包括原材料、燃料、设备、机械、仪表、备件、计算机软件、产品等，并包括工具、手册等其他相关资料。</w:t>
      </w:r>
    </w:p>
    <w:p w14:paraId="1B868FBF">
      <w:pPr>
        <w:snapToGrid w:val="0"/>
        <w:spacing w:line="360" w:lineRule="auto"/>
        <w:ind w:firstLine="480" w:firstLineChars="200"/>
        <w:rPr>
          <w:rFonts w:ascii="宋体" w:hAnsi="宋体" w:cs="宋体"/>
          <w:sz w:val="24"/>
        </w:rPr>
      </w:pPr>
      <w:bookmarkStart w:id="247" w:name="_Ref467378840"/>
      <w:r>
        <w:rPr>
          <w:rFonts w:hint="eastAsia" w:ascii="宋体" w:hAnsi="宋体" w:cs="宋体"/>
          <w:sz w:val="24"/>
        </w:rPr>
        <w:t>2.1.4 “甲方”系指与成交供应商签署合同的</w:t>
      </w:r>
      <w:bookmarkEnd w:id="247"/>
      <w:r>
        <w:rPr>
          <w:rFonts w:hint="eastAsia" w:ascii="宋体" w:hAnsi="宋体" w:cs="宋体"/>
          <w:sz w:val="24"/>
        </w:rPr>
        <w:t>采购单位；采购单位委托采购代理机构代表其与乙方签订合同的，采购单位的授权委托书作为合同附件。</w:t>
      </w:r>
    </w:p>
    <w:p w14:paraId="40F64F3D">
      <w:pPr>
        <w:snapToGrid w:val="0"/>
        <w:spacing w:line="360" w:lineRule="auto"/>
        <w:ind w:firstLine="480" w:firstLineChars="200"/>
        <w:rPr>
          <w:rFonts w:ascii="宋体" w:hAnsi="宋体" w:cs="宋体"/>
          <w:sz w:val="24"/>
        </w:rPr>
      </w:pPr>
      <w:bookmarkStart w:id="248" w:name="_Ref467379400"/>
      <w:r>
        <w:rPr>
          <w:rFonts w:hint="eastAsia" w:ascii="宋体" w:hAnsi="宋体" w:cs="宋体"/>
          <w:sz w:val="24"/>
        </w:rPr>
        <w:t>2.1.5 “乙方”系指根据合同约定交付货物的成交供应商</w:t>
      </w:r>
      <w:bookmarkEnd w:id="248"/>
      <w:r>
        <w:rPr>
          <w:rFonts w:hint="eastAsia" w:ascii="宋体" w:hAnsi="宋体" w:cs="宋体"/>
          <w:sz w:val="24"/>
        </w:rPr>
        <w:t>；两个以上的自然人、法人或者其他组织组成一个联合体，以一个供应商的身份共同参加采购的，联合体各方均应为乙方或者与乙方相同地位的合同当事人，并就合同约定的事项对甲方承担连带责任。</w:t>
      </w:r>
    </w:p>
    <w:p w14:paraId="323C6513">
      <w:pPr>
        <w:snapToGrid w:val="0"/>
        <w:spacing w:line="360" w:lineRule="auto"/>
        <w:ind w:firstLine="480" w:firstLineChars="200"/>
        <w:rPr>
          <w:rFonts w:ascii="宋体" w:hAnsi="宋体" w:cs="宋体"/>
          <w:sz w:val="24"/>
        </w:rPr>
      </w:pPr>
      <w:bookmarkStart w:id="249" w:name="_Ref467379436"/>
      <w:r>
        <w:rPr>
          <w:rFonts w:hint="eastAsia" w:ascii="宋体" w:hAnsi="宋体" w:cs="宋体"/>
          <w:sz w:val="24"/>
        </w:rPr>
        <w:t>2.1.6 “现场”系指合同约定货物将要运至或者安装的地点。</w:t>
      </w:r>
      <w:bookmarkEnd w:id="249"/>
    </w:p>
    <w:p w14:paraId="06A27F22">
      <w:pPr>
        <w:snapToGrid w:val="0"/>
        <w:spacing w:line="360" w:lineRule="auto"/>
        <w:ind w:firstLine="482" w:firstLineChars="200"/>
        <w:outlineLvl w:val="0"/>
        <w:rPr>
          <w:rFonts w:ascii="宋体" w:hAnsi="宋体" w:cs="宋体"/>
          <w:b/>
          <w:sz w:val="24"/>
        </w:rPr>
      </w:pPr>
      <w:bookmarkStart w:id="250" w:name="_Toc279701241"/>
      <w:bookmarkStart w:id="251" w:name="_Toc259093670"/>
      <w:bookmarkStart w:id="252" w:name="_Toc487900350"/>
      <w:bookmarkStart w:id="253" w:name="_Toc27635"/>
      <w:bookmarkStart w:id="254" w:name="_Toc32504"/>
      <w:bookmarkStart w:id="255" w:name="_Toc13336"/>
      <w:r>
        <w:rPr>
          <w:rFonts w:hint="eastAsia" w:ascii="宋体" w:hAnsi="宋体" w:cs="宋体"/>
          <w:b/>
          <w:sz w:val="24"/>
        </w:rPr>
        <w:t>2.2 技术规范</w:t>
      </w:r>
      <w:bookmarkEnd w:id="250"/>
      <w:bookmarkEnd w:id="251"/>
      <w:bookmarkEnd w:id="252"/>
      <w:bookmarkEnd w:id="253"/>
      <w:bookmarkEnd w:id="254"/>
      <w:bookmarkEnd w:id="255"/>
    </w:p>
    <w:p w14:paraId="31BA95D6">
      <w:pPr>
        <w:snapToGrid w:val="0"/>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31A1C49">
      <w:pPr>
        <w:snapToGrid w:val="0"/>
        <w:spacing w:line="360" w:lineRule="auto"/>
        <w:ind w:firstLine="482" w:firstLineChars="200"/>
        <w:outlineLvl w:val="0"/>
        <w:rPr>
          <w:rFonts w:ascii="宋体" w:hAnsi="宋体" w:cs="宋体"/>
          <w:b/>
          <w:sz w:val="24"/>
        </w:rPr>
      </w:pPr>
      <w:bookmarkStart w:id="256" w:name="_Toc279701242"/>
      <w:bookmarkStart w:id="257" w:name="_Toc487900351"/>
      <w:bookmarkStart w:id="258" w:name="_Toc27853"/>
      <w:bookmarkStart w:id="259" w:name="_Toc9829"/>
      <w:bookmarkStart w:id="260" w:name="_Toc259093671"/>
      <w:bookmarkStart w:id="261" w:name="_Toc31634"/>
      <w:r>
        <w:rPr>
          <w:rFonts w:hint="eastAsia" w:ascii="宋体" w:hAnsi="宋体" w:cs="宋体"/>
          <w:b/>
          <w:sz w:val="24"/>
        </w:rPr>
        <w:t>2.3 知识产权</w:t>
      </w:r>
      <w:bookmarkEnd w:id="256"/>
      <w:bookmarkEnd w:id="257"/>
      <w:bookmarkEnd w:id="258"/>
      <w:bookmarkEnd w:id="259"/>
      <w:bookmarkEnd w:id="260"/>
      <w:bookmarkEnd w:id="261"/>
    </w:p>
    <w:p w14:paraId="5A84B899">
      <w:pPr>
        <w:snapToGrid w:val="0"/>
        <w:spacing w:line="360" w:lineRule="auto"/>
        <w:ind w:firstLine="480" w:firstLineChars="200"/>
        <w:rPr>
          <w:rFonts w:ascii="宋体" w:hAnsi="宋体" w:cs="宋体"/>
          <w:sz w:val="24"/>
        </w:rPr>
      </w:pPr>
      <w:r>
        <w:rPr>
          <w:rFonts w:hint="eastAsia" w:ascii="宋体" w:hAnsi="宋体" w:cs="宋体"/>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66D8A4A3">
      <w:pPr>
        <w:snapToGrid w:val="0"/>
        <w:spacing w:line="360" w:lineRule="auto"/>
        <w:ind w:firstLine="480" w:firstLineChars="200"/>
        <w:rPr>
          <w:rFonts w:ascii="宋体" w:hAnsi="宋体" w:cs="宋体"/>
          <w:sz w:val="24"/>
        </w:rPr>
      </w:pPr>
      <w:r>
        <w:rPr>
          <w:rFonts w:hint="eastAsia" w:ascii="宋体" w:hAnsi="宋体" w:cs="宋体"/>
          <w:sz w:val="24"/>
        </w:rPr>
        <w:t>2.3.2具有知识产权的计算机软件等货物的知识产权归属，详见</w:t>
      </w:r>
      <w:r>
        <w:rPr>
          <w:rFonts w:hint="eastAsia" w:ascii="宋体" w:hAnsi="宋体" w:cs="宋体"/>
          <w:b/>
          <w:sz w:val="24"/>
          <w:u w:val="single"/>
        </w:rPr>
        <w:t>合同专用条款</w:t>
      </w:r>
      <w:r>
        <w:rPr>
          <w:rFonts w:hint="eastAsia" w:ascii="宋体" w:hAnsi="宋体" w:cs="宋体"/>
          <w:sz w:val="24"/>
        </w:rPr>
        <w:t>。</w:t>
      </w:r>
    </w:p>
    <w:p w14:paraId="040909CD">
      <w:pPr>
        <w:snapToGrid w:val="0"/>
        <w:spacing w:line="360" w:lineRule="auto"/>
        <w:ind w:firstLine="482" w:firstLineChars="200"/>
        <w:outlineLvl w:val="0"/>
        <w:rPr>
          <w:rFonts w:ascii="宋体" w:hAnsi="宋体" w:cs="宋体"/>
          <w:b/>
          <w:sz w:val="24"/>
        </w:rPr>
      </w:pPr>
      <w:bookmarkStart w:id="262" w:name="_Toc11932"/>
      <w:bookmarkStart w:id="263" w:name="_Toc4194"/>
      <w:bookmarkStart w:id="264" w:name="_Toc29149"/>
      <w:r>
        <w:rPr>
          <w:rFonts w:hint="eastAsia" w:ascii="宋体" w:hAnsi="宋体" w:cs="宋体"/>
          <w:b/>
          <w:sz w:val="24"/>
        </w:rPr>
        <w:t>2.4 包装和装运</w:t>
      </w:r>
      <w:bookmarkEnd w:id="262"/>
      <w:bookmarkEnd w:id="263"/>
      <w:bookmarkEnd w:id="264"/>
    </w:p>
    <w:p w14:paraId="190981A2">
      <w:pPr>
        <w:snapToGrid w:val="0"/>
        <w:spacing w:line="360" w:lineRule="auto"/>
        <w:ind w:firstLine="480" w:firstLineChars="200"/>
        <w:rPr>
          <w:rFonts w:ascii="宋体" w:hAnsi="宋体" w:cs="宋体"/>
          <w:sz w:val="24"/>
        </w:rPr>
      </w:pPr>
      <w:r>
        <w:rPr>
          <w:rFonts w:hint="eastAsia" w:ascii="宋体" w:hAnsi="宋体" w:cs="宋体"/>
          <w:sz w:val="24"/>
        </w:rPr>
        <w:t>2.4.1除</w:t>
      </w:r>
      <w:r>
        <w:rPr>
          <w:rFonts w:hint="eastAsia" w:ascii="宋体" w:hAnsi="宋体" w:cs="宋体"/>
          <w:b/>
          <w:sz w:val="24"/>
          <w:u w:val="single"/>
        </w:rPr>
        <w:t>合同专用条款</w:t>
      </w:r>
      <w:r>
        <w:rPr>
          <w:rFonts w:hint="eastAsia" w:ascii="宋体" w:hAnsi="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BAE17C8">
      <w:pPr>
        <w:snapToGrid w:val="0"/>
        <w:spacing w:line="360" w:lineRule="auto"/>
        <w:ind w:firstLine="480" w:firstLineChars="200"/>
        <w:rPr>
          <w:rFonts w:ascii="宋体" w:hAnsi="宋体" w:cs="宋体"/>
          <w:sz w:val="24"/>
        </w:rPr>
      </w:pPr>
      <w:r>
        <w:rPr>
          <w:rFonts w:hint="eastAsia" w:ascii="宋体" w:hAnsi="宋体" w:cs="宋体"/>
          <w:sz w:val="24"/>
        </w:rPr>
        <w:t>2.4.2 装运货物的要求和通知，详见</w:t>
      </w:r>
      <w:r>
        <w:rPr>
          <w:rFonts w:hint="eastAsia" w:ascii="宋体" w:hAnsi="宋体" w:cs="宋体"/>
          <w:b/>
          <w:sz w:val="24"/>
          <w:u w:val="single"/>
        </w:rPr>
        <w:t>合同专用条款</w:t>
      </w:r>
      <w:r>
        <w:rPr>
          <w:rFonts w:hint="eastAsia" w:ascii="宋体" w:hAnsi="宋体" w:cs="宋体"/>
          <w:sz w:val="24"/>
        </w:rPr>
        <w:t>。</w:t>
      </w:r>
    </w:p>
    <w:p w14:paraId="01346824">
      <w:pPr>
        <w:snapToGrid w:val="0"/>
        <w:spacing w:line="360" w:lineRule="auto"/>
        <w:ind w:firstLine="482" w:firstLineChars="200"/>
        <w:outlineLvl w:val="0"/>
        <w:rPr>
          <w:rFonts w:ascii="宋体" w:hAnsi="宋体" w:cs="宋体"/>
          <w:b/>
          <w:sz w:val="24"/>
        </w:rPr>
      </w:pPr>
      <w:bookmarkStart w:id="265" w:name="_Toc487900354"/>
      <w:bookmarkStart w:id="266" w:name="_Ref467378541"/>
      <w:bookmarkStart w:id="267" w:name="_Ref467379527"/>
      <w:bookmarkStart w:id="268" w:name="_Toc279701245"/>
      <w:bookmarkStart w:id="269" w:name="_Ref467379536"/>
      <w:bookmarkStart w:id="270" w:name="_Ref467378591"/>
      <w:bookmarkStart w:id="271" w:name="_Ref467379542"/>
      <w:bookmarkStart w:id="272" w:name="_Toc259093674"/>
      <w:bookmarkStart w:id="273" w:name="_Toc19074"/>
      <w:bookmarkStart w:id="274" w:name="_Toc30272"/>
      <w:bookmarkStart w:id="275" w:name="_Toc26182"/>
      <w:r>
        <w:rPr>
          <w:rFonts w:hint="eastAsia" w:ascii="宋体" w:hAnsi="宋体" w:cs="宋体"/>
          <w:b/>
          <w:sz w:val="24"/>
        </w:rPr>
        <w:t>2.</w:t>
      </w:r>
      <w:bookmarkEnd w:id="265"/>
      <w:bookmarkEnd w:id="266"/>
      <w:bookmarkEnd w:id="267"/>
      <w:bookmarkEnd w:id="268"/>
      <w:bookmarkEnd w:id="269"/>
      <w:bookmarkEnd w:id="270"/>
      <w:bookmarkEnd w:id="271"/>
      <w:bookmarkEnd w:id="272"/>
      <w:r>
        <w:rPr>
          <w:rFonts w:hint="eastAsia" w:ascii="宋体" w:hAnsi="宋体" w:cs="宋体"/>
          <w:b/>
          <w:sz w:val="24"/>
        </w:rPr>
        <w:t>5 履约检查和问题反馈</w:t>
      </w:r>
      <w:bookmarkEnd w:id="273"/>
      <w:bookmarkEnd w:id="274"/>
      <w:bookmarkEnd w:id="275"/>
    </w:p>
    <w:p w14:paraId="391D3833">
      <w:pPr>
        <w:snapToGrid w:val="0"/>
        <w:spacing w:line="360" w:lineRule="auto"/>
        <w:ind w:firstLine="480" w:firstLineChars="200"/>
        <w:rPr>
          <w:rFonts w:ascii="宋体" w:hAnsi="宋体" w:cs="宋体"/>
          <w:sz w:val="24"/>
        </w:rPr>
      </w:pPr>
      <w:bookmarkStart w:id="276" w:name="_Ref467379657"/>
      <w:r>
        <w:rPr>
          <w:rFonts w:hint="eastAsia" w:ascii="宋体" w:hAnsi="宋体" w:cs="宋体"/>
          <w:sz w:val="24"/>
        </w:rPr>
        <w:t>2.5.1</w:t>
      </w:r>
      <w:bookmarkEnd w:id="276"/>
      <w:bookmarkStart w:id="277" w:name="_Toc186431854"/>
      <w:bookmarkStart w:id="278" w:name="_Ref467379807"/>
      <w:bookmarkStart w:id="279" w:name="_Toc279701247"/>
      <w:bookmarkStart w:id="280" w:name="_Ref467379793"/>
      <w:bookmarkStart w:id="281" w:name="_Toc259093676"/>
      <w:bookmarkStart w:id="282" w:name="_Toc487900357"/>
      <w:r>
        <w:rPr>
          <w:rFonts w:hint="eastAsia" w:ascii="宋体" w:hAnsi="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14:paraId="41A4C798">
      <w:pPr>
        <w:snapToGrid w:val="0"/>
        <w:spacing w:line="360" w:lineRule="auto"/>
        <w:ind w:firstLine="480" w:firstLineChars="200"/>
        <w:rPr>
          <w:rFonts w:ascii="宋体" w:hAnsi="宋体" w:cs="宋体"/>
          <w:sz w:val="24"/>
        </w:rPr>
      </w:pPr>
      <w:r>
        <w:rPr>
          <w:rFonts w:hint="eastAsia" w:ascii="宋体" w:hAnsi="宋体" w:cs="宋体"/>
          <w:sz w:val="24"/>
        </w:rPr>
        <w:t>2.5.2 合同履行期间，甲方有权将履行过程中出现的问题反馈给乙方，双方当事人应以书面形式约定需要完善和改进的内容</w:t>
      </w:r>
      <w:bookmarkEnd w:id="277"/>
      <w:bookmarkStart w:id="283" w:name="_Toc186431855"/>
      <w:r>
        <w:rPr>
          <w:rFonts w:hint="eastAsia" w:ascii="宋体" w:hAnsi="宋体" w:cs="宋体"/>
          <w:sz w:val="24"/>
        </w:rPr>
        <w:t>。</w:t>
      </w:r>
    </w:p>
    <w:bookmarkEnd w:id="283"/>
    <w:p w14:paraId="0F78B316">
      <w:pPr>
        <w:snapToGrid w:val="0"/>
        <w:spacing w:line="360" w:lineRule="auto"/>
        <w:ind w:firstLine="482" w:firstLineChars="200"/>
        <w:outlineLvl w:val="0"/>
        <w:rPr>
          <w:rFonts w:ascii="宋体" w:hAnsi="宋体" w:cs="宋体"/>
          <w:b/>
          <w:sz w:val="24"/>
        </w:rPr>
      </w:pPr>
      <w:bookmarkStart w:id="284" w:name="_Toc28451"/>
      <w:bookmarkStart w:id="285" w:name="_Toc7836"/>
      <w:bookmarkStart w:id="286" w:name="_Toc19219"/>
      <w:r>
        <w:rPr>
          <w:rFonts w:hint="eastAsia" w:ascii="宋体" w:hAnsi="宋体" w:cs="宋体"/>
          <w:b/>
          <w:sz w:val="24"/>
        </w:rPr>
        <w:t>2.6 结算方式和付款条件</w:t>
      </w:r>
      <w:bookmarkEnd w:id="278"/>
      <w:bookmarkEnd w:id="279"/>
      <w:bookmarkEnd w:id="280"/>
      <w:bookmarkEnd w:id="281"/>
      <w:bookmarkEnd w:id="282"/>
      <w:bookmarkEnd w:id="284"/>
      <w:bookmarkEnd w:id="285"/>
      <w:bookmarkEnd w:id="286"/>
    </w:p>
    <w:p w14:paraId="773101CB">
      <w:pPr>
        <w:snapToGrid w:val="0"/>
        <w:spacing w:line="360" w:lineRule="auto"/>
        <w:ind w:firstLine="480" w:firstLineChars="200"/>
        <w:rPr>
          <w:rFonts w:ascii="宋体" w:hAnsi="宋体" w:cs="宋体"/>
          <w:sz w:val="24"/>
        </w:rPr>
      </w:pPr>
      <w:r>
        <w:rPr>
          <w:rFonts w:hint="eastAsia" w:ascii="宋体" w:hAnsi="宋体" w:cs="宋体"/>
          <w:sz w:val="24"/>
        </w:rPr>
        <w:t>详见</w:t>
      </w:r>
      <w:r>
        <w:rPr>
          <w:rFonts w:hint="eastAsia" w:ascii="宋体" w:hAnsi="宋体" w:cs="宋体"/>
          <w:b/>
          <w:sz w:val="24"/>
          <w:u w:val="single"/>
        </w:rPr>
        <w:t>合同专用条款</w:t>
      </w:r>
      <w:r>
        <w:rPr>
          <w:rFonts w:hint="eastAsia" w:ascii="宋体" w:hAnsi="宋体" w:cs="宋体"/>
          <w:sz w:val="24"/>
        </w:rPr>
        <w:t>。</w:t>
      </w:r>
    </w:p>
    <w:p w14:paraId="7B747339">
      <w:pPr>
        <w:snapToGrid w:val="0"/>
        <w:spacing w:line="360" w:lineRule="auto"/>
        <w:ind w:firstLine="482" w:firstLineChars="200"/>
        <w:outlineLvl w:val="0"/>
        <w:rPr>
          <w:rFonts w:ascii="宋体" w:hAnsi="宋体" w:cs="宋体"/>
          <w:b/>
          <w:sz w:val="24"/>
        </w:rPr>
      </w:pPr>
      <w:bookmarkStart w:id="287" w:name="_Ref467379852"/>
      <w:bookmarkStart w:id="288" w:name="_Ref467379863"/>
      <w:bookmarkStart w:id="289" w:name="_Ref467379923"/>
      <w:bookmarkStart w:id="290" w:name="_Toc259093677"/>
      <w:bookmarkStart w:id="291" w:name="_Toc487900358"/>
      <w:bookmarkStart w:id="292" w:name="_Toc279701248"/>
      <w:bookmarkStart w:id="293" w:name="_Toc16110"/>
      <w:bookmarkStart w:id="294" w:name="_Toc774"/>
      <w:bookmarkStart w:id="295" w:name="_Toc3225"/>
      <w:r>
        <w:rPr>
          <w:rFonts w:hint="eastAsia" w:ascii="宋体" w:hAnsi="宋体" w:cs="宋体"/>
          <w:b/>
          <w:sz w:val="24"/>
        </w:rPr>
        <w:t>2.7 技术资料</w:t>
      </w:r>
      <w:bookmarkEnd w:id="287"/>
      <w:bookmarkEnd w:id="288"/>
      <w:bookmarkEnd w:id="289"/>
      <w:bookmarkEnd w:id="290"/>
      <w:bookmarkEnd w:id="291"/>
      <w:bookmarkEnd w:id="292"/>
      <w:r>
        <w:rPr>
          <w:rFonts w:hint="eastAsia" w:ascii="宋体" w:hAnsi="宋体" w:cs="宋体"/>
          <w:b/>
          <w:sz w:val="24"/>
        </w:rPr>
        <w:t>和保密义务</w:t>
      </w:r>
      <w:bookmarkEnd w:id="293"/>
      <w:bookmarkEnd w:id="294"/>
      <w:bookmarkEnd w:id="295"/>
    </w:p>
    <w:p w14:paraId="535D4EA9">
      <w:pPr>
        <w:snapToGrid w:val="0"/>
        <w:spacing w:line="360" w:lineRule="auto"/>
        <w:ind w:firstLine="480" w:firstLineChars="200"/>
        <w:rPr>
          <w:rFonts w:ascii="宋体" w:hAnsi="宋体" w:cs="宋体"/>
          <w:sz w:val="24"/>
        </w:rPr>
      </w:pPr>
      <w:r>
        <w:rPr>
          <w:rFonts w:hint="eastAsia" w:ascii="宋体" w:hAnsi="宋体" w:cs="宋体"/>
          <w:sz w:val="24"/>
        </w:rPr>
        <w:t>2.7.1 乙方有权依据合同约定和项目需要，向甲方了解有关情况，调阅有关资料等，甲方应予积极配合；</w:t>
      </w:r>
    </w:p>
    <w:p w14:paraId="0334D7DD">
      <w:pPr>
        <w:snapToGrid w:val="0"/>
        <w:spacing w:line="360" w:lineRule="auto"/>
        <w:ind w:firstLine="480" w:firstLineChars="200"/>
        <w:rPr>
          <w:rFonts w:ascii="宋体" w:hAnsi="宋体" w:cs="宋体"/>
          <w:sz w:val="24"/>
        </w:rPr>
      </w:pPr>
      <w:r>
        <w:rPr>
          <w:rFonts w:hint="eastAsia" w:ascii="宋体" w:hAnsi="宋体" w:cs="宋体"/>
          <w:sz w:val="24"/>
        </w:rPr>
        <w:t>2.7.2 乙方有义务妥善保管和保护由甲方提供的前款信息和资料等；</w:t>
      </w:r>
    </w:p>
    <w:p w14:paraId="4A11EFAB">
      <w:pPr>
        <w:snapToGrid w:val="0"/>
        <w:spacing w:line="360" w:lineRule="auto"/>
        <w:ind w:firstLine="480" w:firstLineChars="200"/>
        <w:rPr>
          <w:rFonts w:ascii="宋体" w:hAnsi="宋体" w:cs="宋体"/>
          <w:sz w:val="24"/>
        </w:rPr>
      </w:pPr>
      <w:r>
        <w:rPr>
          <w:rFonts w:hint="eastAsia" w:ascii="宋体" w:hAnsi="宋体" w:cs="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8430C94">
      <w:pPr>
        <w:snapToGrid w:val="0"/>
        <w:spacing w:line="360" w:lineRule="auto"/>
        <w:ind w:firstLine="482" w:firstLineChars="200"/>
        <w:outlineLvl w:val="0"/>
        <w:rPr>
          <w:rFonts w:ascii="宋体" w:hAnsi="宋体" w:cs="宋体"/>
          <w:b/>
          <w:sz w:val="24"/>
        </w:rPr>
      </w:pPr>
      <w:bookmarkStart w:id="296" w:name="_Toc7860"/>
      <w:r>
        <w:rPr>
          <w:rFonts w:hint="eastAsia" w:ascii="宋体" w:hAnsi="宋体" w:cs="宋体"/>
          <w:b/>
          <w:sz w:val="24"/>
        </w:rPr>
        <w:t>2.8 质量保证</w:t>
      </w:r>
      <w:bookmarkEnd w:id="296"/>
    </w:p>
    <w:p w14:paraId="7F4C7864">
      <w:pPr>
        <w:snapToGrid w:val="0"/>
        <w:spacing w:line="360" w:lineRule="auto"/>
        <w:ind w:firstLine="480" w:firstLineChars="200"/>
        <w:rPr>
          <w:rFonts w:ascii="宋体" w:hAnsi="宋体" w:cs="宋体"/>
          <w:sz w:val="24"/>
        </w:rPr>
      </w:pPr>
      <w:r>
        <w:rPr>
          <w:rFonts w:hint="eastAsia" w:ascii="宋体" w:hAnsi="宋体" w:cs="宋体"/>
          <w:sz w:val="24"/>
        </w:rPr>
        <w:t>2.8.1 乙方应建立和完善履行合同的内部质量保证体系，并提供相关内部规章制度给甲方，以便甲方进行监督检查；</w:t>
      </w:r>
    </w:p>
    <w:p w14:paraId="26576BBF">
      <w:pPr>
        <w:snapToGrid w:val="0"/>
        <w:spacing w:line="360" w:lineRule="auto"/>
        <w:ind w:firstLine="480" w:firstLineChars="200"/>
        <w:rPr>
          <w:rFonts w:ascii="宋体" w:hAnsi="宋体" w:cs="宋体"/>
          <w:sz w:val="24"/>
        </w:rPr>
      </w:pPr>
      <w:r>
        <w:rPr>
          <w:rFonts w:hint="eastAsia" w:ascii="宋体" w:hAnsi="宋体" w:cs="宋体"/>
          <w:sz w:val="24"/>
        </w:rPr>
        <w:t>2.8.2 乙方应保证履行合同的人员数量和素质、软件和硬件设备的配置、场地、环境和设施等满足全面履行合同的要求，并应接受甲方的监督检查。</w:t>
      </w:r>
    </w:p>
    <w:p w14:paraId="09D6957D">
      <w:pPr>
        <w:snapToGrid w:val="0"/>
        <w:spacing w:line="360" w:lineRule="auto"/>
        <w:ind w:firstLine="482" w:firstLineChars="200"/>
        <w:outlineLvl w:val="0"/>
        <w:rPr>
          <w:rFonts w:ascii="宋体" w:hAnsi="宋体" w:cs="宋体"/>
          <w:b/>
          <w:sz w:val="24"/>
        </w:rPr>
      </w:pPr>
      <w:bookmarkStart w:id="297" w:name="_Toc17244"/>
      <w:bookmarkStart w:id="298" w:name="_Toc487900362"/>
      <w:bookmarkStart w:id="299" w:name="_Toc259093681"/>
      <w:bookmarkStart w:id="300" w:name="_Toc279701252"/>
      <w:r>
        <w:rPr>
          <w:rFonts w:hint="eastAsia" w:ascii="宋体" w:hAnsi="宋体" w:cs="宋体"/>
          <w:b/>
          <w:sz w:val="24"/>
        </w:rPr>
        <w:t>2.9 货物的风险负担</w:t>
      </w:r>
      <w:bookmarkEnd w:id="297"/>
    </w:p>
    <w:p w14:paraId="04914CEF">
      <w:pPr>
        <w:snapToGrid w:val="0"/>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货物或者在途货物或者交付给第一承运人后的货物毁损、灭失的风险负担详见</w:t>
      </w:r>
      <w:r>
        <w:rPr>
          <w:rFonts w:hint="eastAsia" w:ascii="宋体" w:hAnsi="宋体" w:cs="宋体"/>
          <w:b/>
          <w:sz w:val="24"/>
          <w:u w:val="single"/>
        </w:rPr>
        <w:t>合同专用条款</w:t>
      </w:r>
      <w:r>
        <w:rPr>
          <w:rFonts w:hint="eastAsia" w:ascii="宋体" w:hAnsi="宋体" w:cs="宋体"/>
          <w:sz w:val="24"/>
        </w:rPr>
        <w:t>。</w:t>
      </w:r>
    </w:p>
    <w:p w14:paraId="47AF26F7">
      <w:pPr>
        <w:snapToGrid w:val="0"/>
        <w:spacing w:line="360" w:lineRule="auto"/>
        <w:ind w:firstLine="482" w:firstLineChars="200"/>
        <w:outlineLvl w:val="0"/>
        <w:rPr>
          <w:rFonts w:ascii="宋体" w:hAnsi="宋体" w:cs="宋体"/>
          <w:b/>
          <w:sz w:val="24"/>
        </w:rPr>
      </w:pPr>
      <w:bookmarkStart w:id="301" w:name="_Toc14055"/>
      <w:r>
        <w:rPr>
          <w:rFonts w:hint="eastAsia" w:ascii="宋体" w:hAnsi="宋体" w:cs="宋体"/>
          <w:b/>
          <w:sz w:val="24"/>
        </w:rPr>
        <w:t>2.10 延迟交货</w:t>
      </w:r>
      <w:bookmarkEnd w:id="298"/>
      <w:bookmarkEnd w:id="299"/>
      <w:bookmarkEnd w:id="300"/>
      <w:bookmarkEnd w:id="301"/>
    </w:p>
    <w:p w14:paraId="0975D354">
      <w:pPr>
        <w:snapToGrid w:val="0"/>
        <w:spacing w:line="360" w:lineRule="auto"/>
        <w:ind w:firstLine="480" w:firstLineChars="200"/>
        <w:rPr>
          <w:rFonts w:ascii="宋体" w:hAnsi="宋体" w:cs="宋体"/>
          <w:sz w:val="24"/>
        </w:rPr>
      </w:pPr>
      <w:r>
        <w:rPr>
          <w:rFonts w:hint="eastAsia" w:ascii="宋体" w:hAnsi="宋体" w:cs="宋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053DDC9B">
      <w:pPr>
        <w:snapToGrid w:val="0"/>
        <w:spacing w:line="360" w:lineRule="auto"/>
        <w:ind w:firstLine="482" w:firstLineChars="200"/>
        <w:outlineLvl w:val="0"/>
        <w:rPr>
          <w:rFonts w:ascii="宋体" w:hAnsi="宋体" w:cs="宋体"/>
          <w:b/>
          <w:sz w:val="24"/>
        </w:rPr>
      </w:pPr>
      <w:bookmarkStart w:id="302" w:name="_Toc7502"/>
      <w:bookmarkStart w:id="303" w:name="_Toc487900364"/>
      <w:bookmarkStart w:id="304" w:name="_Ref467378121"/>
      <w:bookmarkStart w:id="305" w:name="_Toc259093683"/>
      <w:bookmarkStart w:id="306" w:name="_Toc279701254"/>
      <w:r>
        <w:rPr>
          <w:rFonts w:hint="eastAsia" w:ascii="宋体" w:hAnsi="宋体" w:cs="宋体"/>
          <w:b/>
          <w:sz w:val="24"/>
        </w:rPr>
        <w:t>2.11 合同变更</w:t>
      </w:r>
      <w:bookmarkEnd w:id="302"/>
    </w:p>
    <w:p w14:paraId="2043A434">
      <w:pPr>
        <w:snapToGrid w:val="0"/>
        <w:spacing w:line="360" w:lineRule="auto"/>
        <w:ind w:firstLine="480" w:firstLineChars="200"/>
        <w:rPr>
          <w:rFonts w:ascii="宋体" w:hAnsi="宋体" w:cs="宋体"/>
          <w:sz w:val="24"/>
        </w:rPr>
      </w:pPr>
      <w:r>
        <w:rPr>
          <w:rFonts w:hint="eastAsia" w:ascii="宋体" w:hAnsi="宋体" w:cs="宋体"/>
          <w:sz w:val="24"/>
        </w:rPr>
        <w:t>2.11.1双方当事人协商一致，可以签订书面补充合同的形式变更合同，但不得违背采购文件确定的事项，且如果系追加与合同标的相同的货物的，那么所有补充合同的采购金额不得超过原合同价的10%；</w:t>
      </w:r>
    </w:p>
    <w:p w14:paraId="1D19B8BD">
      <w:pPr>
        <w:snapToGrid w:val="0"/>
        <w:spacing w:line="360" w:lineRule="auto"/>
        <w:ind w:firstLine="480" w:firstLineChars="200"/>
        <w:rPr>
          <w:rFonts w:ascii="宋体" w:hAnsi="宋体" w:cs="宋体"/>
          <w:sz w:val="24"/>
        </w:rPr>
      </w:pPr>
      <w:r>
        <w:rPr>
          <w:rFonts w:hint="eastAsia" w:ascii="宋体" w:hAnsi="宋体" w:cs="宋体"/>
          <w:sz w:val="24"/>
        </w:rPr>
        <w:t>2.11.2 合同继续履行将损害国家利益和社会公共利益的，双方当事人应当以书面形式变更合同。有过错的一方应当承担赔偿责任，双方当事人都有过错的，各自承担相应的责任。</w:t>
      </w:r>
      <w:bookmarkStart w:id="307" w:name="_Toc279701259"/>
      <w:bookmarkStart w:id="308" w:name="_Toc259093688"/>
      <w:bookmarkStart w:id="309" w:name="_Toc487900369"/>
    </w:p>
    <w:p w14:paraId="4C3078AD">
      <w:pPr>
        <w:snapToGrid w:val="0"/>
        <w:spacing w:line="360" w:lineRule="auto"/>
        <w:ind w:firstLine="482" w:firstLineChars="200"/>
        <w:outlineLvl w:val="0"/>
        <w:rPr>
          <w:rFonts w:ascii="宋体" w:hAnsi="宋体" w:cs="宋体"/>
          <w:b/>
          <w:sz w:val="24"/>
        </w:rPr>
      </w:pPr>
      <w:bookmarkStart w:id="310" w:name="_Toc22955"/>
      <w:bookmarkStart w:id="311" w:name="_Toc10366"/>
      <w:bookmarkStart w:id="312" w:name="_Toc15237"/>
      <w:r>
        <w:rPr>
          <w:rFonts w:hint="eastAsia" w:ascii="宋体" w:hAnsi="宋体" w:cs="宋体"/>
          <w:b/>
          <w:sz w:val="24"/>
        </w:rPr>
        <w:t>2.12 合同转让</w:t>
      </w:r>
      <w:bookmarkEnd w:id="307"/>
      <w:bookmarkEnd w:id="308"/>
      <w:bookmarkEnd w:id="309"/>
      <w:r>
        <w:rPr>
          <w:rFonts w:hint="eastAsia" w:ascii="宋体" w:hAnsi="宋体" w:cs="宋体"/>
          <w:b/>
          <w:sz w:val="24"/>
        </w:rPr>
        <w:t>和分包</w:t>
      </w:r>
      <w:bookmarkEnd w:id="310"/>
      <w:bookmarkEnd w:id="311"/>
      <w:bookmarkEnd w:id="312"/>
    </w:p>
    <w:p w14:paraId="1F229BD1">
      <w:pPr>
        <w:snapToGrid w:val="0"/>
        <w:spacing w:line="360" w:lineRule="auto"/>
        <w:ind w:firstLine="480" w:firstLineChars="200"/>
        <w:rPr>
          <w:rFonts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9C5AB5C">
      <w:pPr>
        <w:snapToGrid w:val="0"/>
        <w:spacing w:line="360" w:lineRule="auto"/>
        <w:ind w:firstLine="482" w:firstLineChars="200"/>
        <w:outlineLvl w:val="0"/>
        <w:rPr>
          <w:rFonts w:ascii="宋体" w:hAnsi="宋体" w:cs="宋体"/>
          <w:b/>
          <w:sz w:val="24"/>
        </w:rPr>
      </w:pPr>
      <w:bookmarkStart w:id="313" w:name="_Toc13566"/>
      <w:bookmarkStart w:id="314" w:name="_Toc16508"/>
      <w:bookmarkStart w:id="315" w:name="_Toc14066"/>
      <w:r>
        <w:rPr>
          <w:rFonts w:hint="eastAsia" w:ascii="宋体" w:hAnsi="宋体" w:cs="宋体"/>
          <w:b/>
          <w:sz w:val="24"/>
        </w:rPr>
        <w:t>2.13 不可抗力</w:t>
      </w:r>
      <w:bookmarkEnd w:id="313"/>
      <w:bookmarkEnd w:id="314"/>
      <w:bookmarkEnd w:id="315"/>
    </w:p>
    <w:p w14:paraId="41E46296">
      <w:pPr>
        <w:snapToGrid w:val="0"/>
        <w:spacing w:line="360" w:lineRule="auto"/>
        <w:ind w:firstLine="480" w:firstLineChars="200"/>
        <w:rPr>
          <w:rFonts w:ascii="宋体" w:hAnsi="宋体" w:cs="宋体"/>
          <w:sz w:val="24"/>
        </w:rPr>
      </w:pPr>
      <w:r>
        <w:rPr>
          <w:rFonts w:hint="eastAsia" w:ascii="宋体" w:hAnsi="宋体" w:cs="宋体"/>
          <w:sz w:val="24"/>
        </w:rPr>
        <w:t>2.13.1如果任何一方遭遇法律规定的不可抗力，致使合同履行受阻时，履行合同的期限应予延长，延长的期限应相当于不可抗力所影响的时间；</w:t>
      </w:r>
    </w:p>
    <w:p w14:paraId="2E12614E">
      <w:pPr>
        <w:snapToGrid w:val="0"/>
        <w:spacing w:line="360" w:lineRule="auto"/>
        <w:ind w:firstLine="480" w:firstLineChars="200"/>
        <w:rPr>
          <w:rFonts w:ascii="宋体" w:hAnsi="宋体" w:cs="宋体"/>
          <w:sz w:val="24"/>
        </w:rPr>
      </w:pPr>
      <w:r>
        <w:rPr>
          <w:rFonts w:hint="eastAsia" w:ascii="宋体" w:hAnsi="宋体" w:cs="宋体"/>
          <w:sz w:val="24"/>
        </w:rPr>
        <w:t>2.13.2 因不可抗力致使不能实现合同目的的，当事人可以解除合同；</w:t>
      </w:r>
    </w:p>
    <w:p w14:paraId="40659F9A">
      <w:pPr>
        <w:snapToGrid w:val="0"/>
        <w:spacing w:line="360" w:lineRule="auto"/>
        <w:ind w:firstLine="480" w:firstLineChars="200"/>
        <w:rPr>
          <w:rFonts w:ascii="宋体" w:hAnsi="宋体" w:cs="宋体"/>
          <w:sz w:val="24"/>
        </w:rPr>
      </w:pPr>
      <w:r>
        <w:rPr>
          <w:rFonts w:hint="eastAsia" w:ascii="宋体" w:hAnsi="宋体" w:cs="宋体"/>
          <w:sz w:val="24"/>
        </w:rPr>
        <w:t>2.13.3 因不可抗力致使合同有变更必要的，双方当事人应在</w:t>
      </w:r>
      <w:r>
        <w:rPr>
          <w:rFonts w:hint="eastAsia" w:ascii="宋体" w:hAnsi="宋体" w:cs="宋体"/>
          <w:b/>
          <w:sz w:val="24"/>
          <w:u w:val="single"/>
        </w:rPr>
        <w:t>合同专用条款</w:t>
      </w:r>
      <w:r>
        <w:rPr>
          <w:rFonts w:hint="eastAsia" w:ascii="宋体" w:hAnsi="宋体" w:cs="宋体"/>
          <w:sz w:val="24"/>
        </w:rPr>
        <w:t>约定时间内以书面形式变更合同；</w:t>
      </w:r>
    </w:p>
    <w:p w14:paraId="4A255E9F">
      <w:pPr>
        <w:snapToGrid w:val="0"/>
        <w:spacing w:line="360" w:lineRule="auto"/>
        <w:ind w:firstLine="480" w:firstLineChars="200"/>
        <w:rPr>
          <w:rFonts w:ascii="宋体" w:hAnsi="宋体" w:cs="宋体"/>
          <w:sz w:val="24"/>
        </w:rPr>
      </w:pPr>
      <w:r>
        <w:rPr>
          <w:rFonts w:hint="eastAsia" w:ascii="宋体" w:hAnsi="宋体" w:cs="宋体"/>
          <w:sz w:val="24"/>
        </w:rPr>
        <w:t>2.13.4受不可抗力影响的一方在不可抗力发生后，应在</w:t>
      </w:r>
      <w:r>
        <w:rPr>
          <w:rFonts w:hint="eastAsia" w:ascii="宋体" w:hAnsi="宋体" w:cs="宋体"/>
          <w:b/>
          <w:sz w:val="24"/>
          <w:u w:val="single"/>
        </w:rPr>
        <w:t>合同专用条款</w:t>
      </w:r>
      <w:r>
        <w:rPr>
          <w:rFonts w:hint="eastAsia" w:ascii="宋体" w:hAnsi="宋体" w:cs="宋体"/>
          <w:sz w:val="24"/>
        </w:rPr>
        <w:t>约定时间内以书面形式通知对方当事人，并在</w:t>
      </w:r>
      <w:r>
        <w:rPr>
          <w:rFonts w:hint="eastAsia" w:ascii="宋体" w:hAnsi="宋体" w:cs="宋体"/>
          <w:b/>
          <w:sz w:val="24"/>
          <w:u w:val="single"/>
        </w:rPr>
        <w:t>合同专用条款</w:t>
      </w:r>
      <w:r>
        <w:rPr>
          <w:rFonts w:hint="eastAsia" w:ascii="宋体" w:hAnsi="宋体" w:cs="宋体"/>
          <w:sz w:val="24"/>
        </w:rPr>
        <w:t>约定时间内，将有关部门出具的证明文件送达对方当事人。</w:t>
      </w:r>
    </w:p>
    <w:p w14:paraId="0FCC899A">
      <w:pPr>
        <w:snapToGrid w:val="0"/>
        <w:spacing w:line="360" w:lineRule="auto"/>
        <w:ind w:firstLine="482" w:firstLineChars="200"/>
        <w:outlineLvl w:val="0"/>
        <w:rPr>
          <w:rFonts w:ascii="宋体" w:hAnsi="宋体" w:cs="宋体"/>
          <w:b/>
          <w:sz w:val="24"/>
        </w:rPr>
      </w:pPr>
      <w:bookmarkStart w:id="316" w:name="_Toc487900365"/>
      <w:bookmarkStart w:id="317" w:name="_Toc6969"/>
      <w:bookmarkStart w:id="318" w:name="_Toc30676"/>
      <w:bookmarkStart w:id="319" w:name="_Toc259093684"/>
      <w:bookmarkStart w:id="320" w:name="_Toc689"/>
      <w:bookmarkStart w:id="321" w:name="_Toc279701255"/>
      <w:r>
        <w:rPr>
          <w:rFonts w:hint="eastAsia" w:ascii="宋体" w:hAnsi="宋体" w:cs="宋体"/>
          <w:b/>
          <w:sz w:val="24"/>
        </w:rPr>
        <w:t>2.14 税费</w:t>
      </w:r>
      <w:bookmarkEnd w:id="316"/>
      <w:bookmarkEnd w:id="317"/>
      <w:bookmarkEnd w:id="318"/>
      <w:bookmarkEnd w:id="319"/>
      <w:bookmarkEnd w:id="320"/>
      <w:bookmarkEnd w:id="321"/>
    </w:p>
    <w:p w14:paraId="44984486">
      <w:pPr>
        <w:snapToGrid w:val="0"/>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34AAA1CF">
      <w:pPr>
        <w:snapToGrid w:val="0"/>
        <w:spacing w:line="360" w:lineRule="auto"/>
        <w:ind w:firstLine="482" w:firstLineChars="200"/>
        <w:outlineLvl w:val="0"/>
        <w:rPr>
          <w:rFonts w:ascii="宋体" w:hAnsi="宋体" w:cs="宋体"/>
          <w:b/>
          <w:sz w:val="24"/>
        </w:rPr>
      </w:pPr>
      <w:bookmarkStart w:id="322" w:name="_Toc7102"/>
      <w:bookmarkStart w:id="323" w:name="_Toc259093687"/>
      <w:bookmarkStart w:id="324" w:name="_Toc8298"/>
      <w:bookmarkStart w:id="325" w:name="_Toc16959"/>
      <w:bookmarkStart w:id="326" w:name="_Toc487900368"/>
      <w:bookmarkStart w:id="327" w:name="_Toc279701258"/>
      <w:r>
        <w:rPr>
          <w:rFonts w:hint="eastAsia" w:ascii="宋体" w:hAnsi="宋体" w:cs="宋体"/>
          <w:b/>
          <w:sz w:val="24"/>
        </w:rPr>
        <w:t>2.15 乙方破产</w:t>
      </w:r>
      <w:bookmarkEnd w:id="322"/>
      <w:bookmarkEnd w:id="323"/>
      <w:bookmarkEnd w:id="324"/>
      <w:bookmarkEnd w:id="325"/>
      <w:bookmarkEnd w:id="326"/>
      <w:bookmarkEnd w:id="327"/>
    </w:p>
    <w:p w14:paraId="34E2D343">
      <w:pPr>
        <w:snapToGrid w:val="0"/>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609D332">
      <w:pPr>
        <w:snapToGrid w:val="0"/>
        <w:spacing w:line="360" w:lineRule="auto"/>
        <w:ind w:firstLine="482" w:firstLineChars="200"/>
        <w:outlineLvl w:val="0"/>
        <w:rPr>
          <w:rFonts w:ascii="宋体" w:hAnsi="宋体" w:cs="宋体"/>
          <w:b/>
          <w:sz w:val="24"/>
        </w:rPr>
      </w:pPr>
      <w:bookmarkStart w:id="328" w:name="_Toc29333"/>
      <w:bookmarkStart w:id="329" w:name="_Toc6134"/>
      <w:bookmarkStart w:id="330" w:name="_Toc15387"/>
      <w:r>
        <w:rPr>
          <w:rFonts w:hint="eastAsia" w:ascii="宋体" w:hAnsi="宋体" w:cs="宋体"/>
          <w:b/>
          <w:sz w:val="24"/>
        </w:rPr>
        <w:t>2.16 合同中止、终止</w:t>
      </w:r>
      <w:bookmarkEnd w:id="328"/>
      <w:bookmarkEnd w:id="329"/>
      <w:bookmarkEnd w:id="330"/>
    </w:p>
    <w:p w14:paraId="6A64F081">
      <w:pPr>
        <w:snapToGrid w:val="0"/>
        <w:spacing w:line="360" w:lineRule="auto"/>
        <w:ind w:firstLine="480" w:firstLineChars="200"/>
        <w:rPr>
          <w:rFonts w:ascii="宋体" w:hAnsi="宋体" w:cs="宋体"/>
          <w:sz w:val="24"/>
        </w:rPr>
      </w:pPr>
      <w:r>
        <w:rPr>
          <w:rFonts w:hint="eastAsia" w:ascii="宋体" w:hAnsi="宋体" w:cs="宋体"/>
          <w:sz w:val="24"/>
        </w:rPr>
        <w:t>2.16.1 双方当事人不得擅自中止或者终止合同；</w:t>
      </w:r>
    </w:p>
    <w:p w14:paraId="4AE11C74">
      <w:pPr>
        <w:snapToGrid w:val="0"/>
        <w:spacing w:line="360" w:lineRule="auto"/>
        <w:ind w:firstLine="480" w:firstLineChars="200"/>
        <w:rPr>
          <w:rFonts w:ascii="宋体" w:hAnsi="宋体" w:cs="宋体"/>
          <w:sz w:val="24"/>
        </w:rPr>
      </w:pPr>
      <w:r>
        <w:rPr>
          <w:rFonts w:hint="eastAsia" w:ascii="宋体" w:hAnsi="宋体" w:cs="宋体"/>
          <w:sz w:val="24"/>
        </w:rPr>
        <w:t>2.16.2合同继续履行将损害国家利益和社会公共利益的，双方当事人应当中止或者终止合同。有过错的一方应当承担赔偿责任，双方当事人都有过错的，各自承担相应的责任。</w:t>
      </w:r>
    </w:p>
    <w:p w14:paraId="399DD234">
      <w:pPr>
        <w:snapToGrid w:val="0"/>
        <w:spacing w:line="360" w:lineRule="auto"/>
        <w:ind w:firstLine="482" w:firstLineChars="200"/>
        <w:outlineLvl w:val="0"/>
        <w:rPr>
          <w:rFonts w:ascii="宋体" w:hAnsi="宋体" w:cs="宋体"/>
          <w:b/>
          <w:sz w:val="24"/>
        </w:rPr>
      </w:pPr>
      <w:bookmarkStart w:id="331" w:name="_Toc6596"/>
      <w:bookmarkStart w:id="332" w:name="_Toc14563"/>
      <w:bookmarkStart w:id="333" w:name="_Toc1125"/>
      <w:r>
        <w:rPr>
          <w:rFonts w:hint="eastAsia" w:ascii="宋体" w:hAnsi="宋体" w:cs="宋体"/>
          <w:b/>
          <w:sz w:val="24"/>
        </w:rPr>
        <w:t>2.17 检验和验收</w:t>
      </w:r>
      <w:bookmarkEnd w:id="331"/>
      <w:bookmarkEnd w:id="332"/>
      <w:bookmarkEnd w:id="333"/>
    </w:p>
    <w:p w14:paraId="18F25D44">
      <w:pPr>
        <w:tabs>
          <w:tab w:val="left" w:pos="360"/>
          <w:tab w:val="left" w:pos="540"/>
          <w:tab w:val="left" w:pos="1080"/>
        </w:tabs>
        <w:snapToGrid w:val="0"/>
        <w:spacing w:line="360" w:lineRule="auto"/>
        <w:ind w:firstLine="480" w:firstLineChars="200"/>
        <w:rPr>
          <w:rFonts w:ascii="宋体" w:hAnsi="宋体" w:cs="宋体"/>
          <w:sz w:val="24"/>
        </w:rPr>
      </w:pPr>
      <w:r>
        <w:rPr>
          <w:rFonts w:hint="eastAsia" w:ascii="宋体" w:hAnsi="宋体" w:cs="宋体"/>
          <w:sz w:val="24"/>
        </w:rPr>
        <w:t>2.17.1货物交付前，乙方应对货物的质量、数量等方面进行详细、全面的检验，并向甲方出具证明货物符合合同约定的文件；货物交付时，乙方在</w:t>
      </w:r>
      <w:r>
        <w:rPr>
          <w:rFonts w:hint="eastAsia" w:ascii="宋体" w:hAnsi="宋体" w:cs="宋体"/>
          <w:b/>
          <w:sz w:val="24"/>
          <w:u w:val="single"/>
        </w:rPr>
        <w:t>合同专用条款</w:t>
      </w:r>
      <w:r>
        <w:rPr>
          <w:rFonts w:hint="eastAsia" w:ascii="宋体" w:hAnsi="宋体" w:cs="宋体"/>
          <w:sz w:val="24"/>
        </w:rPr>
        <w:t>约定时间内组织验收，并可依法邀请相关方参加，验收应出具验收书。</w:t>
      </w:r>
    </w:p>
    <w:p w14:paraId="2A5540BC">
      <w:pPr>
        <w:tabs>
          <w:tab w:val="left" w:pos="360"/>
          <w:tab w:val="left" w:pos="540"/>
          <w:tab w:val="left" w:pos="1080"/>
        </w:tabs>
        <w:snapToGrid w:val="0"/>
        <w:spacing w:line="360" w:lineRule="auto"/>
        <w:ind w:firstLine="480" w:firstLineChars="200"/>
        <w:rPr>
          <w:rFonts w:ascii="宋体" w:hAnsi="宋体" w:cs="宋体"/>
          <w:sz w:val="24"/>
        </w:rPr>
      </w:pPr>
      <w:r>
        <w:rPr>
          <w:rFonts w:hint="eastAsia" w:ascii="宋体" w:hAnsi="宋体" w:cs="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DA8FBE2">
      <w:pPr>
        <w:tabs>
          <w:tab w:val="left" w:pos="360"/>
          <w:tab w:val="left" w:pos="540"/>
          <w:tab w:val="left" w:pos="1080"/>
        </w:tabs>
        <w:snapToGrid w:val="0"/>
        <w:spacing w:line="360" w:lineRule="auto"/>
        <w:ind w:firstLine="480" w:firstLineChars="200"/>
        <w:rPr>
          <w:rFonts w:ascii="宋体" w:hAnsi="宋体" w:cs="宋体"/>
          <w:sz w:val="24"/>
        </w:rPr>
      </w:pPr>
      <w:r>
        <w:rPr>
          <w:rFonts w:hint="eastAsia" w:ascii="宋体" w:hAnsi="宋体" w:cs="宋体"/>
          <w:sz w:val="24"/>
        </w:rPr>
        <w:t>2.17.3 检验和验收标准、程序等具体内容以及前述验收书的效力详见</w:t>
      </w:r>
      <w:r>
        <w:rPr>
          <w:rFonts w:hint="eastAsia" w:ascii="宋体" w:hAnsi="宋体" w:cs="宋体"/>
          <w:b/>
          <w:sz w:val="24"/>
          <w:u w:val="single"/>
        </w:rPr>
        <w:t>合同专用条款</w:t>
      </w:r>
      <w:r>
        <w:rPr>
          <w:rFonts w:hint="eastAsia" w:ascii="宋体" w:hAnsi="宋体" w:cs="宋体"/>
          <w:sz w:val="24"/>
        </w:rPr>
        <w:t>。</w:t>
      </w:r>
    </w:p>
    <w:bookmarkEnd w:id="303"/>
    <w:bookmarkEnd w:id="304"/>
    <w:bookmarkEnd w:id="305"/>
    <w:bookmarkEnd w:id="306"/>
    <w:p w14:paraId="489503C0">
      <w:pPr>
        <w:snapToGrid w:val="0"/>
        <w:spacing w:line="360" w:lineRule="auto"/>
        <w:ind w:firstLine="482" w:firstLineChars="200"/>
        <w:outlineLvl w:val="0"/>
        <w:rPr>
          <w:rFonts w:ascii="宋体" w:hAnsi="宋体" w:cs="宋体"/>
          <w:b/>
          <w:sz w:val="24"/>
        </w:rPr>
      </w:pPr>
      <w:bookmarkStart w:id="334" w:name="_Toc279701261"/>
      <w:bookmarkStart w:id="335" w:name="_Toc259093690"/>
      <w:bookmarkStart w:id="336" w:name="_Toc487900371"/>
      <w:bookmarkStart w:id="337" w:name="_Toc19604"/>
      <w:bookmarkStart w:id="338" w:name="_Toc25182"/>
      <w:bookmarkStart w:id="339" w:name="_Toc11284"/>
      <w:r>
        <w:rPr>
          <w:rFonts w:hint="eastAsia" w:ascii="宋体" w:hAnsi="宋体" w:cs="宋体"/>
          <w:b/>
          <w:sz w:val="24"/>
        </w:rPr>
        <w:t>2.18 通知</w:t>
      </w:r>
      <w:bookmarkEnd w:id="334"/>
      <w:bookmarkEnd w:id="335"/>
      <w:bookmarkEnd w:id="336"/>
      <w:r>
        <w:rPr>
          <w:rFonts w:hint="eastAsia" w:ascii="宋体" w:hAnsi="宋体" w:cs="宋体"/>
          <w:b/>
          <w:sz w:val="24"/>
        </w:rPr>
        <w:t>和送达</w:t>
      </w:r>
      <w:bookmarkEnd w:id="337"/>
      <w:bookmarkEnd w:id="338"/>
      <w:bookmarkEnd w:id="339"/>
    </w:p>
    <w:p w14:paraId="64028E51">
      <w:pPr>
        <w:snapToGrid w:val="0"/>
        <w:spacing w:line="360" w:lineRule="auto"/>
        <w:ind w:firstLine="480" w:firstLineChars="200"/>
        <w:rPr>
          <w:rFonts w:ascii="宋体" w:hAnsi="宋体" w:cs="宋体"/>
          <w:sz w:val="24"/>
        </w:rPr>
      </w:pPr>
      <w:bookmarkStart w:id="340" w:name="_Toc3135"/>
      <w:bookmarkStart w:id="341" w:name="_Toc6698"/>
      <w:bookmarkStart w:id="342" w:name="_Toc259093691"/>
      <w:bookmarkStart w:id="343" w:name="_Toc487900372"/>
      <w:bookmarkStart w:id="344" w:name="_Toc279701262"/>
      <w:r>
        <w:rPr>
          <w:rFonts w:hint="eastAsia" w:ascii="宋体" w:hAnsi="宋体" w:cs="宋体"/>
          <w:sz w:val="24"/>
        </w:rPr>
        <w:t>2.18.1 任何一方因履行合同而以合同第一部分尾部所列明的</w:t>
      </w:r>
      <w:r>
        <w:rPr>
          <w:rFonts w:hint="eastAsia" w:ascii="宋体" w:hAnsi="宋体" w:cs="宋体"/>
          <w:sz w:val="24"/>
          <w:u w:val="single"/>
        </w:rPr>
        <w:t xml:space="preserve"> 书面、电子邮件</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 xml:space="preserve"> 2 </w:t>
      </w:r>
      <w:r>
        <w:rPr>
          <w:rFonts w:hint="eastAsia" w:ascii="宋体" w:hAnsi="宋体" w:cs="宋体"/>
          <w:sz w:val="24"/>
        </w:rPr>
        <w:t>个工作日内书面通知对方当事人，在对方当事人收到有关变更通知之前，变更前的约定送达方式或者地址仍视为有效。</w:t>
      </w:r>
      <w:bookmarkEnd w:id="340"/>
      <w:bookmarkEnd w:id="341"/>
    </w:p>
    <w:p w14:paraId="3D410539">
      <w:pPr>
        <w:snapToGrid w:val="0"/>
        <w:spacing w:line="360" w:lineRule="auto"/>
        <w:ind w:firstLine="480" w:firstLineChars="200"/>
        <w:rPr>
          <w:rFonts w:ascii="宋体" w:hAnsi="宋体" w:cs="宋体"/>
          <w:sz w:val="24"/>
        </w:rPr>
      </w:pPr>
      <w:bookmarkStart w:id="345" w:name="_Toc23294"/>
      <w:bookmarkStart w:id="346" w:name="_Toc23128"/>
      <w:r>
        <w:rPr>
          <w:rFonts w:hint="eastAsia" w:ascii="宋体" w:hAnsi="宋体" w:cs="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45"/>
      <w:bookmarkEnd w:id="346"/>
    </w:p>
    <w:p w14:paraId="048939F7">
      <w:pPr>
        <w:snapToGrid w:val="0"/>
        <w:spacing w:line="360" w:lineRule="auto"/>
        <w:ind w:firstLine="482" w:firstLineChars="200"/>
        <w:outlineLvl w:val="0"/>
        <w:rPr>
          <w:rFonts w:ascii="宋体" w:hAnsi="宋体" w:cs="宋体"/>
          <w:b/>
          <w:sz w:val="24"/>
        </w:rPr>
      </w:pPr>
      <w:bookmarkStart w:id="347" w:name="_Toc18540"/>
      <w:bookmarkStart w:id="348" w:name="_Toc4355"/>
      <w:bookmarkStart w:id="349" w:name="_Toc30599"/>
      <w:r>
        <w:rPr>
          <w:rFonts w:hint="eastAsia" w:ascii="宋体" w:hAnsi="宋体" w:cs="宋体"/>
          <w:b/>
          <w:sz w:val="24"/>
        </w:rPr>
        <w:t>2.19 计量单位</w:t>
      </w:r>
      <w:bookmarkEnd w:id="342"/>
      <w:bookmarkEnd w:id="343"/>
      <w:bookmarkEnd w:id="344"/>
      <w:bookmarkEnd w:id="347"/>
      <w:bookmarkEnd w:id="348"/>
      <w:bookmarkEnd w:id="349"/>
    </w:p>
    <w:p w14:paraId="5BC4FFEE">
      <w:pPr>
        <w:snapToGrid w:val="0"/>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127ECB4">
      <w:pPr>
        <w:snapToGrid w:val="0"/>
        <w:spacing w:line="360" w:lineRule="auto"/>
        <w:ind w:firstLine="482" w:firstLineChars="200"/>
        <w:outlineLvl w:val="0"/>
        <w:rPr>
          <w:rFonts w:ascii="宋体" w:hAnsi="宋体" w:cs="宋体"/>
          <w:b/>
          <w:sz w:val="24"/>
        </w:rPr>
      </w:pPr>
      <w:bookmarkStart w:id="350" w:name="_Toc18567"/>
      <w:bookmarkStart w:id="351" w:name="_Toc12773"/>
      <w:bookmarkStart w:id="352" w:name="_Toc487900373"/>
      <w:bookmarkStart w:id="353" w:name="_Toc259093692"/>
      <w:bookmarkStart w:id="354" w:name="_Toc279701263"/>
      <w:bookmarkStart w:id="355" w:name="_Toc10330"/>
      <w:r>
        <w:rPr>
          <w:rFonts w:hint="eastAsia" w:ascii="宋体" w:hAnsi="宋体" w:cs="宋体"/>
          <w:b/>
          <w:sz w:val="24"/>
        </w:rPr>
        <w:t>2.20 合同使用的文字和适用的法律</w:t>
      </w:r>
      <w:bookmarkEnd w:id="350"/>
      <w:bookmarkEnd w:id="351"/>
      <w:bookmarkEnd w:id="352"/>
      <w:bookmarkEnd w:id="353"/>
      <w:bookmarkEnd w:id="354"/>
      <w:bookmarkEnd w:id="355"/>
    </w:p>
    <w:p w14:paraId="396F4EC3">
      <w:pPr>
        <w:snapToGrid w:val="0"/>
        <w:spacing w:line="360" w:lineRule="auto"/>
        <w:ind w:firstLine="480" w:firstLineChars="200"/>
        <w:rPr>
          <w:rFonts w:ascii="宋体" w:hAnsi="宋体" w:cs="宋体"/>
          <w:sz w:val="24"/>
        </w:rPr>
      </w:pPr>
      <w:r>
        <w:rPr>
          <w:rFonts w:hint="eastAsia" w:ascii="宋体" w:hAnsi="宋体" w:cs="宋体"/>
          <w:sz w:val="24"/>
        </w:rPr>
        <w:t>2.20.1 合同使用汉语书就、变更和解释；</w:t>
      </w:r>
    </w:p>
    <w:p w14:paraId="63F83BFB">
      <w:pPr>
        <w:snapToGrid w:val="0"/>
        <w:spacing w:line="360" w:lineRule="auto"/>
        <w:ind w:firstLine="480" w:firstLineChars="200"/>
        <w:rPr>
          <w:rFonts w:ascii="宋体" w:hAnsi="宋体" w:cs="宋体"/>
          <w:sz w:val="24"/>
        </w:rPr>
      </w:pPr>
      <w:r>
        <w:rPr>
          <w:rFonts w:hint="eastAsia" w:ascii="宋体" w:hAnsi="宋体" w:cs="宋体"/>
          <w:sz w:val="24"/>
        </w:rPr>
        <w:t>2.20.2 合同适用中华人民共和国法律。</w:t>
      </w:r>
    </w:p>
    <w:p w14:paraId="69506265">
      <w:pPr>
        <w:snapToGrid w:val="0"/>
        <w:spacing w:line="360" w:lineRule="auto"/>
        <w:ind w:firstLine="482" w:firstLineChars="200"/>
        <w:outlineLvl w:val="0"/>
        <w:rPr>
          <w:rFonts w:ascii="宋体" w:hAnsi="宋体" w:cs="宋体"/>
          <w:b/>
          <w:sz w:val="24"/>
        </w:rPr>
      </w:pPr>
      <w:bookmarkStart w:id="356" w:name="_Toc3148"/>
      <w:bookmarkStart w:id="357" w:name="_Toc259093693"/>
      <w:bookmarkStart w:id="358" w:name="_Toc279701264"/>
      <w:bookmarkStart w:id="359" w:name="_Toc16673"/>
      <w:bookmarkStart w:id="360" w:name="_Toc12004"/>
      <w:bookmarkStart w:id="361" w:name="_Toc487900374"/>
      <w:r>
        <w:rPr>
          <w:rFonts w:hint="eastAsia" w:ascii="宋体" w:hAnsi="宋体" w:cs="宋体"/>
          <w:b/>
          <w:sz w:val="24"/>
        </w:rPr>
        <w:t>2.21 履约保证金</w:t>
      </w:r>
      <w:bookmarkEnd w:id="356"/>
      <w:bookmarkEnd w:id="357"/>
      <w:bookmarkEnd w:id="358"/>
      <w:bookmarkEnd w:id="359"/>
      <w:bookmarkEnd w:id="360"/>
    </w:p>
    <w:p w14:paraId="14B7B4DC">
      <w:pPr>
        <w:snapToGrid w:val="0"/>
        <w:spacing w:line="360" w:lineRule="auto"/>
        <w:ind w:firstLine="480" w:firstLineChars="200"/>
        <w:rPr>
          <w:rFonts w:ascii="宋体" w:hAnsi="宋体" w:cs="宋体"/>
          <w:sz w:val="24"/>
        </w:rPr>
      </w:pPr>
      <w:r>
        <w:rPr>
          <w:rFonts w:hint="eastAsia" w:ascii="宋体" w:hAnsi="宋体" w:cs="宋体"/>
          <w:sz w:val="24"/>
        </w:rPr>
        <w:t>2.21.1 采购文件要求乙方提交履约保证金的，乙方应按</w:t>
      </w:r>
      <w:r>
        <w:rPr>
          <w:rFonts w:hint="eastAsia" w:ascii="宋体" w:hAnsi="宋体" w:cs="宋体"/>
          <w:b/>
          <w:sz w:val="24"/>
          <w:u w:val="single"/>
        </w:rPr>
        <w:t>合同专用条款</w:t>
      </w:r>
      <w:r>
        <w:rPr>
          <w:rFonts w:hint="eastAsia" w:ascii="宋体" w:hAnsi="宋体" w:cs="宋体"/>
          <w:sz w:val="24"/>
        </w:rPr>
        <w:t>约定的方式，以支票、汇票、本票或者金融机构、担保机构出具的保函等非现金形式，提交不超过合同价10%的履约保证金；</w:t>
      </w:r>
    </w:p>
    <w:p w14:paraId="35D547FD">
      <w:pPr>
        <w:snapToGrid w:val="0"/>
        <w:spacing w:line="360" w:lineRule="auto"/>
        <w:ind w:firstLine="480" w:firstLineChars="200"/>
        <w:rPr>
          <w:rFonts w:ascii="宋体" w:hAnsi="宋体" w:cs="宋体"/>
          <w:sz w:val="24"/>
        </w:rPr>
      </w:pPr>
      <w:r>
        <w:rPr>
          <w:rFonts w:hint="eastAsia" w:ascii="宋体" w:hAnsi="宋体" w:cs="宋体"/>
          <w:sz w:val="24"/>
        </w:rPr>
        <w:t>2.21.2  履约保证金在</w:t>
      </w:r>
      <w:r>
        <w:rPr>
          <w:rFonts w:hint="eastAsia" w:ascii="宋体" w:hAnsi="宋体" w:cs="宋体"/>
          <w:b/>
          <w:sz w:val="24"/>
          <w:u w:val="single"/>
        </w:rPr>
        <w:t>合同专用条款</w:t>
      </w:r>
      <w:r>
        <w:rPr>
          <w:rFonts w:hint="eastAsia" w:ascii="宋体" w:hAnsi="宋体" w:cs="宋体"/>
          <w:sz w:val="24"/>
        </w:rPr>
        <w:t>约定期间内或者货物质量保证期内不予退还或者应完全有效，前述约定期间届满或者货物质量保证期届满之日起</w:t>
      </w:r>
      <w:r>
        <w:rPr>
          <w:rFonts w:hint="eastAsia" w:ascii="宋体" w:hAnsi="宋体" w:cs="宋体"/>
          <w:sz w:val="24"/>
          <w:u w:val="single"/>
        </w:rPr>
        <w:t xml:space="preserve">10 </w:t>
      </w:r>
      <w:r>
        <w:rPr>
          <w:rFonts w:hint="eastAsia" w:ascii="宋体" w:hAnsi="宋体" w:cs="宋体"/>
          <w:sz w:val="24"/>
        </w:rPr>
        <w:t>个工作日内，甲方应将履约保证金退还乙方；</w:t>
      </w:r>
    </w:p>
    <w:p w14:paraId="7C4B5762">
      <w:pPr>
        <w:snapToGrid w:val="0"/>
        <w:spacing w:line="360" w:lineRule="auto"/>
        <w:ind w:firstLine="480" w:firstLineChars="200"/>
        <w:rPr>
          <w:rFonts w:ascii="宋体" w:hAnsi="宋体" w:cs="宋体"/>
          <w:sz w:val="24"/>
        </w:rPr>
      </w:pPr>
      <w:r>
        <w:rPr>
          <w:rFonts w:hint="eastAsia" w:ascii="宋体" w:hAnsi="宋体" w:cs="宋体"/>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61"/>
    <w:p w14:paraId="7EB4F457">
      <w:pPr>
        <w:snapToGrid w:val="0"/>
        <w:spacing w:line="360" w:lineRule="auto"/>
        <w:ind w:firstLine="482" w:firstLineChars="200"/>
        <w:outlineLvl w:val="0"/>
        <w:rPr>
          <w:rFonts w:ascii="宋体" w:hAnsi="宋体" w:cs="宋体"/>
          <w:b/>
          <w:sz w:val="24"/>
        </w:rPr>
      </w:pPr>
      <w:bookmarkStart w:id="362" w:name="_Toc19890"/>
      <w:bookmarkStart w:id="363" w:name="_Toc6885"/>
      <w:bookmarkStart w:id="364" w:name="_Toc14001"/>
      <w:r>
        <w:rPr>
          <w:rFonts w:hint="eastAsia" w:ascii="宋体" w:hAnsi="宋体" w:cs="宋体"/>
          <w:b/>
          <w:sz w:val="24"/>
        </w:rPr>
        <w:t>2.22 合同份数</w:t>
      </w:r>
      <w:bookmarkEnd w:id="362"/>
      <w:bookmarkEnd w:id="363"/>
      <w:bookmarkEnd w:id="364"/>
    </w:p>
    <w:p w14:paraId="1B93E492">
      <w:pPr>
        <w:snapToGrid w:val="0"/>
        <w:spacing w:line="360" w:lineRule="auto"/>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sz w:val="24"/>
          <w:u w:val="single"/>
        </w:rPr>
        <w:t>合同专用条款</w:t>
      </w:r>
      <w:r>
        <w:rPr>
          <w:rFonts w:hint="eastAsia" w:ascii="宋体" w:hAnsi="宋体" w:cs="宋体"/>
          <w:sz w:val="24"/>
        </w:rPr>
        <w:t>规定，每份均具有同等法律效力。</w:t>
      </w:r>
    </w:p>
    <w:p w14:paraId="7B8512C6">
      <w:pPr>
        <w:pStyle w:val="428"/>
        <w:spacing w:line="360" w:lineRule="auto"/>
        <w:ind w:firstLine="0"/>
        <w:jc w:val="center"/>
        <w:rPr>
          <w:rFonts w:hint="default" w:ascii="宋体" w:hAnsi="宋体" w:cs="宋体"/>
          <w:b/>
          <w:szCs w:val="24"/>
        </w:rPr>
      </w:pPr>
      <w:r>
        <w:rPr>
          <w:rFonts w:ascii="宋体" w:hAnsi="宋体" w:cs="宋体"/>
          <w:szCs w:val="24"/>
        </w:rPr>
        <w:br w:type="page"/>
      </w:r>
      <w:bookmarkStart w:id="365" w:name="_Toc331685784"/>
      <w:r>
        <w:rPr>
          <w:rFonts w:ascii="宋体" w:hAnsi="宋体" w:cs="宋体"/>
          <w:b/>
          <w:szCs w:val="24"/>
        </w:rPr>
        <w:t>第三部分  合同专用条款</w:t>
      </w:r>
      <w:bookmarkEnd w:id="365"/>
    </w:p>
    <w:p w14:paraId="52618618">
      <w:pPr>
        <w:spacing w:line="360" w:lineRule="auto"/>
        <w:ind w:firstLine="480" w:firstLineChars="200"/>
        <w:rPr>
          <w:rFonts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92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441"/>
      </w:tblGrid>
      <w:tr w14:paraId="5EFEF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14:paraId="35744421">
            <w:pPr>
              <w:spacing w:line="360" w:lineRule="auto"/>
              <w:jc w:val="center"/>
              <w:rPr>
                <w:rFonts w:ascii="宋体" w:hAnsi="宋体" w:cs="宋体"/>
                <w:b/>
                <w:sz w:val="24"/>
              </w:rPr>
            </w:pPr>
            <w:r>
              <w:rPr>
                <w:rFonts w:hint="eastAsia" w:ascii="宋体" w:hAnsi="宋体" w:cs="宋体"/>
                <w:b/>
                <w:sz w:val="24"/>
              </w:rPr>
              <w:t>条款号</w:t>
            </w:r>
          </w:p>
        </w:tc>
        <w:tc>
          <w:tcPr>
            <w:tcW w:w="8441" w:type="dxa"/>
            <w:vAlign w:val="center"/>
          </w:tcPr>
          <w:p w14:paraId="0CB02305">
            <w:pPr>
              <w:spacing w:line="360" w:lineRule="auto"/>
              <w:jc w:val="center"/>
              <w:rPr>
                <w:rFonts w:ascii="宋体" w:hAnsi="宋体" w:cs="宋体"/>
                <w:b/>
                <w:sz w:val="24"/>
              </w:rPr>
            </w:pPr>
            <w:r>
              <w:rPr>
                <w:rFonts w:hint="eastAsia" w:ascii="宋体" w:hAnsi="宋体" w:cs="宋体"/>
                <w:b/>
                <w:sz w:val="24"/>
              </w:rPr>
              <w:t>约定内容</w:t>
            </w:r>
          </w:p>
        </w:tc>
      </w:tr>
      <w:tr w14:paraId="529DB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801" w:type="dxa"/>
            <w:tcBorders>
              <w:left w:val="single" w:color="auto" w:sz="4" w:space="0"/>
            </w:tcBorders>
            <w:vAlign w:val="center"/>
          </w:tcPr>
          <w:p w14:paraId="0797DA95">
            <w:pPr>
              <w:spacing w:line="360" w:lineRule="auto"/>
              <w:jc w:val="center"/>
              <w:rPr>
                <w:rFonts w:ascii="宋体" w:hAnsi="宋体" w:cs="宋体"/>
                <w:sz w:val="24"/>
              </w:rPr>
            </w:pPr>
            <w:r>
              <w:rPr>
                <w:rFonts w:hint="eastAsia" w:ascii="宋体" w:hAnsi="宋体" w:cs="宋体"/>
                <w:sz w:val="24"/>
              </w:rPr>
              <w:t>2.3.2</w:t>
            </w:r>
          </w:p>
        </w:tc>
        <w:tc>
          <w:tcPr>
            <w:tcW w:w="8441" w:type="dxa"/>
            <w:vAlign w:val="center"/>
          </w:tcPr>
          <w:p w14:paraId="460930E9">
            <w:pPr>
              <w:spacing w:line="360" w:lineRule="auto"/>
            </w:pPr>
            <w:r>
              <w:rPr>
                <w:rFonts w:hint="eastAsia" w:ascii="宋体" w:hAnsi="宋体" w:cs="宋体"/>
                <w:sz w:val="24"/>
              </w:rPr>
              <w:t>本项目不涉及。</w:t>
            </w:r>
          </w:p>
        </w:tc>
      </w:tr>
      <w:tr w14:paraId="6BBB0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801" w:type="dxa"/>
            <w:tcBorders>
              <w:left w:val="single" w:color="auto" w:sz="4" w:space="0"/>
            </w:tcBorders>
            <w:vAlign w:val="center"/>
          </w:tcPr>
          <w:p w14:paraId="20443180">
            <w:pPr>
              <w:spacing w:line="360" w:lineRule="auto"/>
              <w:jc w:val="center"/>
              <w:rPr>
                <w:rFonts w:ascii="宋体" w:hAnsi="宋体" w:cs="宋体"/>
                <w:sz w:val="24"/>
              </w:rPr>
            </w:pPr>
            <w:r>
              <w:rPr>
                <w:rFonts w:hint="eastAsia" w:ascii="宋体" w:hAnsi="宋体" w:cs="宋体"/>
                <w:sz w:val="24"/>
              </w:rPr>
              <w:t>2.4.1</w:t>
            </w:r>
          </w:p>
        </w:tc>
        <w:tc>
          <w:tcPr>
            <w:tcW w:w="8441" w:type="dxa"/>
            <w:vAlign w:val="center"/>
          </w:tcPr>
          <w:p w14:paraId="11287646">
            <w:pPr>
              <w:spacing w:line="360" w:lineRule="auto"/>
              <w:rPr>
                <w:rFonts w:ascii="宋体" w:hAnsi="宋体" w:cs="宋体"/>
                <w:sz w:val="24"/>
              </w:rPr>
            </w:pPr>
            <w:r>
              <w:rPr>
                <w:rFonts w:hint="eastAsia" w:ascii="宋体" w:hAnsi="宋体" w:cs="宋体"/>
                <w:sz w:val="24"/>
              </w:rPr>
              <w:t>1、乙方提供的货物必须为原包装，在送交甲方验收前不得拆箱；</w:t>
            </w:r>
          </w:p>
          <w:p w14:paraId="3DBB0A96">
            <w:pPr>
              <w:spacing w:line="360" w:lineRule="auto"/>
            </w:pPr>
            <w:r>
              <w:rPr>
                <w:rFonts w:hint="eastAsia" w:ascii="宋体" w:hAnsi="宋体" w:cs="宋体"/>
                <w:sz w:val="24"/>
              </w:rPr>
              <w:t>2、每一个包装箱内应附有出厂标准配置的有关技术、质量、三包等资料。</w:t>
            </w:r>
          </w:p>
        </w:tc>
      </w:tr>
      <w:tr w14:paraId="3F162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1" w:hRule="atLeast"/>
          <w:jc w:val="center"/>
        </w:trPr>
        <w:tc>
          <w:tcPr>
            <w:tcW w:w="801" w:type="dxa"/>
            <w:tcBorders>
              <w:left w:val="single" w:color="auto" w:sz="4" w:space="0"/>
            </w:tcBorders>
            <w:vAlign w:val="center"/>
          </w:tcPr>
          <w:p w14:paraId="54B3A2A3">
            <w:pPr>
              <w:spacing w:line="360" w:lineRule="auto"/>
              <w:jc w:val="center"/>
              <w:rPr>
                <w:rFonts w:ascii="宋体" w:hAnsi="宋体" w:cs="宋体"/>
                <w:sz w:val="24"/>
              </w:rPr>
            </w:pPr>
            <w:r>
              <w:rPr>
                <w:rFonts w:hint="eastAsia" w:ascii="宋体" w:hAnsi="宋体" w:cs="宋体"/>
                <w:sz w:val="24"/>
              </w:rPr>
              <w:t>2.4.2</w:t>
            </w:r>
          </w:p>
        </w:tc>
        <w:tc>
          <w:tcPr>
            <w:tcW w:w="8441" w:type="dxa"/>
            <w:vAlign w:val="center"/>
          </w:tcPr>
          <w:p w14:paraId="250F1AA4">
            <w:pPr>
              <w:spacing w:line="360" w:lineRule="auto"/>
              <w:rPr>
                <w:rFonts w:ascii="宋体" w:hAnsi="宋体" w:cs="宋体"/>
                <w:sz w:val="24"/>
              </w:rPr>
            </w:pPr>
            <w:r>
              <w:rPr>
                <w:rFonts w:hint="eastAsia" w:ascii="宋体" w:hAnsi="宋体" w:cs="宋体"/>
                <w:sz w:val="24"/>
              </w:rPr>
              <w:t>1、乙方应采取必要的安全措施保证货物的运输及安装的安全，且须考虑到可能会发生的野蛮装卸、长途运输及多次装卸之需要。如因乙方包装不当以及其它原因造成损坏或丢失，应由乙方负一切责任。</w:t>
            </w:r>
          </w:p>
          <w:p w14:paraId="549FE70A">
            <w:pPr>
              <w:spacing w:line="360" w:lineRule="auto"/>
              <w:rPr>
                <w:rFonts w:ascii="宋体" w:hAnsi="宋体" w:cs="宋体"/>
                <w:sz w:val="24"/>
              </w:rPr>
            </w:pPr>
            <w:r>
              <w:rPr>
                <w:rFonts w:hint="eastAsia" w:ascii="宋体" w:hAnsi="宋体" w:cs="宋体"/>
                <w:sz w:val="24"/>
              </w:rPr>
              <w:t>2、乙方发货到甲方指定地点前应先告知甲方。产品交货时，应提供到货产品、材料的清单等。若未提供或少提供相应的货物，甲方有权扣除乙方缴纳的所有履约保证金。</w:t>
            </w:r>
          </w:p>
        </w:tc>
      </w:tr>
      <w:tr w14:paraId="442A2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50385F00">
            <w:pPr>
              <w:spacing w:line="360" w:lineRule="auto"/>
              <w:jc w:val="center"/>
              <w:rPr>
                <w:rFonts w:ascii="宋体" w:hAnsi="宋体" w:cs="宋体"/>
                <w:sz w:val="24"/>
              </w:rPr>
            </w:pPr>
            <w:r>
              <w:rPr>
                <w:rFonts w:hint="eastAsia" w:ascii="宋体" w:hAnsi="宋体" w:cs="宋体"/>
                <w:sz w:val="24"/>
              </w:rPr>
              <w:t>2.6</w:t>
            </w:r>
          </w:p>
        </w:tc>
        <w:tc>
          <w:tcPr>
            <w:tcW w:w="8441" w:type="dxa"/>
            <w:vAlign w:val="center"/>
          </w:tcPr>
          <w:p w14:paraId="45310D71">
            <w:pPr>
              <w:spacing w:line="360" w:lineRule="auto"/>
              <w:rPr>
                <w:rFonts w:ascii="宋体" w:hAnsi="宋体" w:cs="宋体"/>
                <w:sz w:val="24"/>
              </w:rPr>
            </w:pPr>
            <w:r>
              <w:rPr>
                <w:rFonts w:hint="eastAsia" w:ascii="宋体" w:hAnsi="宋体" w:cs="宋体"/>
                <w:sz w:val="24"/>
              </w:rPr>
              <w:t>甲乙双方合同签订生效后支付合同价款的30%，乙方在规定时间内完成供货且验收合格后，甲方付清余款。申请付款时，乙方提供有效完税发票以及申请付款手续，甲方按相关财务支付规定办理支付手续。</w:t>
            </w:r>
          </w:p>
        </w:tc>
      </w:tr>
      <w:tr w14:paraId="05104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044CD6F4">
            <w:pPr>
              <w:spacing w:line="360" w:lineRule="auto"/>
              <w:jc w:val="center"/>
              <w:rPr>
                <w:rFonts w:ascii="宋体" w:hAnsi="宋体" w:cs="宋体"/>
                <w:sz w:val="24"/>
              </w:rPr>
            </w:pPr>
            <w:r>
              <w:rPr>
                <w:rFonts w:hint="eastAsia" w:ascii="宋体" w:hAnsi="宋体" w:cs="宋体"/>
                <w:sz w:val="24"/>
              </w:rPr>
              <w:t>2.9</w:t>
            </w:r>
          </w:p>
        </w:tc>
        <w:tc>
          <w:tcPr>
            <w:tcW w:w="8441" w:type="dxa"/>
            <w:vAlign w:val="center"/>
          </w:tcPr>
          <w:p w14:paraId="430C28C7">
            <w:pPr>
              <w:spacing w:line="360" w:lineRule="auto"/>
              <w:rPr>
                <w:rFonts w:ascii="宋体" w:hAnsi="宋体" w:cs="宋体"/>
                <w:sz w:val="24"/>
              </w:rPr>
            </w:pPr>
            <w:r>
              <w:rPr>
                <w:rFonts w:hint="eastAsia" w:ascii="宋体" w:hAnsi="宋体" w:cs="宋体"/>
                <w:sz w:val="24"/>
              </w:rPr>
              <w:t>货物或者在途货物或者交付给第一承运人后的货物毁损、灭失的风险负担由乙方承担。</w:t>
            </w:r>
          </w:p>
        </w:tc>
      </w:tr>
      <w:tr w14:paraId="4E0C4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7B6B79F3">
            <w:pPr>
              <w:spacing w:line="360" w:lineRule="auto"/>
              <w:jc w:val="center"/>
              <w:rPr>
                <w:rFonts w:ascii="宋体" w:hAnsi="宋体" w:cs="宋体"/>
                <w:sz w:val="24"/>
              </w:rPr>
            </w:pPr>
            <w:r>
              <w:rPr>
                <w:rFonts w:hint="eastAsia" w:ascii="宋体" w:hAnsi="宋体" w:cs="宋体"/>
                <w:sz w:val="24"/>
              </w:rPr>
              <w:t>2.13.3</w:t>
            </w:r>
          </w:p>
        </w:tc>
        <w:tc>
          <w:tcPr>
            <w:tcW w:w="8441" w:type="dxa"/>
            <w:vAlign w:val="center"/>
          </w:tcPr>
          <w:p w14:paraId="634E45DA">
            <w:pPr>
              <w:spacing w:line="360" w:lineRule="auto"/>
              <w:rPr>
                <w:rFonts w:ascii="宋体" w:hAnsi="宋体" w:cs="宋体"/>
                <w:sz w:val="24"/>
              </w:rPr>
            </w:pPr>
            <w:r>
              <w:rPr>
                <w:rFonts w:hint="eastAsia" w:ascii="宋体" w:hAnsi="宋体" w:cs="宋体"/>
                <w:sz w:val="24"/>
              </w:rPr>
              <w:t>因不可抗力致使合同有变更必要的，双方当事人应在2个工作日内以书面形式变更合同。</w:t>
            </w:r>
          </w:p>
        </w:tc>
      </w:tr>
      <w:tr w14:paraId="553F9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1B4BBCF2">
            <w:pPr>
              <w:spacing w:line="360" w:lineRule="auto"/>
              <w:jc w:val="center"/>
              <w:rPr>
                <w:rFonts w:ascii="宋体" w:hAnsi="宋体" w:cs="宋体"/>
                <w:sz w:val="24"/>
              </w:rPr>
            </w:pPr>
            <w:r>
              <w:rPr>
                <w:rFonts w:hint="eastAsia" w:ascii="宋体" w:hAnsi="宋体" w:cs="宋体"/>
                <w:sz w:val="24"/>
              </w:rPr>
              <w:t>2.13.4</w:t>
            </w:r>
          </w:p>
        </w:tc>
        <w:tc>
          <w:tcPr>
            <w:tcW w:w="8441" w:type="dxa"/>
            <w:vAlign w:val="center"/>
          </w:tcPr>
          <w:p w14:paraId="45C06872">
            <w:pPr>
              <w:spacing w:line="360" w:lineRule="auto"/>
              <w:rPr>
                <w:rFonts w:ascii="宋体" w:hAnsi="宋体" w:cs="宋体"/>
                <w:sz w:val="24"/>
              </w:rPr>
            </w:pPr>
            <w:r>
              <w:rPr>
                <w:rFonts w:hint="eastAsia" w:ascii="宋体" w:hAnsi="宋体" w:cs="宋体"/>
                <w:sz w:val="24"/>
              </w:rPr>
              <w:t>受不可抗力影响的一方在不可抗力发生后，应在2个工作日内以书面形式通知对方当事人，并在5个工作日内，将有关部门出具的证明文件送达对方当事人。</w:t>
            </w:r>
          </w:p>
        </w:tc>
      </w:tr>
      <w:tr w14:paraId="29E74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28521E45">
            <w:pPr>
              <w:spacing w:line="360" w:lineRule="auto"/>
              <w:jc w:val="center"/>
              <w:rPr>
                <w:rFonts w:ascii="宋体" w:hAnsi="宋体" w:cs="宋体"/>
                <w:sz w:val="24"/>
              </w:rPr>
            </w:pPr>
            <w:r>
              <w:rPr>
                <w:rFonts w:hint="eastAsia" w:ascii="宋体" w:hAnsi="宋体" w:cs="宋体"/>
                <w:sz w:val="24"/>
              </w:rPr>
              <w:t>2.17.1</w:t>
            </w:r>
          </w:p>
        </w:tc>
        <w:tc>
          <w:tcPr>
            <w:tcW w:w="8441" w:type="dxa"/>
            <w:vAlign w:val="center"/>
          </w:tcPr>
          <w:p w14:paraId="1948E9E7">
            <w:pPr>
              <w:spacing w:line="360" w:lineRule="auto"/>
              <w:rPr>
                <w:rFonts w:ascii="宋体" w:hAnsi="宋体" w:cs="宋体"/>
                <w:sz w:val="24"/>
              </w:rPr>
            </w:pPr>
            <w:r>
              <w:rPr>
                <w:rFonts w:hint="eastAsia" w:ascii="宋体" w:hAnsi="宋体" w:cs="宋体"/>
                <w:sz w:val="24"/>
              </w:rPr>
              <w:t>货物交付时，乙方在须在甲方收到货后的7个工作日内组织验收，并可依法邀请相关方参加，验收应出具验收书。</w:t>
            </w:r>
          </w:p>
        </w:tc>
      </w:tr>
      <w:tr w14:paraId="760DD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5FFC87C5">
            <w:pPr>
              <w:spacing w:line="360" w:lineRule="auto"/>
              <w:jc w:val="center"/>
              <w:rPr>
                <w:rFonts w:ascii="宋体" w:hAnsi="宋体" w:cs="宋体"/>
                <w:sz w:val="24"/>
              </w:rPr>
            </w:pPr>
            <w:r>
              <w:rPr>
                <w:rFonts w:hint="eastAsia" w:ascii="宋体" w:hAnsi="宋体" w:cs="宋体"/>
                <w:sz w:val="24"/>
              </w:rPr>
              <w:t>2.17.3</w:t>
            </w:r>
          </w:p>
        </w:tc>
        <w:tc>
          <w:tcPr>
            <w:tcW w:w="8441" w:type="dxa"/>
            <w:vAlign w:val="center"/>
          </w:tcPr>
          <w:p w14:paraId="02520DB4">
            <w:pPr>
              <w:spacing w:line="360" w:lineRule="auto"/>
              <w:rPr>
                <w:rFonts w:ascii="宋体" w:hAnsi="宋体" w:cs="宋体"/>
                <w:sz w:val="24"/>
              </w:rPr>
            </w:pPr>
            <w:r>
              <w:rPr>
                <w:rFonts w:hint="eastAsia" w:ascii="宋体" w:hAnsi="宋体" w:cs="宋体"/>
                <w:sz w:val="24"/>
              </w:rPr>
              <w:t>1、由甲方组织验收小组，对货物的数量、型号、规格、外观、质量、安全、功能及性能等进行验收，货物验收依据采购合同、招标文件技术规格中明确的标准和技术要求。乙方须免费派技术人员到达现场协助验收工作，保证货物经正确安装、正常运转和保养，在其使用寿命期内具有符合质量要求和产品说明书的性能。验收无误后甲方应签署收货单。如验收不合格，甲方将无条件退回，乙方承担因此涉及到的所有费用。同时甲方认定为乙方自身的原因而导致的该结果，有权单方面解除采购合同，并进行相关违约金处理。验收所发生的费用由乙方承担。</w:t>
            </w:r>
          </w:p>
          <w:p w14:paraId="383FBE47">
            <w:pPr>
              <w:spacing w:line="360" w:lineRule="auto"/>
              <w:rPr>
                <w:rFonts w:ascii="宋体" w:hAnsi="宋体" w:cs="宋体"/>
                <w:sz w:val="24"/>
              </w:rPr>
            </w:pPr>
            <w:r>
              <w:rPr>
                <w:rFonts w:hint="eastAsia" w:ascii="宋体" w:hAnsi="宋体" w:cs="宋体"/>
                <w:sz w:val="24"/>
              </w:rPr>
              <w:t>2、本项目的所有物权（包含版权等）在项目验收完成后均归甲方所有，乙方必须保证甲方拥有完整物权（包含版权等），并且乙方负有保证第三方不得向甲方主张任何权利（包含版权等）的义务。</w:t>
            </w:r>
          </w:p>
          <w:p w14:paraId="5F3F457B">
            <w:pPr>
              <w:spacing w:line="360" w:lineRule="auto"/>
              <w:rPr>
                <w:rFonts w:ascii="宋体" w:hAnsi="宋体" w:cs="宋体"/>
                <w:sz w:val="24"/>
              </w:rPr>
            </w:pPr>
            <w:r>
              <w:rPr>
                <w:rFonts w:hint="eastAsia" w:ascii="宋体" w:hAnsi="宋体" w:cs="宋体"/>
                <w:sz w:val="24"/>
              </w:rPr>
              <w:t>3、如双方对验收结果有分歧，则以南通市市场监督管理局的检测结果为准，检验费由有过失的一方支付。</w:t>
            </w:r>
          </w:p>
          <w:p w14:paraId="33CADAF3">
            <w:pPr>
              <w:spacing w:line="360" w:lineRule="auto"/>
              <w:rPr>
                <w:rFonts w:ascii="宋体" w:hAnsi="宋体" w:cs="宋体"/>
                <w:sz w:val="24"/>
              </w:rPr>
            </w:pPr>
            <w:r>
              <w:rPr>
                <w:rFonts w:hint="eastAsia" w:ascii="宋体" w:hAnsi="宋体" w:cs="宋体"/>
                <w:sz w:val="24"/>
              </w:rPr>
              <w:t>4、若货物检测不合格，甲方将无条件退回，乙方承担因此涉及到的所有费用。同时甲方认定为乙方自身的原因而导致的该结果，有权单方面解除采购合同。</w:t>
            </w:r>
          </w:p>
        </w:tc>
      </w:tr>
      <w:tr w14:paraId="52548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1" w:hRule="atLeast"/>
          <w:jc w:val="center"/>
        </w:trPr>
        <w:tc>
          <w:tcPr>
            <w:tcW w:w="801" w:type="dxa"/>
            <w:tcBorders>
              <w:left w:val="single" w:color="auto" w:sz="4" w:space="0"/>
            </w:tcBorders>
            <w:vAlign w:val="center"/>
          </w:tcPr>
          <w:p w14:paraId="6DE7EDDA">
            <w:pPr>
              <w:spacing w:line="360" w:lineRule="auto"/>
              <w:jc w:val="center"/>
              <w:rPr>
                <w:rFonts w:ascii="宋体" w:hAnsi="宋体" w:cs="宋体"/>
                <w:sz w:val="24"/>
              </w:rPr>
            </w:pPr>
            <w:r>
              <w:rPr>
                <w:rFonts w:hint="eastAsia" w:ascii="宋体" w:hAnsi="宋体" w:cs="宋体"/>
                <w:sz w:val="24"/>
              </w:rPr>
              <w:t>2.21</w:t>
            </w:r>
          </w:p>
        </w:tc>
        <w:tc>
          <w:tcPr>
            <w:tcW w:w="8441" w:type="dxa"/>
            <w:vAlign w:val="center"/>
          </w:tcPr>
          <w:p w14:paraId="0DD872B9">
            <w:pPr>
              <w:spacing w:line="360" w:lineRule="auto"/>
              <w:rPr>
                <w:rFonts w:ascii="宋体" w:hAnsi="宋体" w:cs="宋体"/>
                <w:sz w:val="24"/>
                <w:u w:val="single"/>
              </w:rPr>
            </w:pPr>
            <w:r>
              <w:rPr>
                <w:rFonts w:hint="eastAsia" w:ascii="宋体" w:hAnsi="宋体" w:cs="宋体"/>
                <w:sz w:val="24"/>
              </w:rPr>
              <w:t>本项目不收取履约保证金。</w:t>
            </w:r>
          </w:p>
        </w:tc>
      </w:tr>
      <w:tr w14:paraId="5F249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546F6BAE">
            <w:pPr>
              <w:spacing w:line="360" w:lineRule="auto"/>
              <w:jc w:val="center"/>
              <w:rPr>
                <w:rFonts w:ascii="宋体" w:hAnsi="宋体" w:cs="宋体"/>
                <w:sz w:val="24"/>
              </w:rPr>
            </w:pPr>
            <w:r>
              <w:rPr>
                <w:rFonts w:hint="eastAsia" w:ascii="宋体" w:hAnsi="宋体" w:cs="宋体"/>
                <w:sz w:val="24"/>
              </w:rPr>
              <w:t>2.22</w:t>
            </w:r>
          </w:p>
        </w:tc>
        <w:tc>
          <w:tcPr>
            <w:tcW w:w="8441" w:type="dxa"/>
            <w:vAlign w:val="center"/>
          </w:tcPr>
          <w:p w14:paraId="71BCBE6A">
            <w:pPr>
              <w:spacing w:line="360" w:lineRule="auto"/>
              <w:rPr>
                <w:rFonts w:ascii="宋体" w:hAnsi="宋体" w:cs="宋体"/>
                <w:sz w:val="24"/>
              </w:rPr>
            </w:pPr>
            <w:r>
              <w:rPr>
                <w:rFonts w:hint="eastAsia" w:ascii="宋体" w:hAnsi="宋体" w:cs="宋体"/>
                <w:sz w:val="24"/>
              </w:rPr>
              <w:t>合同份数：</w:t>
            </w:r>
            <w:r>
              <w:rPr>
                <w:rFonts w:hint="eastAsia" w:ascii="宋体" w:hAnsi="宋体" w:cs="宋体"/>
                <w:sz w:val="24"/>
                <w:u w:val="single"/>
              </w:rPr>
              <w:t xml:space="preserve"> 肆 </w:t>
            </w:r>
            <w:r>
              <w:rPr>
                <w:rFonts w:hint="eastAsia" w:ascii="宋体" w:hAnsi="宋体" w:cs="宋体"/>
                <w:sz w:val="24"/>
              </w:rPr>
              <w:t>份，采购单位（甲方）执</w:t>
            </w:r>
            <w:r>
              <w:rPr>
                <w:rFonts w:hint="eastAsia" w:ascii="宋体" w:hAnsi="宋体" w:cs="宋体"/>
                <w:sz w:val="24"/>
                <w:u w:val="single"/>
              </w:rPr>
              <w:t xml:space="preserve"> 贰 </w:t>
            </w:r>
            <w:r>
              <w:rPr>
                <w:rFonts w:hint="eastAsia" w:ascii="宋体" w:hAnsi="宋体" w:cs="宋体"/>
                <w:sz w:val="24"/>
              </w:rPr>
              <w:t>份，供应商(乙方）执</w:t>
            </w:r>
            <w:r>
              <w:rPr>
                <w:rFonts w:hint="eastAsia" w:ascii="宋体" w:hAnsi="宋体" w:cs="宋体"/>
                <w:sz w:val="24"/>
                <w:u w:val="single"/>
              </w:rPr>
              <w:t xml:space="preserve"> 贰 </w:t>
            </w:r>
            <w:r>
              <w:rPr>
                <w:rFonts w:hint="eastAsia" w:ascii="宋体" w:hAnsi="宋体" w:cs="宋体"/>
                <w:sz w:val="24"/>
              </w:rPr>
              <w:t>份；每份均具有同等法律效力。</w:t>
            </w:r>
          </w:p>
        </w:tc>
      </w:tr>
    </w:tbl>
    <w:p w14:paraId="3316E31C">
      <w:pPr>
        <w:spacing w:line="360" w:lineRule="auto"/>
        <w:jc w:val="center"/>
        <w:rPr>
          <w:rFonts w:hint="eastAsia"/>
          <w:b/>
          <w:szCs w:val="21"/>
        </w:rPr>
      </w:pPr>
      <w:r>
        <w:rPr>
          <w:rFonts w:hint="eastAsia" w:ascii="宋体" w:hAnsi="宋体" w:cs="宋体"/>
          <w:b/>
          <w:bCs/>
          <w:w w:val="80"/>
          <w:sz w:val="44"/>
          <w:szCs w:val="44"/>
        </w:rPr>
        <w:br w:type="page"/>
      </w:r>
      <w:r>
        <w:rPr>
          <w:rFonts w:hint="eastAsia"/>
          <w:b/>
          <w:sz w:val="36"/>
          <w:szCs w:val="36"/>
        </w:rPr>
        <w:t>第六部分  合同签订与验收付款</w:t>
      </w:r>
    </w:p>
    <w:p w14:paraId="59278366">
      <w:pPr>
        <w:spacing w:line="360" w:lineRule="auto"/>
        <w:ind w:firstLine="482" w:firstLineChars="200"/>
        <w:contextualSpacing/>
        <w:rPr>
          <w:rFonts w:hint="eastAsia"/>
          <w:sz w:val="24"/>
        </w:rPr>
      </w:pPr>
      <w:r>
        <w:rPr>
          <w:rFonts w:hint="eastAsia"/>
          <w:b/>
          <w:sz w:val="24"/>
        </w:rPr>
        <w:t>一</w:t>
      </w:r>
      <w:r>
        <w:rPr>
          <w:rFonts w:hint="eastAsia"/>
          <w:sz w:val="24"/>
        </w:rPr>
        <w:t>、中标供应商和采购单位在接到《中标通知书》后30日内凭中标通知书签订合同，否则引起的一切后果由中标人自行承担。</w:t>
      </w:r>
      <w:r>
        <w:rPr>
          <w:rFonts w:hint="eastAsia"/>
          <w:sz w:val="24"/>
          <w:lang w:val="zh-CN"/>
        </w:rPr>
        <w:t>所签合同不得对采购文件作实质性修改</w:t>
      </w:r>
      <w:r>
        <w:rPr>
          <w:rFonts w:hint="eastAsia"/>
          <w:sz w:val="24"/>
        </w:rPr>
        <w:t>。采购单位不得向中标供应商提出不合理的要求作为签订合同的条件，不得与中标供应商私下订立背离采购文件实质性内容的协议。</w:t>
      </w:r>
    </w:p>
    <w:p w14:paraId="1E2EB3F5">
      <w:pPr>
        <w:spacing w:line="360" w:lineRule="auto"/>
        <w:ind w:firstLine="482" w:firstLineChars="200"/>
        <w:contextualSpacing/>
        <w:rPr>
          <w:rFonts w:hint="eastAsia"/>
          <w:sz w:val="24"/>
        </w:rPr>
      </w:pPr>
      <w:r>
        <w:rPr>
          <w:rFonts w:hint="eastAsia"/>
          <w:b/>
          <w:sz w:val="24"/>
        </w:rPr>
        <w:t>二</w:t>
      </w:r>
      <w:r>
        <w:rPr>
          <w:rFonts w:hint="eastAsia"/>
          <w:sz w:val="24"/>
        </w:rPr>
        <w:t>、采购单位按合同约定积极配合中标供应商履约，中标供应商履约到位后，请以书面形式向采购单位提出验收申请。</w:t>
      </w:r>
    </w:p>
    <w:p w14:paraId="3E040338">
      <w:pPr>
        <w:spacing w:line="360" w:lineRule="auto"/>
        <w:ind w:firstLine="480" w:firstLineChars="200"/>
        <w:contextualSpacing/>
        <w:rPr>
          <w:rFonts w:hint="eastAsia"/>
          <w:sz w:val="24"/>
        </w:rPr>
      </w:pPr>
      <w:r>
        <w:rPr>
          <w:rFonts w:hint="eastAsia"/>
          <w:sz w:val="24"/>
        </w:rPr>
        <w:t>三、采购单位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69253435">
      <w:pPr>
        <w:spacing w:line="360" w:lineRule="auto"/>
        <w:ind w:firstLine="480" w:firstLineChars="200"/>
        <w:contextualSpacing/>
        <w:rPr>
          <w:rFonts w:hint="eastAsia"/>
          <w:sz w:val="24"/>
        </w:rPr>
      </w:pPr>
      <w:r>
        <w:rPr>
          <w:rFonts w:hint="eastAsia"/>
          <w:sz w:val="24"/>
        </w:rPr>
        <w:t>四、中标供应商出现违约情形，应当及时纠正或补偿；造成损失的，按合同约定追究违约责任；发现有假冒、伪劣、走私产品、商业贿赂等违法情形的，应由采购单位移交工商、质监、公安等行政执法部门依法查处。</w:t>
      </w:r>
    </w:p>
    <w:p w14:paraId="1CF031B3">
      <w:pPr>
        <w:pStyle w:val="4"/>
        <w:kinsoku w:val="0"/>
        <w:topLinePunct/>
        <w:autoSpaceDE w:val="0"/>
        <w:autoSpaceDN w:val="0"/>
        <w:spacing w:line="360" w:lineRule="auto"/>
        <w:ind w:firstLine="513" w:firstLineChars="214"/>
        <w:contextualSpacing/>
        <w:rPr>
          <w:rFonts w:hint="eastAsia"/>
          <w:b/>
          <w:sz w:val="24"/>
          <w:szCs w:val="24"/>
        </w:rPr>
      </w:pPr>
      <w:r>
        <w:rPr>
          <w:rFonts w:hint="eastAsia"/>
          <w:sz w:val="24"/>
          <w:szCs w:val="24"/>
          <w:lang w:val="zh-CN"/>
        </w:rPr>
        <w:t>五、</w:t>
      </w:r>
      <w:r>
        <w:rPr>
          <w:rFonts w:hint="eastAsia"/>
          <w:kern w:val="2"/>
          <w:sz w:val="24"/>
          <w:szCs w:val="24"/>
        </w:rPr>
        <w:t>付款方式</w:t>
      </w:r>
      <w:r>
        <w:rPr>
          <w:rFonts w:hint="eastAsia"/>
          <w:sz w:val="24"/>
          <w:szCs w:val="24"/>
          <w:lang w:val="zh-CN"/>
        </w:rPr>
        <w:t>（</w:t>
      </w:r>
      <w:r>
        <w:rPr>
          <w:rFonts w:hint="eastAsia"/>
          <w:b/>
          <w:sz w:val="24"/>
          <w:szCs w:val="24"/>
        </w:rPr>
        <w:t>不响应付款方式的，视同无效投标处理。</w:t>
      </w:r>
      <w:r>
        <w:rPr>
          <w:rFonts w:hint="eastAsia"/>
          <w:sz w:val="24"/>
          <w:szCs w:val="24"/>
          <w:lang w:val="zh-CN"/>
        </w:rPr>
        <w:t>）</w:t>
      </w:r>
    </w:p>
    <w:p w14:paraId="272F2224">
      <w:pPr>
        <w:pStyle w:val="4"/>
        <w:kinsoku w:val="0"/>
        <w:topLinePunct/>
        <w:autoSpaceDE w:val="0"/>
        <w:autoSpaceDN w:val="0"/>
        <w:spacing w:line="360" w:lineRule="auto"/>
        <w:ind w:firstLine="513" w:firstLineChars="214"/>
        <w:contextualSpacing/>
        <w:rPr>
          <w:rFonts w:hint="eastAsia"/>
          <w:sz w:val="24"/>
          <w:szCs w:val="24"/>
          <w:lang w:val="zh-CN"/>
        </w:rPr>
      </w:pPr>
      <w:r>
        <w:rPr>
          <w:rFonts w:hint="eastAsia"/>
          <w:sz w:val="24"/>
          <w:szCs w:val="24"/>
        </w:rPr>
        <w:t>款项由采购单位按相关财务支付规定办理支付手续。不得故意拖延支付时间。</w:t>
      </w:r>
    </w:p>
    <w:p w14:paraId="49209D39">
      <w:pPr>
        <w:snapToGrid w:val="0"/>
        <w:spacing w:line="360" w:lineRule="auto"/>
        <w:contextualSpacing/>
        <w:rPr>
          <w:rFonts w:hint="eastAsia" w:cs="宋体"/>
          <w:kern w:val="0"/>
          <w:szCs w:val="21"/>
          <w:lang w:val="zh-CN"/>
        </w:rPr>
      </w:pPr>
    </w:p>
    <w:p w14:paraId="1EA3E685">
      <w:pPr>
        <w:pStyle w:val="4"/>
        <w:kinsoku w:val="0"/>
        <w:topLinePunct/>
        <w:autoSpaceDE w:val="0"/>
        <w:autoSpaceDN w:val="0"/>
        <w:snapToGrid w:val="0"/>
        <w:spacing w:line="360" w:lineRule="auto"/>
        <w:ind w:firstLine="773" w:firstLineChars="214"/>
        <w:contextualSpacing/>
        <w:rPr>
          <w:rFonts w:hint="eastAsia"/>
          <w:b/>
          <w:sz w:val="36"/>
          <w:szCs w:val="36"/>
        </w:rPr>
      </w:pPr>
    </w:p>
    <w:p w14:paraId="4FC7430E">
      <w:pPr>
        <w:spacing w:line="360" w:lineRule="auto"/>
        <w:jc w:val="center"/>
        <w:outlineLvl w:val="0"/>
        <w:rPr>
          <w:rFonts w:hint="eastAsia"/>
          <w:b/>
          <w:sz w:val="36"/>
          <w:szCs w:val="36"/>
        </w:rPr>
      </w:pPr>
      <w:r>
        <w:rPr>
          <w:b/>
          <w:sz w:val="36"/>
          <w:szCs w:val="36"/>
        </w:rPr>
        <w:br w:type="page"/>
      </w:r>
      <w:r>
        <w:rPr>
          <w:rFonts w:hint="eastAsia"/>
          <w:b/>
          <w:sz w:val="36"/>
          <w:szCs w:val="36"/>
        </w:rPr>
        <w:t>第七部分  质疑提出和处理</w:t>
      </w:r>
    </w:p>
    <w:p w14:paraId="2D9918DC">
      <w:pPr>
        <w:adjustRightInd w:val="0"/>
        <w:snapToGrid w:val="0"/>
        <w:spacing w:line="360" w:lineRule="auto"/>
        <w:ind w:firstLine="482" w:firstLineChars="200"/>
        <w:contextualSpacing/>
        <w:rPr>
          <w:rFonts w:hint="eastAsia"/>
          <w:b/>
          <w:sz w:val="24"/>
          <w:szCs w:val="21"/>
        </w:rPr>
      </w:pPr>
      <w:r>
        <w:rPr>
          <w:b/>
          <w:sz w:val="24"/>
          <w:szCs w:val="21"/>
        </w:rPr>
        <w:t>一、质疑的提出</w:t>
      </w:r>
    </w:p>
    <w:p w14:paraId="75E5DED5">
      <w:pPr>
        <w:adjustRightInd w:val="0"/>
        <w:snapToGrid w:val="0"/>
        <w:spacing w:line="360" w:lineRule="auto"/>
        <w:ind w:firstLine="480" w:firstLineChars="200"/>
        <w:contextualSpacing/>
        <w:rPr>
          <w:rFonts w:hint="eastAsia"/>
          <w:sz w:val="24"/>
          <w:szCs w:val="21"/>
        </w:rPr>
      </w:pPr>
      <w:r>
        <w:rPr>
          <w:rFonts w:hint="eastAsia"/>
          <w:sz w:val="24"/>
          <w:szCs w:val="21"/>
        </w:rPr>
        <w:t>1.提出质疑的供应商应当是参与所质疑项目采购活动的供应商。潜在供应商依法获取其可质疑的采购文件的，可以对采购文件提出质疑。</w:t>
      </w:r>
    </w:p>
    <w:p w14:paraId="3FAC670E">
      <w:pPr>
        <w:adjustRightInd w:val="0"/>
        <w:snapToGrid w:val="0"/>
        <w:spacing w:line="360" w:lineRule="auto"/>
        <w:ind w:firstLine="480" w:firstLineChars="200"/>
        <w:contextualSpacing/>
        <w:rPr>
          <w:rFonts w:hint="eastAsia"/>
          <w:sz w:val="24"/>
          <w:szCs w:val="21"/>
        </w:rPr>
      </w:pPr>
      <w:r>
        <w:rPr>
          <w:rFonts w:hint="eastAsia"/>
          <w:sz w:val="24"/>
          <w:szCs w:val="21"/>
        </w:rPr>
        <w:t>2.供应商认为采购文件、采购过程和采购结果使自己的权益受到损害的，可以在知道或应知其权益受到损害之日起七个工作日内，以书面形式向采购人提出质疑。上述应知其权益受到损害之日，是指：</w:t>
      </w:r>
    </w:p>
    <w:p w14:paraId="1D12A649">
      <w:pPr>
        <w:adjustRightInd w:val="0"/>
        <w:snapToGrid w:val="0"/>
        <w:spacing w:line="360" w:lineRule="auto"/>
        <w:ind w:firstLine="480" w:firstLineChars="200"/>
        <w:contextualSpacing/>
        <w:rPr>
          <w:rFonts w:hint="eastAsia"/>
          <w:sz w:val="24"/>
          <w:szCs w:val="21"/>
        </w:rPr>
      </w:pPr>
      <w:r>
        <w:rPr>
          <w:rFonts w:hint="eastAsia"/>
          <w:sz w:val="24"/>
          <w:szCs w:val="21"/>
        </w:rPr>
        <w:t>2.1对可以质疑的采购文件提出质疑的，为收到采购文件之日或者采购文件公告期限届满之日；</w:t>
      </w:r>
    </w:p>
    <w:p w14:paraId="3FFB6C16">
      <w:pPr>
        <w:adjustRightInd w:val="0"/>
        <w:snapToGrid w:val="0"/>
        <w:spacing w:line="360" w:lineRule="auto"/>
        <w:ind w:firstLine="480" w:firstLineChars="200"/>
        <w:contextualSpacing/>
        <w:rPr>
          <w:rFonts w:hint="eastAsia"/>
          <w:sz w:val="24"/>
          <w:szCs w:val="21"/>
        </w:rPr>
      </w:pPr>
      <w:r>
        <w:rPr>
          <w:rFonts w:hint="eastAsia"/>
          <w:sz w:val="24"/>
          <w:szCs w:val="21"/>
        </w:rPr>
        <w:t>2.2对采购过程提出质疑的，为各采购程序环节结束之日；</w:t>
      </w:r>
    </w:p>
    <w:p w14:paraId="3D3A480A">
      <w:pPr>
        <w:adjustRightInd w:val="0"/>
        <w:snapToGrid w:val="0"/>
        <w:spacing w:line="360" w:lineRule="auto"/>
        <w:ind w:firstLine="480" w:firstLineChars="200"/>
        <w:contextualSpacing/>
        <w:rPr>
          <w:rFonts w:hint="eastAsia"/>
          <w:sz w:val="24"/>
          <w:szCs w:val="21"/>
        </w:rPr>
      </w:pPr>
      <w:r>
        <w:rPr>
          <w:rFonts w:hint="eastAsia"/>
          <w:sz w:val="24"/>
          <w:szCs w:val="21"/>
        </w:rPr>
        <w:t>2.3对成交结果提出质疑的，为成交结果公告期限届满之日。</w:t>
      </w:r>
    </w:p>
    <w:p w14:paraId="57F78B0B">
      <w:pPr>
        <w:adjustRightInd w:val="0"/>
        <w:snapToGrid w:val="0"/>
        <w:spacing w:line="360" w:lineRule="auto"/>
        <w:ind w:firstLine="480" w:firstLineChars="200"/>
        <w:contextualSpacing/>
        <w:rPr>
          <w:rFonts w:hint="eastAsia"/>
          <w:sz w:val="24"/>
          <w:szCs w:val="21"/>
        </w:rPr>
      </w:pPr>
      <w:r>
        <w:rPr>
          <w:rFonts w:hint="eastAsia"/>
          <w:sz w:val="24"/>
          <w:szCs w:val="21"/>
        </w:rPr>
        <w:t>供应商应当在法定质疑期内一次性提出针对同一采购程序环节的质疑。</w:t>
      </w:r>
    </w:p>
    <w:p w14:paraId="0344270D">
      <w:pPr>
        <w:adjustRightInd w:val="0"/>
        <w:snapToGrid w:val="0"/>
        <w:spacing w:line="360" w:lineRule="auto"/>
        <w:ind w:firstLine="480" w:firstLineChars="200"/>
        <w:contextualSpacing/>
        <w:rPr>
          <w:rFonts w:hint="eastAsia"/>
          <w:sz w:val="24"/>
          <w:szCs w:val="21"/>
        </w:rPr>
      </w:pPr>
      <w:r>
        <w:rPr>
          <w:rFonts w:hint="eastAsia"/>
          <w:sz w:val="24"/>
          <w:szCs w:val="21"/>
        </w:rPr>
        <w:t>3.质疑函必须按照本采购文件中《质疑函范本》要求的格式和内容进行填写。供应商如组成联合体参加采购活动，则《质疑函范本》中要求签字、盖章、加盖公章之处，联合体各方均须按要求签字、盖章、加盖公章。</w:t>
      </w:r>
    </w:p>
    <w:p w14:paraId="6C3AEA39">
      <w:pPr>
        <w:adjustRightInd w:val="0"/>
        <w:snapToGrid w:val="0"/>
        <w:spacing w:line="360" w:lineRule="auto"/>
        <w:ind w:firstLine="480" w:firstLineChars="200"/>
        <w:contextualSpacing/>
        <w:rPr>
          <w:rFonts w:hint="eastAsia"/>
          <w:sz w:val="24"/>
          <w:szCs w:val="21"/>
        </w:rPr>
      </w:pPr>
      <w:r>
        <w:rPr>
          <w:rFonts w:hint="eastAsia"/>
          <w:sz w:val="24"/>
          <w:szCs w:val="21"/>
        </w:rPr>
        <w:t>4.对采购方式、采购文件中项目需求、供应商资格条件、评审方法和评审标准、资格审查结果等应当由采购人答复的质疑，请向采购人提出，由采购人负责答复。</w:t>
      </w:r>
    </w:p>
    <w:p w14:paraId="32C7D2BE">
      <w:pPr>
        <w:adjustRightInd w:val="0"/>
        <w:snapToGrid w:val="0"/>
        <w:spacing w:line="360" w:lineRule="auto"/>
        <w:ind w:firstLine="480" w:firstLineChars="200"/>
        <w:contextualSpacing/>
        <w:rPr>
          <w:rFonts w:hint="eastAsia"/>
          <w:sz w:val="24"/>
          <w:szCs w:val="21"/>
        </w:rPr>
      </w:pPr>
      <w:r>
        <w:rPr>
          <w:rFonts w:hint="eastAsia"/>
          <w:sz w:val="24"/>
          <w:szCs w:val="21"/>
        </w:rPr>
        <w:t>采购人质疑接收人及联系方式，见采购文件第一章。</w:t>
      </w:r>
    </w:p>
    <w:p w14:paraId="2646CEC0">
      <w:pPr>
        <w:adjustRightInd w:val="0"/>
        <w:snapToGrid w:val="0"/>
        <w:spacing w:line="360" w:lineRule="auto"/>
        <w:ind w:firstLine="480" w:firstLineChars="200"/>
        <w:contextualSpacing/>
        <w:rPr>
          <w:rFonts w:hint="eastAsia"/>
          <w:sz w:val="24"/>
          <w:szCs w:val="21"/>
        </w:rPr>
      </w:pPr>
      <w:r>
        <w:rPr>
          <w:rFonts w:hint="eastAsia"/>
          <w:sz w:val="24"/>
          <w:szCs w:val="21"/>
        </w:rPr>
        <w:t>5.以下情形的质疑不予受理</w:t>
      </w:r>
    </w:p>
    <w:p w14:paraId="57CB7A5D">
      <w:pPr>
        <w:adjustRightInd w:val="0"/>
        <w:snapToGrid w:val="0"/>
        <w:spacing w:line="360" w:lineRule="auto"/>
        <w:ind w:firstLine="480" w:firstLineChars="200"/>
        <w:contextualSpacing/>
        <w:rPr>
          <w:rFonts w:hint="eastAsia"/>
          <w:sz w:val="24"/>
          <w:szCs w:val="21"/>
        </w:rPr>
      </w:pPr>
      <w:r>
        <w:rPr>
          <w:rFonts w:hint="eastAsia"/>
          <w:sz w:val="24"/>
          <w:szCs w:val="21"/>
        </w:rPr>
        <w:t>5.1 内容不符合《政府采购质疑和投诉办法》财政部第94号令第十二条规定的质疑。</w:t>
      </w:r>
    </w:p>
    <w:p w14:paraId="5EA185DD">
      <w:pPr>
        <w:adjustRightInd w:val="0"/>
        <w:snapToGrid w:val="0"/>
        <w:spacing w:line="360" w:lineRule="auto"/>
        <w:ind w:firstLine="480" w:firstLineChars="200"/>
        <w:contextualSpacing/>
        <w:rPr>
          <w:rFonts w:hint="eastAsia"/>
          <w:sz w:val="24"/>
          <w:szCs w:val="21"/>
        </w:rPr>
      </w:pPr>
      <w:r>
        <w:rPr>
          <w:rFonts w:hint="eastAsia"/>
          <w:sz w:val="24"/>
          <w:szCs w:val="21"/>
        </w:rPr>
        <w:t>5.2 超出政府采购法定期限的质疑。</w:t>
      </w:r>
    </w:p>
    <w:p w14:paraId="29742FBD">
      <w:pPr>
        <w:adjustRightInd w:val="0"/>
        <w:snapToGrid w:val="0"/>
        <w:spacing w:line="360" w:lineRule="auto"/>
        <w:ind w:firstLine="480" w:firstLineChars="200"/>
        <w:contextualSpacing/>
        <w:rPr>
          <w:rFonts w:hint="eastAsia"/>
          <w:sz w:val="24"/>
          <w:szCs w:val="21"/>
        </w:rPr>
      </w:pPr>
      <w:r>
        <w:rPr>
          <w:rFonts w:hint="eastAsia"/>
          <w:sz w:val="24"/>
          <w:szCs w:val="21"/>
        </w:rPr>
        <w:t>5.3 未参加采购活动的供应商。</w:t>
      </w:r>
    </w:p>
    <w:p w14:paraId="4EA0959A">
      <w:pPr>
        <w:adjustRightInd w:val="0"/>
        <w:snapToGrid w:val="0"/>
        <w:spacing w:line="360" w:lineRule="auto"/>
        <w:ind w:firstLine="480" w:firstLineChars="200"/>
        <w:contextualSpacing/>
        <w:rPr>
          <w:rFonts w:hint="eastAsia"/>
          <w:sz w:val="24"/>
          <w:szCs w:val="21"/>
        </w:rPr>
      </w:pPr>
      <w:r>
        <w:rPr>
          <w:rFonts w:hint="eastAsia"/>
          <w:sz w:val="24"/>
          <w:szCs w:val="21"/>
        </w:rPr>
        <w:t>5.4供应商组成联合体参加采购活动，联合体中任何一方或多方未按要求签字、盖章、加盖公章的质疑。</w:t>
      </w:r>
    </w:p>
    <w:p w14:paraId="35049D7A">
      <w:pPr>
        <w:adjustRightInd w:val="0"/>
        <w:snapToGrid w:val="0"/>
        <w:spacing w:line="360" w:lineRule="auto"/>
        <w:ind w:firstLine="480" w:firstLineChars="200"/>
        <w:contextualSpacing/>
        <w:rPr>
          <w:sz w:val="24"/>
          <w:szCs w:val="21"/>
        </w:rPr>
      </w:pPr>
      <w:r>
        <w:rPr>
          <w:rFonts w:hint="eastAsia"/>
          <w:sz w:val="24"/>
          <w:szCs w:val="21"/>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0B99FDBC">
      <w:pPr>
        <w:adjustRightInd w:val="0"/>
        <w:snapToGrid w:val="0"/>
        <w:spacing w:line="360" w:lineRule="auto"/>
        <w:contextualSpacing/>
        <w:rPr>
          <w:rFonts w:hint="eastAsia"/>
          <w:sz w:val="24"/>
          <w:szCs w:val="21"/>
        </w:rPr>
      </w:pPr>
      <w:r>
        <w:rPr>
          <w:sz w:val="24"/>
          <w:szCs w:val="21"/>
        </w:rPr>
        <w:br w:type="page"/>
      </w:r>
      <w:r>
        <w:rPr>
          <w:rFonts w:hint="eastAsia"/>
          <w:sz w:val="24"/>
          <w:szCs w:val="21"/>
        </w:rPr>
        <w:t>附件：</w:t>
      </w:r>
    </w:p>
    <w:p w14:paraId="498C91AA">
      <w:pPr>
        <w:adjustRightInd w:val="0"/>
        <w:snapToGrid w:val="0"/>
        <w:spacing w:line="360" w:lineRule="auto"/>
        <w:contextualSpacing/>
        <w:jc w:val="center"/>
        <w:rPr>
          <w:bCs/>
          <w:sz w:val="24"/>
          <w:szCs w:val="21"/>
        </w:rPr>
      </w:pPr>
      <w:r>
        <w:rPr>
          <w:rFonts w:hint="eastAsia"/>
          <w:bCs/>
          <w:sz w:val="24"/>
          <w:szCs w:val="21"/>
        </w:rPr>
        <w:t>质疑函范本</w:t>
      </w:r>
    </w:p>
    <w:p w14:paraId="72DC1421">
      <w:pPr>
        <w:adjustRightInd w:val="0"/>
        <w:snapToGrid w:val="0"/>
        <w:spacing w:line="360" w:lineRule="auto"/>
        <w:ind w:firstLine="480" w:firstLineChars="200"/>
        <w:contextualSpacing/>
        <w:rPr>
          <w:bCs/>
          <w:sz w:val="24"/>
          <w:szCs w:val="21"/>
        </w:rPr>
      </w:pPr>
      <w:r>
        <w:rPr>
          <w:rFonts w:hint="eastAsia"/>
          <w:bCs/>
          <w:sz w:val="24"/>
          <w:szCs w:val="21"/>
        </w:rPr>
        <w:t>一、质疑供应商基本信息</w:t>
      </w:r>
    </w:p>
    <w:p w14:paraId="1DB2A4B5">
      <w:pPr>
        <w:adjustRightInd w:val="0"/>
        <w:snapToGrid w:val="0"/>
        <w:spacing w:line="360" w:lineRule="auto"/>
        <w:ind w:firstLine="480" w:firstLineChars="200"/>
        <w:contextualSpacing/>
        <w:rPr>
          <w:sz w:val="24"/>
          <w:szCs w:val="21"/>
          <w:u w:val="dotted"/>
        </w:rPr>
      </w:pPr>
      <w:r>
        <w:rPr>
          <w:rFonts w:hint="eastAsia"/>
          <w:sz w:val="24"/>
          <w:szCs w:val="21"/>
        </w:rPr>
        <w:t>质疑供应商：</w:t>
      </w:r>
    </w:p>
    <w:p w14:paraId="6282B359">
      <w:pPr>
        <w:adjustRightInd w:val="0"/>
        <w:snapToGrid w:val="0"/>
        <w:spacing w:line="360" w:lineRule="auto"/>
        <w:ind w:firstLine="480" w:firstLineChars="200"/>
        <w:contextualSpacing/>
        <w:rPr>
          <w:sz w:val="24"/>
          <w:szCs w:val="21"/>
        </w:rPr>
      </w:pPr>
      <w:r>
        <w:rPr>
          <w:rFonts w:hint="eastAsia"/>
          <w:sz w:val="24"/>
          <w:szCs w:val="21"/>
        </w:rPr>
        <w:t>地址：邮编：</w:t>
      </w:r>
    </w:p>
    <w:p w14:paraId="1E8A1E62">
      <w:pPr>
        <w:adjustRightInd w:val="0"/>
        <w:snapToGrid w:val="0"/>
        <w:spacing w:line="360" w:lineRule="auto"/>
        <w:ind w:firstLine="480" w:firstLineChars="200"/>
        <w:contextualSpacing/>
        <w:rPr>
          <w:sz w:val="24"/>
          <w:szCs w:val="21"/>
        </w:rPr>
      </w:pPr>
      <w:r>
        <w:rPr>
          <w:rFonts w:hint="eastAsia"/>
          <w:sz w:val="24"/>
          <w:szCs w:val="21"/>
        </w:rPr>
        <w:t>联系人：联系电话：</w:t>
      </w:r>
    </w:p>
    <w:p w14:paraId="38323468">
      <w:pPr>
        <w:adjustRightInd w:val="0"/>
        <w:snapToGrid w:val="0"/>
        <w:spacing w:line="360" w:lineRule="auto"/>
        <w:ind w:firstLine="480" w:firstLineChars="200"/>
        <w:contextualSpacing/>
        <w:rPr>
          <w:sz w:val="24"/>
          <w:szCs w:val="21"/>
          <w:u w:val="dotted"/>
        </w:rPr>
      </w:pPr>
      <w:r>
        <w:rPr>
          <w:rFonts w:hint="eastAsia"/>
          <w:sz w:val="24"/>
          <w:szCs w:val="21"/>
        </w:rPr>
        <w:t>授权代表：</w:t>
      </w:r>
    </w:p>
    <w:p w14:paraId="1E4B7B45">
      <w:pPr>
        <w:adjustRightInd w:val="0"/>
        <w:snapToGrid w:val="0"/>
        <w:spacing w:line="360" w:lineRule="auto"/>
        <w:ind w:firstLine="480" w:firstLineChars="200"/>
        <w:contextualSpacing/>
        <w:rPr>
          <w:sz w:val="24"/>
          <w:szCs w:val="21"/>
        </w:rPr>
      </w:pPr>
      <w:r>
        <w:rPr>
          <w:rFonts w:hint="eastAsia"/>
          <w:sz w:val="24"/>
          <w:szCs w:val="21"/>
        </w:rPr>
        <w:t>联系电话：</w:t>
      </w:r>
    </w:p>
    <w:p w14:paraId="2AE059CB">
      <w:pPr>
        <w:adjustRightInd w:val="0"/>
        <w:snapToGrid w:val="0"/>
        <w:spacing w:line="360" w:lineRule="auto"/>
        <w:ind w:firstLine="480" w:firstLineChars="200"/>
        <w:contextualSpacing/>
        <w:rPr>
          <w:sz w:val="24"/>
          <w:szCs w:val="21"/>
        </w:rPr>
      </w:pPr>
      <w:r>
        <w:rPr>
          <w:rFonts w:hint="eastAsia"/>
          <w:sz w:val="24"/>
          <w:szCs w:val="21"/>
        </w:rPr>
        <w:t>地址：邮编：</w:t>
      </w:r>
    </w:p>
    <w:p w14:paraId="7948CF28">
      <w:pPr>
        <w:adjustRightInd w:val="0"/>
        <w:snapToGrid w:val="0"/>
        <w:spacing w:line="360" w:lineRule="auto"/>
        <w:ind w:firstLine="480" w:firstLineChars="200"/>
        <w:contextualSpacing/>
        <w:rPr>
          <w:bCs/>
          <w:sz w:val="24"/>
          <w:szCs w:val="21"/>
        </w:rPr>
      </w:pPr>
      <w:r>
        <w:rPr>
          <w:rFonts w:hint="eastAsia"/>
          <w:bCs/>
          <w:sz w:val="24"/>
          <w:szCs w:val="21"/>
        </w:rPr>
        <w:t>二、质疑项目基本情况</w:t>
      </w:r>
    </w:p>
    <w:p w14:paraId="69318378">
      <w:pPr>
        <w:adjustRightInd w:val="0"/>
        <w:snapToGrid w:val="0"/>
        <w:spacing w:line="360" w:lineRule="auto"/>
        <w:ind w:firstLine="480" w:firstLineChars="200"/>
        <w:contextualSpacing/>
        <w:rPr>
          <w:sz w:val="24"/>
          <w:szCs w:val="21"/>
        </w:rPr>
      </w:pPr>
      <w:r>
        <w:rPr>
          <w:rFonts w:hint="eastAsia"/>
          <w:sz w:val="24"/>
          <w:szCs w:val="21"/>
        </w:rPr>
        <w:t>质疑项目的名称：</w:t>
      </w:r>
    </w:p>
    <w:p w14:paraId="01D468A6">
      <w:pPr>
        <w:adjustRightInd w:val="0"/>
        <w:snapToGrid w:val="0"/>
        <w:spacing w:line="360" w:lineRule="auto"/>
        <w:ind w:firstLine="480" w:firstLineChars="200"/>
        <w:contextualSpacing/>
        <w:rPr>
          <w:sz w:val="24"/>
          <w:szCs w:val="21"/>
        </w:rPr>
      </w:pPr>
      <w:r>
        <w:rPr>
          <w:rFonts w:hint="eastAsia"/>
          <w:sz w:val="24"/>
          <w:szCs w:val="21"/>
        </w:rPr>
        <w:t>质疑项目的编号：包号：</w:t>
      </w:r>
    </w:p>
    <w:p w14:paraId="76EAF0A3">
      <w:pPr>
        <w:adjustRightInd w:val="0"/>
        <w:snapToGrid w:val="0"/>
        <w:spacing w:line="360" w:lineRule="auto"/>
        <w:ind w:firstLine="480" w:firstLineChars="200"/>
        <w:contextualSpacing/>
        <w:rPr>
          <w:sz w:val="24"/>
          <w:szCs w:val="21"/>
          <w:u w:val="dotted"/>
        </w:rPr>
      </w:pPr>
      <w:r>
        <w:rPr>
          <w:rFonts w:hint="eastAsia"/>
          <w:sz w:val="24"/>
          <w:szCs w:val="21"/>
        </w:rPr>
        <w:t>采购人名称：</w:t>
      </w:r>
    </w:p>
    <w:p w14:paraId="42322E9B">
      <w:pPr>
        <w:adjustRightInd w:val="0"/>
        <w:snapToGrid w:val="0"/>
        <w:spacing w:line="360" w:lineRule="auto"/>
        <w:ind w:firstLine="480" w:firstLineChars="200"/>
        <w:contextualSpacing/>
        <w:rPr>
          <w:sz w:val="24"/>
          <w:szCs w:val="21"/>
        </w:rPr>
      </w:pPr>
      <w:r>
        <w:rPr>
          <w:rFonts w:hint="eastAsia"/>
          <w:sz w:val="24"/>
          <w:szCs w:val="21"/>
        </w:rPr>
        <w:t>采购文件获取日期：</w:t>
      </w:r>
    </w:p>
    <w:p w14:paraId="5766DE14">
      <w:pPr>
        <w:adjustRightInd w:val="0"/>
        <w:snapToGrid w:val="0"/>
        <w:spacing w:line="360" w:lineRule="auto"/>
        <w:ind w:firstLine="480" w:firstLineChars="200"/>
        <w:contextualSpacing/>
        <w:rPr>
          <w:bCs/>
          <w:sz w:val="24"/>
          <w:szCs w:val="21"/>
        </w:rPr>
      </w:pPr>
      <w:r>
        <w:rPr>
          <w:rFonts w:hint="eastAsia"/>
          <w:bCs/>
          <w:sz w:val="24"/>
          <w:szCs w:val="21"/>
        </w:rPr>
        <w:t>三、质疑事项具体内容</w:t>
      </w:r>
    </w:p>
    <w:p w14:paraId="7C79D8BF">
      <w:pPr>
        <w:adjustRightInd w:val="0"/>
        <w:snapToGrid w:val="0"/>
        <w:spacing w:line="360" w:lineRule="auto"/>
        <w:ind w:firstLine="480" w:firstLineChars="200"/>
        <w:contextualSpacing/>
        <w:rPr>
          <w:sz w:val="24"/>
          <w:szCs w:val="21"/>
          <w:u w:val="dotted"/>
        </w:rPr>
      </w:pPr>
      <w:r>
        <w:rPr>
          <w:rFonts w:hint="eastAsia"/>
          <w:sz w:val="24"/>
          <w:szCs w:val="21"/>
        </w:rPr>
        <w:t>质疑事项1：</w:t>
      </w:r>
    </w:p>
    <w:p w14:paraId="64D866F7">
      <w:pPr>
        <w:adjustRightInd w:val="0"/>
        <w:snapToGrid w:val="0"/>
        <w:spacing w:line="360" w:lineRule="auto"/>
        <w:ind w:firstLine="480" w:firstLineChars="200"/>
        <w:contextualSpacing/>
        <w:rPr>
          <w:sz w:val="24"/>
          <w:szCs w:val="21"/>
          <w:u w:val="dotted"/>
        </w:rPr>
      </w:pPr>
      <w:r>
        <w:rPr>
          <w:rFonts w:hint="eastAsia"/>
          <w:sz w:val="24"/>
          <w:szCs w:val="21"/>
        </w:rPr>
        <w:t>事实依据：</w:t>
      </w:r>
    </w:p>
    <w:p w14:paraId="01D82561">
      <w:pPr>
        <w:adjustRightInd w:val="0"/>
        <w:snapToGrid w:val="0"/>
        <w:spacing w:line="360" w:lineRule="auto"/>
        <w:ind w:firstLine="480" w:firstLineChars="200"/>
        <w:contextualSpacing/>
        <w:rPr>
          <w:sz w:val="24"/>
          <w:szCs w:val="21"/>
        </w:rPr>
      </w:pPr>
    </w:p>
    <w:p w14:paraId="12B40BD0">
      <w:pPr>
        <w:adjustRightInd w:val="0"/>
        <w:snapToGrid w:val="0"/>
        <w:spacing w:line="360" w:lineRule="auto"/>
        <w:ind w:firstLine="480" w:firstLineChars="200"/>
        <w:contextualSpacing/>
        <w:rPr>
          <w:sz w:val="24"/>
          <w:szCs w:val="21"/>
          <w:u w:val="dotted"/>
        </w:rPr>
      </w:pPr>
      <w:r>
        <w:rPr>
          <w:rFonts w:hint="eastAsia"/>
          <w:sz w:val="24"/>
          <w:szCs w:val="21"/>
        </w:rPr>
        <w:t>法律依据：</w:t>
      </w:r>
    </w:p>
    <w:p w14:paraId="1F63DCDD">
      <w:pPr>
        <w:adjustRightInd w:val="0"/>
        <w:snapToGrid w:val="0"/>
        <w:spacing w:line="360" w:lineRule="auto"/>
        <w:ind w:firstLine="480" w:firstLineChars="200"/>
        <w:contextualSpacing/>
        <w:rPr>
          <w:sz w:val="24"/>
          <w:szCs w:val="21"/>
          <w:u w:val="dotted"/>
        </w:rPr>
      </w:pPr>
    </w:p>
    <w:p w14:paraId="13692163">
      <w:pPr>
        <w:adjustRightInd w:val="0"/>
        <w:snapToGrid w:val="0"/>
        <w:spacing w:line="360" w:lineRule="auto"/>
        <w:ind w:firstLine="480" w:firstLineChars="200"/>
        <w:contextualSpacing/>
        <w:rPr>
          <w:sz w:val="24"/>
          <w:szCs w:val="21"/>
          <w:u w:val="dotted"/>
        </w:rPr>
      </w:pPr>
      <w:r>
        <w:rPr>
          <w:rFonts w:hint="eastAsia"/>
          <w:sz w:val="24"/>
          <w:szCs w:val="21"/>
        </w:rPr>
        <w:t>质疑事项2</w:t>
      </w:r>
    </w:p>
    <w:p w14:paraId="1F73D73A">
      <w:pPr>
        <w:adjustRightInd w:val="0"/>
        <w:snapToGrid w:val="0"/>
        <w:spacing w:line="360" w:lineRule="auto"/>
        <w:ind w:firstLine="480" w:firstLineChars="200"/>
        <w:contextualSpacing/>
        <w:rPr>
          <w:sz w:val="24"/>
          <w:szCs w:val="21"/>
        </w:rPr>
      </w:pPr>
      <w:r>
        <w:rPr>
          <w:rFonts w:hint="eastAsia"/>
          <w:sz w:val="24"/>
          <w:szCs w:val="21"/>
        </w:rPr>
        <w:t>……</w:t>
      </w:r>
    </w:p>
    <w:p w14:paraId="15F1B65E">
      <w:pPr>
        <w:adjustRightInd w:val="0"/>
        <w:snapToGrid w:val="0"/>
        <w:spacing w:line="360" w:lineRule="auto"/>
        <w:ind w:firstLine="480" w:firstLineChars="200"/>
        <w:contextualSpacing/>
        <w:rPr>
          <w:bCs/>
          <w:sz w:val="24"/>
          <w:szCs w:val="21"/>
        </w:rPr>
      </w:pPr>
      <w:r>
        <w:rPr>
          <w:rFonts w:hint="eastAsia"/>
          <w:bCs/>
          <w:sz w:val="24"/>
          <w:szCs w:val="21"/>
        </w:rPr>
        <w:t>四、与质疑事项相关的质疑请求</w:t>
      </w:r>
    </w:p>
    <w:p w14:paraId="5C487BE0">
      <w:pPr>
        <w:adjustRightInd w:val="0"/>
        <w:snapToGrid w:val="0"/>
        <w:spacing w:line="360" w:lineRule="auto"/>
        <w:ind w:firstLine="480" w:firstLineChars="200"/>
        <w:contextualSpacing/>
        <w:rPr>
          <w:sz w:val="24"/>
          <w:szCs w:val="21"/>
          <w:u w:val="dotted"/>
        </w:rPr>
      </w:pPr>
      <w:r>
        <w:rPr>
          <w:rFonts w:hint="eastAsia"/>
          <w:sz w:val="24"/>
          <w:szCs w:val="21"/>
        </w:rPr>
        <w:t>请求：</w:t>
      </w:r>
    </w:p>
    <w:p w14:paraId="4455E424">
      <w:pPr>
        <w:adjustRightInd w:val="0"/>
        <w:snapToGrid w:val="0"/>
        <w:spacing w:line="360" w:lineRule="auto"/>
        <w:ind w:firstLine="480" w:firstLineChars="200"/>
        <w:contextualSpacing/>
        <w:rPr>
          <w:sz w:val="24"/>
          <w:szCs w:val="21"/>
        </w:rPr>
      </w:pPr>
      <w:r>
        <w:rPr>
          <w:rFonts w:hint="eastAsia"/>
          <w:sz w:val="24"/>
          <w:szCs w:val="21"/>
        </w:rPr>
        <w:t xml:space="preserve">签字（签章）：                   公章：                      </w:t>
      </w:r>
    </w:p>
    <w:p w14:paraId="22586853">
      <w:pPr>
        <w:adjustRightInd w:val="0"/>
        <w:snapToGrid w:val="0"/>
        <w:spacing w:line="360" w:lineRule="auto"/>
        <w:ind w:firstLine="480" w:firstLineChars="200"/>
        <w:contextualSpacing/>
        <w:rPr>
          <w:sz w:val="24"/>
          <w:szCs w:val="21"/>
        </w:rPr>
      </w:pPr>
      <w:r>
        <w:rPr>
          <w:rFonts w:hint="eastAsia"/>
          <w:sz w:val="24"/>
          <w:szCs w:val="21"/>
        </w:rPr>
        <w:t xml:space="preserve">日期：    </w:t>
      </w:r>
    </w:p>
    <w:p w14:paraId="48155A78">
      <w:pPr>
        <w:adjustRightInd w:val="0"/>
        <w:snapToGrid w:val="0"/>
        <w:spacing w:line="360" w:lineRule="auto"/>
        <w:ind w:firstLine="480" w:firstLineChars="200"/>
        <w:contextualSpacing/>
        <w:rPr>
          <w:sz w:val="24"/>
          <w:szCs w:val="21"/>
        </w:rPr>
      </w:pPr>
    </w:p>
    <w:p w14:paraId="3F7AA217">
      <w:pPr>
        <w:adjustRightInd w:val="0"/>
        <w:snapToGrid w:val="0"/>
        <w:spacing w:line="360" w:lineRule="auto"/>
        <w:ind w:firstLine="482" w:firstLineChars="200"/>
        <w:contextualSpacing/>
        <w:rPr>
          <w:b/>
          <w:sz w:val="24"/>
          <w:szCs w:val="21"/>
        </w:rPr>
      </w:pPr>
    </w:p>
    <w:p w14:paraId="7882CD67">
      <w:pPr>
        <w:adjustRightInd w:val="0"/>
        <w:snapToGrid w:val="0"/>
        <w:spacing w:line="360" w:lineRule="auto"/>
        <w:ind w:firstLine="482" w:firstLineChars="200"/>
        <w:contextualSpacing/>
        <w:rPr>
          <w:b/>
          <w:sz w:val="24"/>
          <w:szCs w:val="21"/>
        </w:rPr>
      </w:pPr>
      <w:r>
        <w:rPr>
          <w:rFonts w:hint="eastAsia"/>
          <w:b/>
          <w:sz w:val="24"/>
          <w:szCs w:val="21"/>
        </w:rPr>
        <w:br w:type="page"/>
      </w:r>
      <w:r>
        <w:rPr>
          <w:rFonts w:hint="eastAsia"/>
          <w:b/>
          <w:sz w:val="24"/>
          <w:szCs w:val="21"/>
        </w:rPr>
        <w:t>质疑函制作说明：</w:t>
      </w:r>
    </w:p>
    <w:p w14:paraId="4105F06C">
      <w:pPr>
        <w:adjustRightInd w:val="0"/>
        <w:snapToGrid w:val="0"/>
        <w:spacing w:line="360" w:lineRule="auto"/>
        <w:ind w:firstLine="480" w:firstLineChars="200"/>
        <w:contextualSpacing/>
        <w:rPr>
          <w:sz w:val="24"/>
          <w:szCs w:val="21"/>
        </w:rPr>
      </w:pPr>
      <w:r>
        <w:rPr>
          <w:rFonts w:hint="eastAsia"/>
          <w:sz w:val="24"/>
          <w:szCs w:val="21"/>
        </w:rPr>
        <w:t>1.供应商提出质疑时，应提交质疑函和必要的证明材料。</w:t>
      </w:r>
    </w:p>
    <w:p w14:paraId="10E3B44B">
      <w:pPr>
        <w:adjustRightInd w:val="0"/>
        <w:snapToGrid w:val="0"/>
        <w:spacing w:line="360" w:lineRule="auto"/>
        <w:ind w:firstLine="480" w:firstLineChars="200"/>
        <w:contextualSpacing/>
        <w:rPr>
          <w:sz w:val="24"/>
          <w:szCs w:val="21"/>
        </w:rPr>
      </w:pPr>
      <w:r>
        <w:rPr>
          <w:rFonts w:hint="eastAsia"/>
          <w:sz w:val="24"/>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F421EDE">
      <w:pPr>
        <w:adjustRightInd w:val="0"/>
        <w:snapToGrid w:val="0"/>
        <w:spacing w:line="360" w:lineRule="auto"/>
        <w:ind w:firstLine="480" w:firstLineChars="200"/>
        <w:contextualSpacing/>
        <w:rPr>
          <w:sz w:val="24"/>
          <w:szCs w:val="21"/>
        </w:rPr>
      </w:pPr>
      <w:r>
        <w:rPr>
          <w:rFonts w:hint="eastAsia"/>
          <w:sz w:val="24"/>
          <w:szCs w:val="21"/>
        </w:rPr>
        <w:t>3.质疑供应商若对项目的某一分包进行质疑，质疑函中应列明具体分包号。</w:t>
      </w:r>
    </w:p>
    <w:p w14:paraId="5F90B8FC">
      <w:pPr>
        <w:adjustRightInd w:val="0"/>
        <w:snapToGrid w:val="0"/>
        <w:spacing w:line="360" w:lineRule="auto"/>
        <w:ind w:firstLine="480" w:firstLineChars="200"/>
        <w:contextualSpacing/>
        <w:rPr>
          <w:sz w:val="24"/>
          <w:szCs w:val="21"/>
        </w:rPr>
      </w:pPr>
      <w:r>
        <w:rPr>
          <w:rFonts w:hint="eastAsia"/>
          <w:sz w:val="24"/>
          <w:szCs w:val="21"/>
        </w:rPr>
        <w:t>4.质疑函的质疑事项应具体、明确，并有必要的事实依据和法律依据。</w:t>
      </w:r>
    </w:p>
    <w:p w14:paraId="1088C1A0">
      <w:pPr>
        <w:adjustRightInd w:val="0"/>
        <w:snapToGrid w:val="0"/>
        <w:spacing w:line="360" w:lineRule="auto"/>
        <w:ind w:firstLine="480" w:firstLineChars="200"/>
        <w:contextualSpacing/>
        <w:rPr>
          <w:sz w:val="24"/>
          <w:szCs w:val="21"/>
        </w:rPr>
      </w:pPr>
      <w:r>
        <w:rPr>
          <w:rFonts w:hint="eastAsia"/>
          <w:sz w:val="24"/>
          <w:szCs w:val="21"/>
        </w:rPr>
        <w:t>5.质疑函的质疑请求应与质疑事项相关。</w:t>
      </w:r>
    </w:p>
    <w:p w14:paraId="7CB74807">
      <w:pPr>
        <w:adjustRightInd w:val="0"/>
        <w:snapToGrid w:val="0"/>
        <w:spacing w:line="360" w:lineRule="auto"/>
        <w:ind w:firstLine="480" w:firstLineChars="200"/>
        <w:contextualSpacing/>
        <w:rPr>
          <w:rFonts w:hint="eastAsia"/>
          <w:sz w:val="24"/>
          <w:szCs w:val="21"/>
        </w:rPr>
      </w:pPr>
      <w:r>
        <w:rPr>
          <w:rFonts w:hint="eastAsia"/>
          <w:sz w:val="24"/>
          <w:szCs w:val="21"/>
        </w:rPr>
        <w:t>6.质疑供应商为自然人的，质疑函应由本人签字；质疑供应商为法人或者其他组织的，质疑函应由法定代表人、主要负责人，或者其授权代表签字或者盖章，并加盖公章</w:t>
      </w:r>
      <w:r>
        <w:rPr>
          <w:sz w:val="24"/>
          <w:szCs w:val="21"/>
        </w:rPr>
        <w:t>。</w:t>
      </w:r>
    </w:p>
    <w:p w14:paraId="0F89C59A">
      <w:pPr>
        <w:spacing w:line="360" w:lineRule="auto"/>
        <w:ind w:firstLine="240" w:firstLineChars="100"/>
        <w:rPr>
          <w:rFonts w:hint="eastAsia"/>
          <w:sz w:val="24"/>
        </w:rPr>
      </w:pPr>
      <w:r>
        <w:rPr>
          <w:rFonts w:hint="eastAsia"/>
          <w:sz w:val="24"/>
        </w:rPr>
        <w:t xml:space="preserve">            </w:t>
      </w:r>
    </w:p>
    <w:p w14:paraId="704F424E">
      <w:pPr>
        <w:widowControl/>
        <w:shd w:val="clear" w:color="auto" w:fill="FFFFFF"/>
        <w:spacing w:line="360" w:lineRule="auto"/>
        <w:jc w:val="left"/>
        <w:rPr>
          <w:rFonts w:hint="eastAsia" w:cs="宋体"/>
          <w:kern w:val="0"/>
          <w:szCs w:val="21"/>
        </w:rPr>
      </w:pPr>
    </w:p>
    <w:p w14:paraId="40570ED2">
      <w:pPr>
        <w:spacing w:line="360" w:lineRule="auto"/>
        <w:ind w:firstLine="361" w:firstLineChars="100"/>
        <w:rPr>
          <w:rFonts w:hint="eastAsia"/>
          <w:b/>
          <w:sz w:val="36"/>
          <w:szCs w:val="36"/>
        </w:rPr>
      </w:pPr>
    </w:p>
    <w:p w14:paraId="629FFC3A">
      <w:pPr>
        <w:snapToGrid w:val="0"/>
        <w:spacing w:line="360" w:lineRule="auto"/>
        <w:jc w:val="center"/>
        <w:outlineLvl w:val="0"/>
        <w:rPr>
          <w:b/>
          <w:sz w:val="36"/>
          <w:szCs w:val="36"/>
        </w:rPr>
      </w:pPr>
      <w:r>
        <w:rPr>
          <w:b/>
          <w:sz w:val="36"/>
          <w:szCs w:val="36"/>
        </w:rPr>
        <w:br w:type="page"/>
      </w:r>
      <w:r>
        <w:rPr>
          <w:rFonts w:hint="eastAsia"/>
          <w:b/>
          <w:sz w:val="36"/>
          <w:szCs w:val="36"/>
        </w:rPr>
        <w:t>第八部分  投标文件组成及格式</w:t>
      </w:r>
    </w:p>
    <w:p w14:paraId="1E92ADF6">
      <w:pPr>
        <w:spacing w:line="360" w:lineRule="auto"/>
        <w:jc w:val="center"/>
        <w:rPr>
          <w:rFonts w:hint="eastAsia" w:cs="宋体"/>
          <w:b/>
          <w:bCs/>
          <w:sz w:val="72"/>
          <w:szCs w:val="72"/>
        </w:rPr>
      </w:pPr>
    </w:p>
    <w:p w14:paraId="60ADFA5D">
      <w:pPr>
        <w:spacing w:line="360" w:lineRule="auto"/>
        <w:jc w:val="center"/>
        <w:rPr>
          <w:rFonts w:hint="eastAsia" w:cs="宋体"/>
          <w:b/>
          <w:bCs/>
          <w:sz w:val="72"/>
          <w:szCs w:val="72"/>
        </w:rPr>
      </w:pPr>
    </w:p>
    <w:p w14:paraId="5225AEF3">
      <w:pPr>
        <w:spacing w:line="360" w:lineRule="auto"/>
        <w:jc w:val="center"/>
        <w:rPr>
          <w:b/>
          <w:bCs/>
          <w:sz w:val="72"/>
          <w:szCs w:val="72"/>
        </w:rPr>
      </w:pPr>
      <w:r>
        <w:rPr>
          <w:rFonts w:hint="eastAsia" w:cs="宋体"/>
          <w:b/>
          <w:bCs/>
          <w:sz w:val="72"/>
          <w:szCs w:val="72"/>
        </w:rPr>
        <w:t>投标文件</w:t>
      </w:r>
    </w:p>
    <w:p w14:paraId="50B72F9F">
      <w:pPr>
        <w:spacing w:line="360" w:lineRule="auto"/>
        <w:jc w:val="center"/>
        <w:rPr>
          <w:b/>
          <w:bCs/>
          <w:sz w:val="32"/>
          <w:szCs w:val="32"/>
        </w:rPr>
      </w:pPr>
      <w:r>
        <w:rPr>
          <w:rFonts w:hint="eastAsia" w:cs="宋体"/>
          <w:b/>
          <w:bCs/>
          <w:sz w:val="32"/>
          <w:szCs w:val="32"/>
        </w:rPr>
        <w:t>（投标文件/电子投标文件）</w:t>
      </w:r>
    </w:p>
    <w:p w14:paraId="2C2786C8">
      <w:pPr>
        <w:spacing w:line="360" w:lineRule="auto"/>
        <w:jc w:val="center"/>
        <w:rPr>
          <w:rFonts w:cs="宋体"/>
          <w:b/>
          <w:bCs/>
          <w:sz w:val="44"/>
          <w:szCs w:val="44"/>
        </w:rPr>
      </w:pPr>
      <w:r>
        <w:rPr>
          <w:rFonts w:hint="eastAsia" w:cs="宋体"/>
          <w:b/>
          <w:bCs/>
          <w:sz w:val="44"/>
          <w:szCs w:val="44"/>
        </w:rPr>
        <w:t>标段一</w:t>
      </w:r>
    </w:p>
    <w:p w14:paraId="6F302032">
      <w:pPr>
        <w:spacing w:line="360" w:lineRule="auto"/>
        <w:ind w:firstLine="721"/>
        <w:jc w:val="center"/>
        <w:rPr>
          <w:b/>
          <w:bCs/>
          <w:sz w:val="36"/>
          <w:szCs w:val="36"/>
        </w:rPr>
      </w:pPr>
    </w:p>
    <w:p w14:paraId="0BE5C5E2">
      <w:pPr>
        <w:spacing w:line="360" w:lineRule="auto"/>
        <w:ind w:firstLine="721"/>
        <w:jc w:val="center"/>
        <w:rPr>
          <w:b/>
          <w:bCs/>
          <w:sz w:val="36"/>
          <w:szCs w:val="36"/>
        </w:rPr>
      </w:pPr>
    </w:p>
    <w:p w14:paraId="6A2BC5E5">
      <w:pPr>
        <w:spacing w:line="360" w:lineRule="auto"/>
        <w:ind w:firstLine="721"/>
        <w:jc w:val="center"/>
        <w:rPr>
          <w:b/>
          <w:bCs/>
          <w:sz w:val="36"/>
          <w:szCs w:val="36"/>
        </w:rPr>
      </w:pPr>
    </w:p>
    <w:p w14:paraId="40D6AC16">
      <w:pPr>
        <w:spacing w:line="360" w:lineRule="auto"/>
        <w:ind w:firstLine="1084" w:firstLineChars="300"/>
        <w:rPr>
          <w:b/>
          <w:bCs/>
          <w:sz w:val="36"/>
          <w:szCs w:val="36"/>
        </w:rPr>
      </w:pPr>
      <w:r>
        <w:rPr>
          <w:rFonts w:hint="eastAsia" w:cs="宋体"/>
          <w:b/>
          <w:bCs/>
          <w:sz w:val="36"/>
          <w:szCs w:val="36"/>
        </w:rPr>
        <w:t>项目名称：</w:t>
      </w:r>
    </w:p>
    <w:p w14:paraId="660FF448">
      <w:pPr>
        <w:spacing w:line="360" w:lineRule="auto"/>
        <w:ind w:firstLine="1084" w:firstLineChars="300"/>
      </w:pPr>
      <w:r>
        <w:rPr>
          <w:rFonts w:hint="eastAsia" w:cs="宋体"/>
          <w:b/>
          <w:bCs/>
          <w:sz w:val="36"/>
          <w:szCs w:val="36"/>
        </w:rPr>
        <w:t>项目编号：</w:t>
      </w:r>
    </w:p>
    <w:p w14:paraId="75409A7B">
      <w:pPr>
        <w:spacing w:line="360" w:lineRule="auto"/>
        <w:ind w:firstLine="1081" w:firstLineChars="299"/>
        <w:rPr>
          <w:b/>
          <w:bCs/>
          <w:sz w:val="36"/>
          <w:szCs w:val="36"/>
          <w:u w:val="single"/>
        </w:rPr>
      </w:pPr>
      <w:r>
        <w:rPr>
          <w:rFonts w:hint="eastAsia" w:cs="宋体"/>
          <w:b/>
          <w:bCs/>
          <w:sz w:val="36"/>
          <w:szCs w:val="36"/>
        </w:rPr>
        <w:t>投标人名称：</w:t>
      </w:r>
    </w:p>
    <w:p w14:paraId="740B5763">
      <w:pPr>
        <w:spacing w:line="360" w:lineRule="auto"/>
        <w:ind w:firstLine="1084" w:firstLineChars="300"/>
        <w:rPr>
          <w:b/>
          <w:bCs/>
          <w:sz w:val="36"/>
          <w:szCs w:val="36"/>
        </w:rPr>
      </w:pPr>
      <w:r>
        <w:rPr>
          <w:rFonts w:hint="eastAsia" w:cs="宋体"/>
          <w:b/>
          <w:bCs/>
          <w:sz w:val="36"/>
          <w:szCs w:val="36"/>
        </w:rPr>
        <w:t>投标人地址：</w:t>
      </w:r>
    </w:p>
    <w:p w14:paraId="15226A15">
      <w:pPr>
        <w:spacing w:line="360" w:lineRule="auto"/>
        <w:ind w:firstLine="1081" w:firstLineChars="299"/>
        <w:rPr>
          <w:b/>
          <w:bCs/>
          <w:sz w:val="36"/>
          <w:szCs w:val="36"/>
        </w:rPr>
      </w:pPr>
      <w:r>
        <w:rPr>
          <w:rFonts w:hint="eastAsia" w:cs="宋体"/>
          <w:b/>
          <w:bCs/>
          <w:sz w:val="36"/>
          <w:szCs w:val="36"/>
        </w:rPr>
        <w:t>日期：</w:t>
      </w:r>
    </w:p>
    <w:p w14:paraId="1C98F538">
      <w:pPr>
        <w:spacing w:line="360" w:lineRule="auto"/>
        <w:ind w:firstLine="641"/>
        <w:jc w:val="center"/>
        <w:rPr>
          <w:b/>
          <w:bCs/>
          <w:sz w:val="32"/>
          <w:szCs w:val="32"/>
        </w:rPr>
      </w:pPr>
    </w:p>
    <w:p w14:paraId="1A7A647F">
      <w:pPr>
        <w:spacing w:line="360" w:lineRule="auto"/>
        <w:ind w:firstLine="480" w:firstLineChars="200"/>
        <w:rPr>
          <w:sz w:val="24"/>
        </w:rPr>
      </w:pPr>
    </w:p>
    <w:p w14:paraId="02CFD298">
      <w:pPr>
        <w:spacing w:line="360" w:lineRule="auto"/>
        <w:ind w:firstLine="480" w:firstLineChars="200"/>
        <w:rPr>
          <w:sz w:val="24"/>
        </w:rPr>
      </w:pPr>
    </w:p>
    <w:p w14:paraId="227468B5">
      <w:pPr>
        <w:spacing w:line="360" w:lineRule="auto"/>
        <w:rPr>
          <w:sz w:val="24"/>
        </w:rPr>
      </w:pPr>
    </w:p>
    <w:p w14:paraId="7718EF68">
      <w:pPr>
        <w:pStyle w:val="5"/>
        <w:jc w:val="center"/>
      </w:pPr>
      <w:r>
        <w:rPr>
          <w:sz w:val="32"/>
        </w:rPr>
        <w:br w:type="page"/>
      </w:r>
      <w:r>
        <w:rPr>
          <w:rFonts w:hint="eastAsia"/>
          <w:szCs w:val="28"/>
        </w:rPr>
        <w:t>第一部分</w:t>
      </w:r>
      <w:bookmarkStart w:id="366" w:name="_Toc387526438"/>
      <w:bookmarkStart w:id="367" w:name="_Toc387526242"/>
      <w:bookmarkStart w:id="368" w:name="_Toc397928632"/>
      <w:bookmarkStart w:id="369" w:name="_Toc387526346"/>
      <w:bookmarkStart w:id="370" w:name="_Toc5230"/>
      <w:r>
        <w:rPr>
          <w:rFonts w:hint="eastAsia"/>
          <w:szCs w:val="28"/>
        </w:rPr>
        <w:t xml:space="preserve"> </w:t>
      </w:r>
      <w:r>
        <w:rPr>
          <w:rFonts w:hint="eastAsia"/>
        </w:rPr>
        <w:t>资格审查部分</w:t>
      </w:r>
    </w:p>
    <w:p w14:paraId="245A48F3">
      <w:pPr>
        <w:spacing w:line="360" w:lineRule="auto"/>
        <w:ind w:firstLine="480" w:firstLineChars="200"/>
        <w:textAlignment w:val="baseline"/>
        <w:rPr>
          <w:sz w:val="24"/>
        </w:rPr>
      </w:pPr>
      <w:r>
        <w:rPr>
          <w:rFonts w:hint="eastAsia"/>
          <w:sz w:val="24"/>
        </w:rPr>
        <w:t>1.</w:t>
      </w:r>
      <w:r>
        <w:rPr>
          <w:rFonts w:hint="eastAsia"/>
          <w:bCs/>
          <w:sz w:val="24"/>
        </w:rPr>
        <w:t>投标人具有独立承担民事责任的能力，提供法人或者其他组织的营业执照等证明文件</w:t>
      </w:r>
      <w:r>
        <w:rPr>
          <w:rFonts w:hint="eastAsia"/>
          <w:sz w:val="24"/>
        </w:rPr>
        <w:t>；</w:t>
      </w:r>
    </w:p>
    <w:p w14:paraId="54ABBAC5">
      <w:pPr>
        <w:spacing w:line="360" w:lineRule="auto"/>
        <w:ind w:firstLine="480" w:firstLineChars="200"/>
        <w:textAlignment w:val="baseline"/>
        <w:rPr>
          <w:sz w:val="24"/>
        </w:rPr>
      </w:pPr>
      <w:r>
        <w:rPr>
          <w:rFonts w:hint="eastAsia"/>
          <w:sz w:val="24"/>
        </w:rPr>
        <w:t>2.法定代表人参加投标的，必须提供法定代表人身份证明及法定代表人本人身份证复印件；非法定代表人参加投标的，必须提供法定代表人签字或盖章的授权委托书、法定代表人本人身份证复印件及被授权人本人身份证复印件（须加盖公章）（</w:t>
      </w:r>
      <w:r>
        <w:rPr>
          <w:rFonts w:hint="eastAsia" w:cs="宋体"/>
          <w:sz w:val="24"/>
        </w:rPr>
        <w:t>格式参见附件）</w:t>
      </w:r>
      <w:r>
        <w:rPr>
          <w:rFonts w:hint="eastAsia"/>
          <w:sz w:val="24"/>
        </w:rPr>
        <w:t>；</w:t>
      </w:r>
    </w:p>
    <w:p w14:paraId="1300B1A0">
      <w:pPr>
        <w:spacing w:line="360" w:lineRule="auto"/>
        <w:ind w:firstLine="480" w:firstLineChars="200"/>
        <w:rPr>
          <w:rFonts w:hint="eastAsia"/>
          <w:sz w:val="24"/>
        </w:rPr>
      </w:pPr>
      <w:r>
        <w:rPr>
          <w:rFonts w:hint="eastAsia"/>
          <w:sz w:val="24"/>
        </w:rPr>
        <w:t>3.供应商须提供诚信承诺书（格式参见附件）；</w:t>
      </w:r>
    </w:p>
    <w:p w14:paraId="047BC598">
      <w:pPr>
        <w:spacing w:line="360" w:lineRule="auto"/>
        <w:ind w:firstLine="480" w:firstLineChars="200"/>
        <w:rPr>
          <w:rFonts w:hint="eastAsia"/>
          <w:sz w:val="24"/>
        </w:rPr>
      </w:pPr>
      <w:r>
        <w:rPr>
          <w:rFonts w:hint="eastAsia"/>
          <w:sz w:val="24"/>
        </w:rPr>
        <w:t>4.投标单位认为其他必要的材料。</w:t>
      </w:r>
    </w:p>
    <w:p w14:paraId="4EA6E80D">
      <w:pPr>
        <w:spacing w:line="360" w:lineRule="auto"/>
        <w:ind w:firstLine="482" w:firstLineChars="200"/>
        <w:jc w:val="left"/>
        <w:rPr>
          <w:rFonts w:hint="eastAsia" w:cs="宋体"/>
          <w:sz w:val="24"/>
        </w:rPr>
      </w:pPr>
      <w:r>
        <w:rPr>
          <w:rFonts w:hint="eastAsia" w:cs="宋体"/>
          <w:b/>
          <w:bCs/>
          <w:sz w:val="24"/>
        </w:rPr>
        <w:t>注：以上材料如为复印件均需加盖投标供应商公章。</w:t>
      </w:r>
    </w:p>
    <w:p w14:paraId="78F658F0">
      <w:pPr>
        <w:spacing w:line="360" w:lineRule="auto"/>
        <w:jc w:val="center"/>
        <w:rPr>
          <w:sz w:val="24"/>
        </w:rPr>
      </w:pPr>
    </w:p>
    <w:p w14:paraId="595B580D">
      <w:pPr>
        <w:pStyle w:val="5"/>
        <w:jc w:val="center"/>
        <w:rPr>
          <w:b w:val="0"/>
          <w:bCs w:val="0"/>
          <w:sz w:val="30"/>
          <w:szCs w:val="30"/>
        </w:rPr>
      </w:pPr>
      <w:r>
        <w:rPr>
          <w:szCs w:val="28"/>
        </w:rPr>
        <w:br w:type="page"/>
      </w:r>
      <w:r>
        <w:rPr>
          <w:rFonts w:hint="eastAsia" w:cs="宋体"/>
          <w:b w:val="0"/>
          <w:bCs w:val="0"/>
          <w:sz w:val="30"/>
          <w:szCs w:val="30"/>
        </w:rPr>
        <w:t>一、</w:t>
      </w:r>
      <w:r>
        <w:rPr>
          <w:rFonts w:hint="eastAsia"/>
        </w:rPr>
        <w:t>法定代表人身份证明</w:t>
      </w:r>
    </w:p>
    <w:p w14:paraId="2AB1DCBF">
      <w:pPr>
        <w:snapToGrid w:val="0"/>
        <w:spacing w:line="360" w:lineRule="auto"/>
        <w:jc w:val="center"/>
        <w:rPr>
          <w:rFonts w:hint="eastAsia" w:cs="宋体"/>
          <w:sz w:val="24"/>
          <w:u w:val="single"/>
        </w:rPr>
      </w:pPr>
      <w:r>
        <w:rPr>
          <w:rFonts w:hint="eastAsia" w:cs="宋体"/>
          <w:sz w:val="24"/>
          <w:u w:val="single"/>
        </w:rPr>
        <w:t>（法定代表人参加投标时，须出示此证明）</w:t>
      </w:r>
    </w:p>
    <w:p w14:paraId="039BC4B4">
      <w:pPr>
        <w:snapToGrid w:val="0"/>
        <w:spacing w:line="360" w:lineRule="auto"/>
        <w:jc w:val="center"/>
        <w:rPr>
          <w:rFonts w:hint="eastAsia" w:cs="宋体"/>
          <w:sz w:val="24"/>
        </w:rPr>
      </w:pPr>
    </w:p>
    <w:p w14:paraId="22A3F29E">
      <w:pPr>
        <w:snapToGrid w:val="0"/>
        <w:spacing w:line="360" w:lineRule="auto"/>
        <w:rPr>
          <w:rFonts w:hint="eastAsia" w:cs="宋体"/>
          <w:sz w:val="24"/>
        </w:rPr>
      </w:pPr>
      <w:r>
        <w:rPr>
          <w:rFonts w:hint="eastAsia" w:cs="宋体"/>
          <w:sz w:val="24"/>
          <w:u w:val="single"/>
        </w:rPr>
        <w:t xml:space="preserve"> 南通新通安投资开发有限公司 </w:t>
      </w:r>
      <w:r>
        <w:rPr>
          <w:rFonts w:hint="eastAsia" w:cs="宋体"/>
          <w:sz w:val="24"/>
        </w:rPr>
        <w:t>：</w:t>
      </w:r>
    </w:p>
    <w:p w14:paraId="023E3E91">
      <w:pPr>
        <w:snapToGrid w:val="0"/>
        <w:spacing w:line="360" w:lineRule="auto"/>
        <w:ind w:firstLine="480" w:firstLineChars="200"/>
        <w:rPr>
          <w:rFonts w:hint="eastAsia" w:cs="宋体"/>
          <w:sz w:val="24"/>
        </w:rPr>
      </w:pPr>
      <w:r>
        <w:rPr>
          <w:rFonts w:hint="eastAsia" w:cs="宋体"/>
          <w:sz w:val="24"/>
        </w:rPr>
        <w:t>我公司法定代表人</w:t>
      </w:r>
      <w:r>
        <w:rPr>
          <w:rFonts w:hint="eastAsia" w:cs="宋体"/>
          <w:sz w:val="24"/>
          <w:u w:val="single"/>
        </w:rPr>
        <w:t xml:space="preserve">     　　　   </w:t>
      </w:r>
      <w:r>
        <w:rPr>
          <w:rFonts w:hint="eastAsia" w:cs="宋体"/>
          <w:sz w:val="24"/>
        </w:rPr>
        <w:t>参加贵单位组织的</w:t>
      </w:r>
      <w:r>
        <w:rPr>
          <w:rFonts w:hint="eastAsia" w:cs="宋体"/>
          <w:sz w:val="24"/>
          <w:u w:val="single"/>
        </w:rPr>
        <w:t xml:space="preserve">                </w:t>
      </w:r>
      <w:r>
        <w:rPr>
          <w:rFonts w:hint="eastAsia" w:cs="宋体"/>
          <w:sz w:val="24"/>
        </w:rPr>
        <w:t>（招标项目名称）的项目投标活动，全权代表我公司处理投标的有关事宜。</w:t>
      </w:r>
    </w:p>
    <w:p w14:paraId="0E16365A">
      <w:pPr>
        <w:snapToGrid w:val="0"/>
        <w:spacing w:line="360" w:lineRule="auto"/>
        <w:rPr>
          <w:rFonts w:hint="eastAsia" w:cs="宋体"/>
          <w:sz w:val="24"/>
        </w:rPr>
      </w:pPr>
    </w:p>
    <w:p w14:paraId="1696263B">
      <w:pPr>
        <w:snapToGrid w:val="0"/>
        <w:spacing w:line="360" w:lineRule="auto"/>
        <w:ind w:firstLine="484" w:firstLineChars="202"/>
        <w:rPr>
          <w:rFonts w:hint="eastAsia" w:cs="宋体"/>
          <w:sz w:val="24"/>
        </w:rPr>
      </w:pPr>
      <w:r>
        <w:rPr>
          <w:rFonts w:hint="eastAsia" w:cs="宋体"/>
          <w:sz w:val="24"/>
        </w:rPr>
        <w:t>附：法定代表人情况：</w:t>
      </w:r>
    </w:p>
    <w:p w14:paraId="4C99585E">
      <w:pPr>
        <w:snapToGrid w:val="0"/>
        <w:spacing w:line="360" w:lineRule="auto"/>
        <w:ind w:firstLine="484" w:firstLineChars="202"/>
        <w:rPr>
          <w:rFonts w:hint="eastAsia" w:cs="宋体"/>
          <w:sz w:val="24"/>
          <w:u w:val="single"/>
        </w:rPr>
      </w:pPr>
      <w:r>
        <w:rPr>
          <w:rFonts w:hint="eastAsia" w:cs="宋体"/>
          <w:sz w:val="24"/>
        </w:rPr>
        <w:t>姓名：</w:t>
      </w:r>
      <w:r>
        <w:rPr>
          <w:rFonts w:hint="eastAsia" w:cs="宋体"/>
          <w:sz w:val="24"/>
          <w:u w:val="single"/>
        </w:rPr>
        <w:t xml:space="preserve">         </w:t>
      </w:r>
      <w:r>
        <w:rPr>
          <w:rFonts w:hint="eastAsia" w:cs="宋体"/>
          <w:sz w:val="24"/>
        </w:rPr>
        <w:t>性别：</w:t>
      </w:r>
      <w:r>
        <w:rPr>
          <w:rFonts w:hint="eastAsia" w:cs="宋体"/>
          <w:sz w:val="24"/>
          <w:u w:val="single"/>
        </w:rPr>
        <w:t xml:space="preserve">      </w:t>
      </w:r>
      <w:r>
        <w:rPr>
          <w:rFonts w:hint="eastAsia" w:cs="宋体"/>
          <w:sz w:val="24"/>
        </w:rPr>
        <w:t>年龄：</w:t>
      </w:r>
      <w:r>
        <w:rPr>
          <w:rFonts w:hint="eastAsia" w:cs="宋体"/>
          <w:sz w:val="24"/>
          <w:u w:val="single"/>
        </w:rPr>
        <w:t xml:space="preserve">     </w:t>
      </w:r>
      <w:r>
        <w:rPr>
          <w:rFonts w:hint="eastAsia" w:cs="宋体"/>
          <w:sz w:val="24"/>
        </w:rPr>
        <w:t>职务：</w:t>
      </w:r>
      <w:r>
        <w:rPr>
          <w:rFonts w:hint="eastAsia" w:cs="宋体"/>
          <w:sz w:val="24"/>
          <w:u w:val="single"/>
        </w:rPr>
        <w:t xml:space="preserve">         </w:t>
      </w:r>
    </w:p>
    <w:p w14:paraId="290BC37D">
      <w:pPr>
        <w:snapToGrid w:val="0"/>
        <w:spacing w:line="360" w:lineRule="auto"/>
        <w:ind w:firstLine="484" w:firstLineChars="202"/>
        <w:rPr>
          <w:rFonts w:hint="eastAsia" w:cs="宋体"/>
          <w:sz w:val="24"/>
        </w:rPr>
      </w:pPr>
      <w:r>
        <w:rPr>
          <w:rFonts w:hint="eastAsia" w:cs="宋体"/>
          <w:sz w:val="24"/>
        </w:rPr>
        <w:t>身份证号码：</w:t>
      </w:r>
      <w:r>
        <w:rPr>
          <w:rFonts w:hint="eastAsia" w:cs="宋体"/>
          <w:sz w:val="24"/>
          <w:u w:val="single"/>
        </w:rPr>
        <w:t xml:space="preserve">                                         </w:t>
      </w:r>
    </w:p>
    <w:p w14:paraId="1F002D68">
      <w:pPr>
        <w:snapToGrid w:val="0"/>
        <w:spacing w:line="360" w:lineRule="auto"/>
        <w:ind w:firstLine="484" w:firstLineChars="202"/>
        <w:rPr>
          <w:rFonts w:hint="eastAsia" w:cs="宋体"/>
          <w:sz w:val="24"/>
        </w:rPr>
      </w:pPr>
      <w:r>
        <w:rPr>
          <w:rFonts w:hint="eastAsia" w:cs="宋体"/>
          <w:sz w:val="24"/>
        </w:rPr>
        <w:t>手机：</w:t>
      </w:r>
      <w:r>
        <w:rPr>
          <w:rFonts w:hint="eastAsia" w:cs="宋体"/>
          <w:sz w:val="24"/>
          <w:u w:val="single"/>
        </w:rPr>
        <w:t xml:space="preserve">                  </w:t>
      </w:r>
      <w:r>
        <w:rPr>
          <w:rFonts w:hint="eastAsia" w:cs="宋体"/>
          <w:sz w:val="24"/>
        </w:rPr>
        <w:t>传真：</w:t>
      </w:r>
      <w:r>
        <w:rPr>
          <w:rFonts w:hint="eastAsia" w:cs="宋体"/>
          <w:sz w:val="24"/>
          <w:u w:val="single"/>
        </w:rPr>
        <w:t xml:space="preserve">                       </w:t>
      </w:r>
    </w:p>
    <w:p w14:paraId="67282419">
      <w:pPr>
        <w:snapToGrid w:val="0"/>
        <w:spacing w:line="360" w:lineRule="auto"/>
        <w:rPr>
          <w:rFonts w:hint="eastAsia" w:cs="宋体"/>
          <w:sz w:val="24"/>
        </w:rPr>
      </w:pPr>
      <w:r>
        <w:rPr>
          <w:rFonts w:hint="eastAsia" w:cs="宋体"/>
          <w:sz w:val="24"/>
        </w:rPr>
        <w:t> </w:t>
      </w:r>
    </w:p>
    <w:p w14:paraId="38070C4E">
      <w:pPr>
        <w:snapToGrid w:val="0"/>
        <w:spacing w:line="360" w:lineRule="auto"/>
        <w:rPr>
          <w:rFonts w:hint="eastAsia" w:cs="宋体"/>
          <w:sz w:val="24"/>
        </w:rPr>
      </w:pPr>
    </w:p>
    <w:p w14:paraId="65387649">
      <w:pPr>
        <w:snapToGrid w:val="0"/>
        <w:spacing w:line="360" w:lineRule="auto"/>
        <w:rPr>
          <w:rFonts w:hint="eastAsia" w:cs="宋体"/>
          <w:sz w:val="24"/>
        </w:rPr>
      </w:pPr>
      <w:r>
        <w:rPr>
          <w:rFonts w:hint="eastAsia" w:cs="宋体"/>
          <w:sz w:val="24"/>
        </w:rPr>
        <w:t>单位名称（公章）                   法定代表人（签字或盖章）</w:t>
      </w:r>
    </w:p>
    <w:p w14:paraId="49AC7040">
      <w:pPr>
        <w:snapToGrid w:val="0"/>
        <w:spacing w:line="360" w:lineRule="auto"/>
        <w:ind w:firstLine="1200" w:firstLineChars="500"/>
        <w:rPr>
          <w:rFonts w:hint="eastAsia" w:cs="宋体"/>
          <w:sz w:val="24"/>
        </w:rPr>
      </w:pPr>
      <w:r>
        <w:rPr>
          <w:rFonts w:hint="eastAsia" w:cs="宋体"/>
          <w:sz w:val="24"/>
        </w:rPr>
        <w:t xml:space="preserve">年   月   日                      年   月    日  </w:t>
      </w:r>
    </w:p>
    <w:p w14:paraId="0E77AA26">
      <w:pPr>
        <w:snapToGrid w:val="0"/>
        <w:spacing w:line="360" w:lineRule="auto"/>
        <w:rPr>
          <w:rFonts w:hint="eastAsia" w:cs="宋体"/>
          <w:sz w:val="24"/>
        </w:rPr>
      </w:pPr>
    </w:p>
    <w:p w14:paraId="79ABBE40">
      <w:pPr>
        <w:snapToGrid w:val="0"/>
        <w:spacing w:line="360" w:lineRule="auto"/>
        <w:rPr>
          <w:rFonts w:hint="eastAsia" w:cs="宋体"/>
          <w:sz w:val="24"/>
        </w:rPr>
      </w:pPr>
      <w:r>
        <w:rPr>
          <w:rFonts w:hint="eastAsia" w:cs="宋体"/>
          <w:sz w:val="24"/>
        </w:rPr>
        <w:t>法定代表人身份证复印件</w:t>
      </w:r>
    </w:p>
    <w:p w14:paraId="09D9F075">
      <w:pPr>
        <w:snapToGrid w:val="0"/>
        <w:spacing w:line="360" w:lineRule="auto"/>
        <w:rPr>
          <w:rFonts w:hint="eastAsia" w:cs="宋体"/>
          <w:sz w:val="24"/>
        </w:rPr>
      </w:pPr>
    </w:p>
    <w:p w14:paraId="066139AB">
      <w:pPr>
        <w:snapToGrid w:val="0"/>
        <w:spacing w:line="360" w:lineRule="auto"/>
        <w:ind w:firstLine="2280" w:firstLineChars="950"/>
        <w:rPr>
          <w:sz w:val="24"/>
        </w:rPr>
      </w:pPr>
      <w:r>
        <w:rPr>
          <w:rFonts w:hint="eastAsia" w:cs="宋体"/>
          <w:sz w:val="24"/>
        </w:rPr>
        <w:t>（粘贴此处）</w:t>
      </w:r>
    </w:p>
    <w:p w14:paraId="4C0791CF">
      <w:pPr>
        <w:snapToGrid w:val="0"/>
        <w:spacing w:line="360" w:lineRule="auto"/>
        <w:ind w:firstLine="2280" w:firstLineChars="950"/>
        <w:rPr>
          <w:sz w:val="24"/>
        </w:rPr>
      </w:pPr>
    </w:p>
    <w:p w14:paraId="5730AEED">
      <w:pPr>
        <w:snapToGrid w:val="0"/>
        <w:spacing w:line="360" w:lineRule="auto"/>
        <w:ind w:firstLine="2280" w:firstLineChars="950"/>
        <w:rPr>
          <w:sz w:val="24"/>
        </w:rPr>
      </w:pPr>
    </w:p>
    <w:p w14:paraId="11281042">
      <w:pPr>
        <w:pStyle w:val="5"/>
        <w:jc w:val="center"/>
        <w:rPr>
          <w:b w:val="0"/>
          <w:bCs w:val="0"/>
          <w:sz w:val="30"/>
          <w:szCs w:val="30"/>
        </w:rPr>
      </w:pPr>
      <w:r>
        <w:rPr>
          <w:b w:val="0"/>
          <w:bCs w:val="0"/>
          <w:sz w:val="32"/>
        </w:rPr>
        <w:br w:type="page"/>
      </w:r>
      <w:r>
        <w:rPr>
          <w:rFonts w:hint="eastAsia"/>
        </w:rPr>
        <w:t>二、授权委托书</w:t>
      </w:r>
    </w:p>
    <w:p w14:paraId="17208427">
      <w:pPr>
        <w:snapToGrid w:val="0"/>
        <w:spacing w:line="360" w:lineRule="auto"/>
        <w:jc w:val="center"/>
        <w:rPr>
          <w:rFonts w:hint="eastAsia" w:cs="宋体"/>
          <w:sz w:val="24"/>
          <w:u w:val="single"/>
        </w:rPr>
      </w:pPr>
      <w:r>
        <w:rPr>
          <w:rFonts w:hint="eastAsia" w:cs="宋体"/>
          <w:sz w:val="24"/>
          <w:u w:val="single"/>
        </w:rPr>
        <w:t>（被授权人参加投标时，须出示此证明）</w:t>
      </w:r>
    </w:p>
    <w:p w14:paraId="2FDD128F">
      <w:pPr>
        <w:snapToGrid w:val="0"/>
        <w:spacing w:line="360" w:lineRule="auto"/>
        <w:rPr>
          <w:rFonts w:hint="eastAsia" w:cs="宋体"/>
          <w:sz w:val="24"/>
        </w:rPr>
      </w:pPr>
      <w:r>
        <w:rPr>
          <w:rFonts w:hint="eastAsia" w:cs="宋体"/>
          <w:sz w:val="24"/>
          <w:u w:val="single"/>
        </w:rPr>
        <w:t xml:space="preserve">  南通新通安投资开发有限公司 </w:t>
      </w:r>
      <w:r>
        <w:rPr>
          <w:rFonts w:hint="eastAsia" w:cs="宋体"/>
          <w:sz w:val="24"/>
        </w:rPr>
        <w:t>：</w:t>
      </w:r>
    </w:p>
    <w:p w14:paraId="7A72761C">
      <w:pPr>
        <w:snapToGrid w:val="0"/>
        <w:spacing w:line="360" w:lineRule="auto"/>
        <w:ind w:left="1" w:firstLine="480" w:firstLineChars="200"/>
        <w:rPr>
          <w:rFonts w:hint="eastAsia" w:cs="宋体"/>
          <w:sz w:val="24"/>
        </w:rPr>
      </w:pPr>
      <w:r>
        <w:rPr>
          <w:rFonts w:hint="eastAsia" w:cs="宋体"/>
          <w:sz w:val="24"/>
        </w:rPr>
        <w:t>兹授权</w:t>
      </w:r>
      <w:r>
        <w:rPr>
          <w:rFonts w:hint="eastAsia" w:cs="宋体"/>
          <w:sz w:val="24"/>
          <w:u w:val="single"/>
        </w:rPr>
        <w:t xml:space="preserve">               （</w:t>
      </w:r>
      <w:r>
        <w:rPr>
          <w:rFonts w:hint="eastAsia" w:cs="宋体"/>
          <w:sz w:val="24"/>
        </w:rPr>
        <w:t>被授权人的姓名）代表我公司参加</w:t>
      </w:r>
      <w:r>
        <w:rPr>
          <w:rFonts w:hint="eastAsia"/>
          <w:sz w:val="24"/>
          <w:u w:val="single"/>
          <w:lang w:eastAsia="zh-CN"/>
        </w:rPr>
        <w:t>南通新通安投资开发有限公司A1及B2车型采购项目（标段一）（第二次）</w:t>
      </w:r>
      <w:r>
        <w:rPr>
          <w:rFonts w:hint="eastAsia" w:cs="宋体"/>
          <w:sz w:val="24"/>
        </w:rPr>
        <w:t>（招标项目名称）项目的投标活动，全权处理一切与该项目投标有关的事务。其在办理上述事宜过程中所签署的所有文件我公司均予以承认。</w:t>
      </w:r>
    </w:p>
    <w:p w14:paraId="7BCB504F">
      <w:pPr>
        <w:snapToGrid w:val="0"/>
        <w:spacing w:line="360" w:lineRule="auto"/>
        <w:ind w:left="1" w:firstLine="480" w:firstLineChars="200"/>
        <w:rPr>
          <w:rFonts w:hint="eastAsia" w:cs="宋体"/>
          <w:sz w:val="24"/>
        </w:rPr>
      </w:pPr>
      <w:r>
        <w:rPr>
          <w:rFonts w:hint="eastAsia" w:cs="宋体"/>
          <w:sz w:val="24"/>
        </w:rPr>
        <w:t>被授权人无转委托权。特此委托。</w:t>
      </w:r>
    </w:p>
    <w:p w14:paraId="77422D08">
      <w:pPr>
        <w:snapToGrid w:val="0"/>
        <w:spacing w:line="360" w:lineRule="auto"/>
        <w:rPr>
          <w:rFonts w:hint="eastAsia" w:cs="宋体"/>
          <w:sz w:val="24"/>
        </w:rPr>
      </w:pPr>
    </w:p>
    <w:p w14:paraId="57CD8361">
      <w:pPr>
        <w:snapToGrid w:val="0"/>
        <w:spacing w:line="360" w:lineRule="auto"/>
        <w:rPr>
          <w:rFonts w:hint="eastAsia" w:cs="宋体"/>
          <w:sz w:val="24"/>
        </w:rPr>
      </w:pPr>
      <w:r>
        <w:rPr>
          <w:rFonts w:hint="eastAsia" w:cs="宋体"/>
          <w:sz w:val="24"/>
        </w:rPr>
        <w:t>附：被授权人情况：</w:t>
      </w:r>
    </w:p>
    <w:p w14:paraId="778DE688">
      <w:pPr>
        <w:snapToGrid w:val="0"/>
        <w:spacing w:line="360" w:lineRule="auto"/>
        <w:rPr>
          <w:rFonts w:hint="eastAsia" w:cs="宋体"/>
          <w:sz w:val="24"/>
          <w:u w:val="single"/>
        </w:rPr>
      </w:pPr>
      <w:r>
        <w:rPr>
          <w:rFonts w:hint="eastAsia" w:cs="宋体"/>
          <w:sz w:val="24"/>
        </w:rPr>
        <w:t>姓名：</w:t>
      </w:r>
      <w:r>
        <w:rPr>
          <w:rFonts w:hint="eastAsia" w:cs="宋体"/>
          <w:sz w:val="24"/>
          <w:u w:val="single"/>
        </w:rPr>
        <w:t xml:space="preserve">         </w:t>
      </w:r>
      <w:r>
        <w:rPr>
          <w:rFonts w:hint="eastAsia" w:cs="宋体"/>
          <w:sz w:val="24"/>
        </w:rPr>
        <w:t>性别：</w:t>
      </w:r>
      <w:r>
        <w:rPr>
          <w:rFonts w:hint="eastAsia" w:cs="宋体"/>
          <w:sz w:val="24"/>
          <w:u w:val="single"/>
        </w:rPr>
        <w:t xml:space="preserve">    </w:t>
      </w:r>
      <w:r>
        <w:rPr>
          <w:rFonts w:hint="eastAsia" w:cs="宋体"/>
          <w:sz w:val="24"/>
        </w:rPr>
        <w:t>年龄：</w:t>
      </w:r>
      <w:r>
        <w:rPr>
          <w:rFonts w:hint="eastAsia" w:cs="宋体"/>
          <w:sz w:val="24"/>
          <w:u w:val="single"/>
        </w:rPr>
        <w:t xml:space="preserve">      </w:t>
      </w:r>
      <w:r>
        <w:rPr>
          <w:rFonts w:hint="eastAsia" w:cs="宋体"/>
          <w:sz w:val="24"/>
        </w:rPr>
        <w:t>职务：</w:t>
      </w:r>
      <w:r>
        <w:rPr>
          <w:rFonts w:hint="eastAsia" w:cs="宋体"/>
          <w:sz w:val="24"/>
          <w:u w:val="single"/>
        </w:rPr>
        <w:t xml:space="preserve">          </w:t>
      </w:r>
    </w:p>
    <w:p w14:paraId="58C30091">
      <w:pPr>
        <w:snapToGrid w:val="0"/>
        <w:spacing w:line="360" w:lineRule="auto"/>
        <w:rPr>
          <w:rFonts w:hint="eastAsia" w:cs="宋体"/>
          <w:sz w:val="24"/>
        </w:rPr>
      </w:pPr>
      <w:r>
        <w:rPr>
          <w:rFonts w:hint="eastAsia" w:cs="宋体"/>
          <w:sz w:val="24"/>
        </w:rPr>
        <w:t>身份证号码：</w:t>
      </w:r>
      <w:r>
        <w:rPr>
          <w:rFonts w:hint="eastAsia" w:cs="宋体"/>
          <w:sz w:val="24"/>
          <w:u w:val="single"/>
        </w:rPr>
        <w:t xml:space="preserve">                                         </w:t>
      </w:r>
    </w:p>
    <w:p w14:paraId="6AFFD675">
      <w:pPr>
        <w:snapToGrid w:val="0"/>
        <w:spacing w:line="360" w:lineRule="auto"/>
        <w:rPr>
          <w:rFonts w:hint="eastAsia" w:cs="宋体"/>
          <w:sz w:val="24"/>
        </w:rPr>
      </w:pPr>
      <w:r>
        <w:rPr>
          <w:rFonts w:hint="eastAsia" w:cs="宋体"/>
          <w:sz w:val="24"/>
        </w:rPr>
        <w:t>手机：</w:t>
      </w:r>
      <w:r>
        <w:rPr>
          <w:rFonts w:hint="eastAsia" w:cs="宋体"/>
          <w:sz w:val="24"/>
          <w:u w:val="single"/>
        </w:rPr>
        <w:t xml:space="preserve">                 </w:t>
      </w:r>
      <w:r>
        <w:rPr>
          <w:rFonts w:hint="eastAsia" w:cs="宋体"/>
          <w:sz w:val="24"/>
        </w:rPr>
        <w:t>传真：</w:t>
      </w:r>
      <w:r>
        <w:rPr>
          <w:rFonts w:hint="eastAsia" w:cs="宋体"/>
          <w:sz w:val="24"/>
          <w:u w:val="single"/>
        </w:rPr>
        <w:t xml:space="preserve">                        </w:t>
      </w:r>
    </w:p>
    <w:p w14:paraId="7C439A00">
      <w:pPr>
        <w:snapToGrid w:val="0"/>
        <w:spacing w:line="360" w:lineRule="auto"/>
        <w:rPr>
          <w:rFonts w:hint="eastAsia" w:cs="宋体"/>
          <w:sz w:val="24"/>
        </w:rPr>
      </w:pPr>
      <w:r>
        <w:rPr>
          <w:rFonts w:hint="eastAsia" w:cs="宋体"/>
          <w:sz w:val="24"/>
        </w:rPr>
        <w:t> </w:t>
      </w:r>
    </w:p>
    <w:p w14:paraId="0EF098A7">
      <w:pPr>
        <w:snapToGrid w:val="0"/>
        <w:spacing w:line="360" w:lineRule="auto"/>
        <w:rPr>
          <w:rFonts w:hint="eastAsia" w:cs="宋体"/>
          <w:sz w:val="24"/>
        </w:rPr>
      </w:pPr>
      <w:r>
        <w:rPr>
          <w:rFonts w:hint="eastAsia" w:cs="宋体"/>
          <w:sz w:val="24"/>
        </w:rPr>
        <w:t>单位名称（公章）                      法定代表人（签字或盖章）</w:t>
      </w:r>
    </w:p>
    <w:p w14:paraId="41548E75">
      <w:pPr>
        <w:snapToGrid w:val="0"/>
        <w:spacing w:line="360" w:lineRule="auto"/>
        <w:ind w:firstLine="1200" w:firstLineChars="500"/>
        <w:rPr>
          <w:rFonts w:hint="eastAsia" w:cs="宋体"/>
          <w:sz w:val="24"/>
        </w:rPr>
      </w:pPr>
      <w:r>
        <w:rPr>
          <w:rFonts w:hint="eastAsia" w:cs="宋体"/>
          <w:sz w:val="24"/>
        </w:rPr>
        <w:t>年   月   日                        年   月   日</w:t>
      </w:r>
    </w:p>
    <w:p w14:paraId="05935349">
      <w:pPr>
        <w:snapToGrid w:val="0"/>
        <w:spacing w:line="360" w:lineRule="auto"/>
        <w:rPr>
          <w:rFonts w:hint="eastAsia" w:cs="宋体"/>
          <w:sz w:val="24"/>
        </w:rPr>
      </w:pPr>
    </w:p>
    <w:p w14:paraId="6E7FD948">
      <w:pPr>
        <w:adjustRightInd w:val="0"/>
        <w:snapToGrid w:val="0"/>
        <w:spacing w:line="360" w:lineRule="auto"/>
        <w:jc w:val="center"/>
        <w:rPr>
          <w:rFonts w:hint="eastAsia" w:cs="宋体"/>
          <w:sz w:val="24"/>
        </w:rPr>
      </w:pPr>
      <w:r>
        <w:rPr>
          <w:rFonts w:hint="eastAsia" w:cs="宋体"/>
          <w:sz w:val="24"/>
        </w:rPr>
        <w:t>法定代表人身份证复印件</w:t>
      </w:r>
    </w:p>
    <w:p w14:paraId="31CC4587">
      <w:pPr>
        <w:adjustRightInd w:val="0"/>
        <w:snapToGrid w:val="0"/>
        <w:spacing w:line="360" w:lineRule="auto"/>
        <w:jc w:val="center"/>
        <w:rPr>
          <w:rFonts w:hint="eastAsia" w:cs="宋体"/>
          <w:sz w:val="24"/>
        </w:rPr>
      </w:pPr>
    </w:p>
    <w:p w14:paraId="0429B6DB">
      <w:pPr>
        <w:adjustRightInd w:val="0"/>
        <w:snapToGrid w:val="0"/>
        <w:spacing w:line="360" w:lineRule="auto"/>
        <w:jc w:val="center"/>
        <w:rPr>
          <w:rFonts w:hint="eastAsia" w:cs="宋体"/>
          <w:sz w:val="24"/>
        </w:rPr>
      </w:pPr>
      <w:r>
        <w:rPr>
          <w:rFonts w:hint="eastAsia" w:cs="宋体"/>
          <w:sz w:val="24"/>
        </w:rPr>
        <w:t>（粘贴此处）</w:t>
      </w:r>
    </w:p>
    <w:p w14:paraId="17F6D924">
      <w:pPr>
        <w:adjustRightInd w:val="0"/>
        <w:snapToGrid w:val="0"/>
        <w:spacing w:line="360" w:lineRule="auto"/>
        <w:jc w:val="center"/>
        <w:rPr>
          <w:rFonts w:hint="eastAsia" w:cs="宋体"/>
          <w:sz w:val="24"/>
        </w:rPr>
      </w:pPr>
    </w:p>
    <w:p w14:paraId="5DF9FF73">
      <w:pPr>
        <w:adjustRightInd w:val="0"/>
        <w:snapToGrid w:val="0"/>
        <w:spacing w:line="360" w:lineRule="auto"/>
        <w:jc w:val="center"/>
        <w:rPr>
          <w:rFonts w:hint="eastAsia" w:cs="宋体"/>
          <w:sz w:val="24"/>
        </w:rPr>
      </w:pPr>
    </w:p>
    <w:p w14:paraId="15A4FF68">
      <w:pPr>
        <w:adjustRightInd w:val="0"/>
        <w:snapToGrid w:val="0"/>
        <w:spacing w:line="360" w:lineRule="auto"/>
        <w:jc w:val="center"/>
        <w:rPr>
          <w:rFonts w:hint="eastAsia" w:cs="宋体"/>
          <w:sz w:val="24"/>
        </w:rPr>
      </w:pPr>
      <w:r>
        <w:rPr>
          <w:rFonts w:hint="eastAsia" w:cs="宋体"/>
          <w:sz w:val="24"/>
        </w:rPr>
        <w:t>被授权人身份证复印件</w:t>
      </w:r>
    </w:p>
    <w:p w14:paraId="3ECB152F">
      <w:pPr>
        <w:adjustRightInd w:val="0"/>
        <w:snapToGrid w:val="0"/>
        <w:spacing w:line="360" w:lineRule="auto"/>
        <w:jc w:val="center"/>
        <w:rPr>
          <w:rFonts w:hint="eastAsia" w:cs="宋体"/>
          <w:sz w:val="24"/>
        </w:rPr>
      </w:pPr>
    </w:p>
    <w:p w14:paraId="560766FA">
      <w:pPr>
        <w:adjustRightInd w:val="0"/>
        <w:snapToGrid w:val="0"/>
        <w:spacing w:line="360" w:lineRule="auto"/>
        <w:jc w:val="center"/>
        <w:rPr>
          <w:rFonts w:hint="eastAsia" w:cs="宋体"/>
          <w:sz w:val="24"/>
        </w:rPr>
      </w:pPr>
      <w:r>
        <w:rPr>
          <w:rFonts w:hint="eastAsia" w:cs="宋体"/>
          <w:sz w:val="24"/>
        </w:rPr>
        <w:t>（粘贴此处）</w:t>
      </w:r>
    </w:p>
    <w:p w14:paraId="7DC8D972">
      <w:pPr>
        <w:snapToGrid w:val="0"/>
        <w:spacing w:line="360" w:lineRule="auto"/>
        <w:ind w:firstLine="480" w:firstLineChars="200"/>
        <w:jc w:val="center"/>
        <w:rPr>
          <w:sz w:val="24"/>
        </w:rPr>
      </w:pPr>
    </w:p>
    <w:p w14:paraId="01F161AB">
      <w:pPr>
        <w:snapToGrid w:val="0"/>
        <w:spacing w:line="360" w:lineRule="auto"/>
        <w:ind w:firstLine="480" w:firstLineChars="200"/>
        <w:jc w:val="center"/>
        <w:rPr>
          <w:sz w:val="24"/>
        </w:rPr>
      </w:pPr>
    </w:p>
    <w:p w14:paraId="77CD1283">
      <w:pPr>
        <w:pStyle w:val="5"/>
        <w:jc w:val="center"/>
        <w:rPr>
          <w:rFonts w:hint="eastAsia"/>
        </w:rPr>
      </w:pPr>
      <w:r>
        <w:rPr>
          <w:rFonts w:cs="Mongolian Baiti"/>
        </w:rPr>
        <w:br w:type="page"/>
      </w:r>
      <w:r>
        <w:rPr>
          <w:rFonts w:hint="eastAsia"/>
        </w:rPr>
        <w:t>三、诚信承诺书</w:t>
      </w:r>
    </w:p>
    <w:p w14:paraId="60B27558">
      <w:pPr>
        <w:pStyle w:val="4"/>
        <w:overflowPunct w:val="0"/>
        <w:spacing w:line="360" w:lineRule="auto"/>
        <w:ind w:firstLine="0"/>
        <w:rPr>
          <w:rFonts w:hint="eastAsia" w:cs="宋体"/>
          <w:szCs w:val="24"/>
        </w:rPr>
      </w:pPr>
      <w:r>
        <w:rPr>
          <w:rFonts w:hint="eastAsia" w:cs="宋体"/>
          <w:kern w:val="2"/>
          <w:sz w:val="24"/>
          <w:szCs w:val="24"/>
          <w:u w:val="single"/>
        </w:rPr>
        <w:t xml:space="preserve">南通新通安投资开发有限公司 </w:t>
      </w:r>
      <w:r>
        <w:rPr>
          <w:rFonts w:hint="eastAsia" w:cs="宋体"/>
          <w:szCs w:val="24"/>
        </w:rPr>
        <w:t>：</w:t>
      </w:r>
    </w:p>
    <w:p w14:paraId="19EFC72E">
      <w:pPr>
        <w:spacing w:line="360" w:lineRule="auto"/>
        <w:ind w:firstLine="480" w:firstLineChars="200"/>
        <w:rPr>
          <w:rFonts w:cs="宋体"/>
          <w:sz w:val="24"/>
        </w:rPr>
      </w:pPr>
      <w:r>
        <w:rPr>
          <w:rFonts w:hint="eastAsia" w:cs="宋体"/>
          <w:sz w:val="24"/>
        </w:rPr>
        <w:t>我单位在参加贵单位组织的</w:t>
      </w:r>
      <w:r>
        <w:rPr>
          <w:rFonts w:hint="eastAsia" w:cs="宋体"/>
          <w:sz w:val="24"/>
          <w:u w:val="single"/>
        </w:rPr>
        <w:t xml:space="preserve">             项目</w:t>
      </w:r>
      <w:r>
        <w:rPr>
          <w:rFonts w:hint="eastAsia" w:cs="宋体"/>
          <w:sz w:val="24"/>
        </w:rPr>
        <w:t>的招投标活动中，郑重承诺如下：</w:t>
      </w:r>
    </w:p>
    <w:p w14:paraId="00F9E951">
      <w:pPr>
        <w:spacing w:line="360" w:lineRule="auto"/>
        <w:ind w:firstLine="480"/>
        <w:textAlignment w:val="baseline"/>
        <w:rPr>
          <w:rFonts w:cs="宋体"/>
          <w:sz w:val="24"/>
        </w:rPr>
      </w:pPr>
      <w:r>
        <w:rPr>
          <w:rFonts w:hint="eastAsia" w:cs="宋体"/>
          <w:sz w:val="24"/>
        </w:rPr>
        <w:t>1.我方申报的所有资料都是真实、准确、完整的；</w:t>
      </w:r>
    </w:p>
    <w:p w14:paraId="4AB4CEF7">
      <w:pPr>
        <w:spacing w:line="360" w:lineRule="auto"/>
        <w:ind w:firstLine="480"/>
        <w:textAlignment w:val="baseline"/>
        <w:rPr>
          <w:rFonts w:cs="宋体"/>
          <w:sz w:val="24"/>
        </w:rPr>
      </w:pPr>
      <w:r>
        <w:rPr>
          <w:rFonts w:hint="eastAsia" w:cs="宋体"/>
          <w:sz w:val="24"/>
        </w:rPr>
        <w:t>2.我方无资质挂靠或参与串标、围标及抬标情形；</w:t>
      </w:r>
    </w:p>
    <w:p w14:paraId="3F01A8E3">
      <w:pPr>
        <w:spacing w:line="360" w:lineRule="auto"/>
        <w:ind w:firstLine="480"/>
        <w:textAlignment w:val="baseline"/>
        <w:rPr>
          <w:rFonts w:cs="宋体"/>
          <w:sz w:val="24"/>
        </w:rPr>
      </w:pPr>
      <w:r>
        <w:rPr>
          <w:rFonts w:hint="eastAsia" w:cs="宋体"/>
          <w:sz w:val="24"/>
        </w:rPr>
        <w:t>3.我方没有被各级行政主管部门做出停止市场行为的处罚；</w:t>
      </w:r>
    </w:p>
    <w:p w14:paraId="346D0A6A">
      <w:pPr>
        <w:spacing w:line="360" w:lineRule="auto"/>
        <w:ind w:firstLine="480"/>
        <w:textAlignment w:val="baseline"/>
        <w:rPr>
          <w:rFonts w:cs="宋体"/>
          <w:sz w:val="24"/>
        </w:rPr>
      </w:pPr>
      <w:r>
        <w:rPr>
          <w:rFonts w:hint="eastAsia" w:cs="宋体"/>
          <w:sz w:val="24"/>
        </w:rPr>
        <w:t>4.我单位未被“信用中国”网站（www.creditchina.gov.cn）列入失信被执行人、重大税收违法案件当事人名单、采购严重失信行为记录名单。</w:t>
      </w:r>
    </w:p>
    <w:p w14:paraId="7903782C">
      <w:pPr>
        <w:spacing w:line="360" w:lineRule="auto"/>
        <w:ind w:firstLine="480"/>
        <w:textAlignment w:val="baseline"/>
        <w:rPr>
          <w:rFonts w:cs="宋体"/>
          <w:sz w:val="24"/>
        </w:rPr>
      </w:pPr>
      <w:r>
        <w:rPr>
          <w:rFonts w:hint="eastAsia" w:cs="宋体"/>
          <w:sz w:val="24"/>
        </w:rPr>
        <w:t>5.若我方中标，将严格按照规定及时与招标单位签订合同；</w:t>
      </w:r>
    </w:p>
    <w:p w14:paraId="6401A7E7">
      <w:pPr>
        <w:spacing w:line="360" w:lineRule="auto"/>
        <w:ind w:firstLine="480"/>
        <w:textAlignment w:val="baseline"/>
        <w:rPr>
          <w:rFonts w:cs="宋体"/>
          <w:sz w:val="24"/>
        </w:rPr>
      </w:pPr>
      <w:r>
        <w:rPr>
          <w:rFonts w:hint="eastAsia" w:cs="宋体"/>
          <w:sz w:val="24"/>
        </w:rPr>
        <w:t>6.若我方中标，将严格按照投标文件所承诺的报价、质量、供货期等内容组织实施；</w:t>
      </w:r>
    </w:p>
    <w:p w14:paraId="094A1A79">
      <w:pPr>
        <w:spacing w:line="360" w:lineRule="auto"/>
        <w:ind w:firstLine="480"/>
        <w:textAlignment w:val="baseline"/>
        <w:rPr>
          <w:rFonts w:cs="宋体"/>
          <w:sz w:val="24"/>
        </w:rPr>
      </w:pPr>
      <w:r>
        <w:rPr>
          <w:rFonts w:hint="eastAsia" w:cs="宋体"/>
          <w:sz w:val="24"/>
        </w:rPr>
        <w:t>若我方违反上述承诺，隐瞒、提供虚假资料或不按投标文件要求组织实施，被贵方发现或被他人举报查实，无条件接受有关行政监督部门做出的取消投标资格、中标资格、没收投标保证金、不良行为记录、限制其一定期限内投标资格等处罚。对造成的损失，任何法律和经济责任完全由我方负责。</w:t>
      </w:r>
    </w:p>
    <w:p w14:paraId="3810F4B8">
      <w:pPr>
        <w:spacing w:line="360" w:lineRule="auto"/>
        <w:ind w:firstLine="560" w:firstLineChars="200"/>
        <w:rPr>
          <w:rFonts w:cs="宋体"/>
          <w:bCs/>
          <w:sz w:val="28"/>
          <w:szCs w:val="28"/>
        </w:rPr>
      </w:pPr>
    </w:p>
    <w:p w14:paraId="1C7AC90B">
      <w:pPr>
        <w:spacing w:line="360" w:lineRule="auto"/>
        <w:ind w:firstLine="480" w:firstLineChars="200"/>
        <w:jc w:val="right"/>
        <w:rPr>
          <w:rFonts w:cs="宋体"/>
          <w:sz w:val="24"/>
        </w:rPr>
      </w:pPr>
    </w:p>
    <w:p w14:paraId="4DC42FC8">
      <w:pPr>
        <w:spacing w:line="360" w:lineRule="auto"/>
        <w:ind w:firstLine="480" w:firstLineChars="200"/>
        <w:jc w:val="right"/>
        <w:rPr>
          <w:rFonts w:cs="宋体"/>
          <w:sz w:val="24"/>
        </w:rPr>
      </w:pPr>
      <w:r>
        <w:rPr>
          <w:rFonts w:hint="eastAsia" w:cs="宋体"/>
          <w:sz w:val="24"/>
        </w:rPr>
        <w:t>投标供应商：</w:t>
      </w:r>
      <w:r>
        <w:rPr>
          <w:rFonts w:hint="eastAsia" w:cs="宋体"/>
          <w:sz w:val="24"/>
          <w:u w:val="single"/>
        </w:rPr>
        <w:t xml:space="preserve">  </w:t>
      </w:r>
      <w:r>
        <w:rPr>
          <w:rFonts w:cs="宋体"/>
          <w:sz w:val="24"/>
          <w:u w:val="single"/>
        </w:rPr>
        <w:t xml:space="preserve">       </w:t>
      </w:r>
      <w:r>
        <w:rPr>
          <w:rFonts w:hint="eastAsia" w:cs="宋体"/>
          <w:sz w:val="24"/>
          <w:u w:val="single"/>
        </w:rPr>
        <w:t xml:space="preserve">         </w:t>
      </w:r>
      <w:r>
        <w:rPr>
          <w:rFonts w:hint="eastAsia" w:cs="宋体"/>
          <w:sz w:val="24"/>
        </w:rPr>
        <w:t>（加盖公章）</w:t>
      </w:r>
    </w:p>
    <w:p w14:paraId="13D0D415">
      <w:pPr>
        <w:spacing w:line="360" w:lineRule="auto"/>
        <w:ind w:firstLine="480" w:firstLineChars="200"/>
        <w:jc w:val="right"/>
        <w:rPr>
          <w:rFonts w:cs="宋体"/>
          <w:sz w:val="24"/>
        </w:rPr>
      </w:pPr>
      <w:r>
        <w:rPr>
          <w:rFonts w:hint="eastAsia" w:cs="宋体"/>
          <w:sz w:val="24"/>
        </w:rPr>
        <w:t>法定代表人或被授权人：</w:t>
      </w:r>
      <w:r>
        <w:rPr>
          <w:rFonts w:hint="eastAsia" w:cs="宋体"/>
          <w:sz w:val="24"/>
          <w:u w:val="single"/>
        </w:rPr>
        <w:t xml:space="preserve">          </w:t>
      </w:r>
      <w:r>
        <w:rPr>
          <w:rFonts w:hint="eastAsia" w:cs="宋体"/>
          <w:sz w:val="24"/>
        </w:rPr>
        <w:t>（签字或盖章）</w:t>
      </w:r>
    </w:p>
    <w:p w14:paraId="2DF87DBE">
      <w:pPr>
        <w:spacing w:line="360" w:lineRule="auto"/>
        <w:ind w:firstLine="1320" w:firstLineChars="550"/>
        <w:jc w:val="right"/>
        <w:rPr>
          <w:rFonts w:cs="宋体"/>
          <w:sz w:val="24"/>
        </w:rPr>
      </w:pPr>
      <w:r>
        <w:rPr>
          <w:rFonts w:hint="eastAsia" w:cs="宋体"/>
          <w:sz w:val="24"/>
        </w:rPr>
        <w:t>年      月     日</w:t>
      </w:r>
    </w:p>
    <w:p w14:paraId="3FE80A9D">
      <w:pPr>
        <w:spacing w:line="360" w:lineRule="auto"/>
        <w:ind w:firstLine="1320" w:firstLineChars="550"/>
        <w:jc w:val="right"/>
        <w:rPr>
          <w:rFonts w:hint="eastAsia" w:ascii="宋体" w:cs="宋体"/>
          <w:sz w:val="24"/>
        </w:rPr>
      </w:pPr>
    </w:p>
    <w:p w14:paraId="1F06E16E">
      <w:pPr>
        <w:spacing w:line="360" w:lineRule="auto"/>
        <w:jc w:val="center"/>
        <w:rPr>
          <w:szCs w:val="28"/>
        </w:rPr>
      </w:pPr>
      <w:r>
        <w:rPr>
          <w:b/>
          <w:bCs/>
          <w:sz w:val="24"/>
        </w:rPr>
        <w:br w:type="page"/>
      </w:r>
    </w:p>
    <w:p w14:paraId="03652AE4">
      <w:pPr>
        <w:pStyle w:val="5"/>
        <w:jc w:val="center"/>
      </w:pPr>
      <w:r>
        <w:rPr>
          <w:rFonts w:hint="eastAsia"/>
          <w:szCs w:val="28"/>
        </w:rPr>
        <w:t>第二部分 技术标部分主要内容</w:t>
      </w:r>
    </w:p>
    <w:p w14:paraId="25219882">
      <w:pPr>
        <w:spacing w:line="360" w:lineRule="auto"/>
        <w:ind w:firstLine="480" w:firstLineChars="200"/>
        <w:rPr>
          <w:rFonts w:hint="eastAsia" w:ascii="宋体" w:cs="宋体"/>
          <w:sz w:val="24"/>
        </w:rPr>
      </w:pPr>
      <w:r>
        <w:rPr>
          <w:rFonts w:hint="eastAsia" w:ascii="宋体" w:cs="宋体"/>
          <w:sz w:val="24"/>
        </w:rPr>
        <w:t>1.供应商一般情况表</w:t>
      </w:r>
    </w:p>
    <w:p w14:paraId="13B6283B">
      <w:pPr>
        <w:spacing w:line="360" w:lineRule="auto"/>
        <w:ind w:firstLine="480" w:firstLineChars="200"/>
        <w:rPr>
          <w:rFonts w:hint="eastAsia" w:ascii="宋体" w:cs="宋体"/>
          <w:sz w:val="24"/>
        </w:rPr>
      </w:pPr>
      <w:r>
        <w:rPr>
          <w:rFonts w:hint="eastAsia" w:ascii="宋体" w:cs="宋体"/>
          <w:sz w:val="24"/>
        </w:rPr>
        <w:t>2.技术部分正负偏离表</w:t>
      </w:r>
    </w:p>
    <w:p w14:paraId="1F07847A">
      <w:pPr>
        <w:spacing w:line="360" w:lineRule="auto"/>
        <w:ind w:firstLine="480" w:firstLineChars="200"/>
        <w:rPr>
          <w:rFonts w:hint="eastAsia"/>
        </w:rPr>
      </w:pPr>
      <w:r>
        <w:rPr>
          <w:rFonts w:hint="eastAsia" w:ascii="宋体" w:cs="宋体"/>
          <w:sz w:val="24"/>
        </w:rPr>
        <w:t>3.商务部分正负偏离表</w:t>
      </w:r>
    </w:p>
    <w:p w14:paraId="3B94DFF3">
      <w:pPr>
        <w:spacing w:line="360" w:lineRule="auto"/>
        <w:ind w:firstLine="480" w:firstLineChars="200"/>
        <w:rPr>
          <w:rFonts w:hint="eastAsia" w:ascii="宋体" w:cs="宋体"/>
          <w:sz w:val="24"/>
        </w:rPr>
      </w:pPr>
      <w:r>
        <w:rPr>
          <w:rFonts w:hint="eastAsia" w:ascii="宋体" w:cs="宋体"/>
          <w:sz w:val="24"/>
        </w:rPr>
        <w:t>4.</w:t>
      </w:r>
      <w:r>
        <w:rPr>
          <w:rFonts w:hint="eastAsia" w:ascii="宋体" w:hAnsi="宋体" w:cs="宋体"/>
          <w:b/>
          <w:sz w:val="24"/>
          <w:u w:val="single"/>
        </w:rPr>
        <w:t>本项目标记“★”的内容为实质性响应技术参数，供应商的投标文件中技术参数不接受负偏离，否则视为无效响应。</w:t>
      </w:r>
    </w:p>
    <w:p w14:paraId="4A9E4681">
      <w:pPr>
        <w:spacing w:line="360" w:lineRule="auto"/>
        <w:ind w:firstLine="480" w:firstLineChars="200"/>
        <w:rPr>
          <w:rFonts w:hint="eastAsia" w:ascii="宋体" w:cs="宋体"/>
          <w:sz w:val="24"/>
        </w:rPr>
      </w:pPr>
      <w:r>
        <w:rPr>
          <w:rFonts w:hint="eastAsia" w:ascii="宋体" w:cs="宋体"/>
          <w:sz w:val="24"/>
        </w:rPr>
        <w:t>5.按第四部分技术标的评分要点提供相关材料 </w:t>
      </w:r>
    </w:p>
    <w:p w14:paraId="6D1B0BD4">
      <w:pPr>
        <w:spacing w:line="360" w:lineRule="auto"/>
        <w:ind w:firstLine="480" w:firstLineChars="200"/>
        <w:rPr>
          <w:rFonts w:hint="eastAsia" w:ascii="宋体" w:cs="宋体"/>
          <w:sz w:val="24"/>
        </w:rPr>
      </w:pPr>
      <w:r>
        <w:rPr>
          <w:rFonts w:hint="eastAsia" w:ascii="宋体" w:cs="宋体"/>
          <w:sz w:val="24"/>
        </w:rPr>
        <w:t>6.投标供应商认为需要提供的其他材料。</w:t>
      </w:r>
    </w:p>
    <w:p w14:paraId="5FAA5488">
      <w:pPr>
        <w:adjustRightInd w:val="0"/>
        <w:snapToGrid w:val="0"/>
        <w:spacing w:line="360" w:lineRule="auto"/>
        <w:ind w:firstLine="482" w:firstLineChars="200"/>
        <w:jc w:val="left"/>
        <w:rPr>
          <w:rFonts w:hint="eastAsia" w:cs="宋体"/>
          <w:sz w:val="24"/>
        </w:rPr>
      </w:pPr>
      <w:r>
        <w:rPr>
          <w:rFonts w:hint="eastAsia" w:cs="宋体"/>
          <w:b/>
          <w:bCs/>
          <w:sz w:val="24"/>
        </w:rPr>
        <w:t>注：以上材料如为复印件均需加盖投标供应商公章。</w:t>
      </w:r>
    </w:p>
    <w:p w14:paraId="2F27561C">
      <w:pPr>
        <w:spacing w:line="360" w:lineRule="auto"/>
        <w:jc w:val="center"/>
        <w:rPr>
          <w:rFonts w:hint="eastAsia" w:cs="Mongolian Baiti"/>
          <w:b/>
          <w:bCs/>
          <w:kern w:val="0"/>
          <w:sz w:val="28"/>
          <w:szCs w:val="32"/>
        </w:rPr>
      </w:pPr>
      <w:r>
        <w:rPr>
          <w:rFonts w:hint="eastAsia" w:cs="宋体"/>
          <w:b/>
          <w:bCs/>
          <w:sz w:val="24"/>
        </w:rPr>
        <w:br w:type="page"/>
      </w:r>
      <w:r>
        <w:rPr>
          <w:rFonts w:hint="eastAsia" w:cs="Mongolian Baiti"/>
          <w:b/>
          <w:bCs/>
          <w:kern w:val="0"/>
          <w:sz w:val="28"/>
          <w:szCs w:val="32"/>
        </w:rPr>
        <w:t>一、供应商一般情况表</w:t>
      </w:r>
    </w:p>
    <w:tbl>
      <w:tblPr>
        <w:tblStyle w:val="40"/>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542794FB">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6501B0F2">
            <w:pPr>
              <w:spacing w:line="360" w:lineRule="auto"/>
              <w:jc w:val="center"/>
              <w:rPr>
                <w:rFonts w:hint="eastAsia" w:ascii="宋体" w:cs="宋体"/>
                <w:sz w:val="24"/>
              </w:rPr>
            </w:pPr>
            <w:r>
              <w:rPr>
                <w:rFonts w:hint="eastAsia" w:ascii="宋体" w:cs="宋体"/>
                <w:sz w:val="24"/>
              </w:rPr>
              <w:t>企业名称</w:t>
            </w:r>
          </w:p>
        </w:tc>
        <w:tc>
          <w:tcPr>
            <w:tcW w:w="7229" w:type="dxa"/>
            <w:gridSpan w:val="8"/>
            <w:tcBorders>
              <w:top w:val="single" w:color="auto" w:sz="4" w:space="0"/>
              <w:left w:val="nil"/>
              <w:bottom w:val="single" w:color="auto" w:sz="4" w:space="0"/>
              <w:right w:val="single" w:color="auto" w:sz="4" w:space="0"/>
            </w:tcBorders>
          </w:tcPr>
          <w:p w14:paraId="477CF1E8">
            <w:pPr>
              <w:spacing w:line="360" w:lineRule="auto"/>
              <w:rPr>
                <w:rFonts w:hint="eastAsia" w:ascii="宋体" w:cs="宋体"/>
                <w:sz w:val="24"/>
              </w:rPr>
            </w:pPr>
          </w:p>
        </w:tc>
      </w:tr>
      <w:tr w14:paraId="6D59BA36">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E4CA2A8">
            <w:pPr>
              <w:spacing w:line="360" w:lineRule="auto"/>
              <w:jc w:val="center"/>
              <w:rPr>
                <w:rFonts w:hint="eastAsia" w:ascii="宋体" w:cs="宋体"/>
                <w:sz w:val="24"/>
              </w:rPr>
            </w:pPr>
            <w:r>
              <w:rPr>
                <w:rFonts w:hint="eastAsia" w:ascii="宋体" w:cs="宋体"/>
                <w:sz w:val="24"/>
              </w:rPr>
              <w:t>总部地址</w:t>
            </w:r>
          </w:p>
        </w:tc>
        <w:tc>
          <w:tcPr>
            <w:tcW w:w="7229" w:type="dxa"/>
            <w:gridSpan w:val="8"/>
            <w:tcBorders>
              <w:top w:val="single" w:color="auto" w:sz="4" w:space="0"/>
              <w:left w:val="nil"/>
              <w:bottom w:val="single" w:color="auto" w:sz="4" w:space="0"/>
              <w:right w:val="single" w:color="auto" w:sz="4" w:space="0"/>
            </w:tcBorders>
          </w:tcPr>
          <w:p w14:paraId="076E8FB8">
            <w:pPr>
              <w:spacing w:line="360" w:lineRule="auto"/>
              <w:rPr>
                <w:rFonts w:hint="eastAsia" w:ascii="宋体" w:cs="宋体"/>
                <w:sz w:val="24"/>
              </w:rPr>
            </w:pPr>
          </w:p>
        </w:tc>
      </w:tr>
      <w:tr w14:paraId="7366D764">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51CA0E06">
            <w:pPr>
              <w:spacing w:line="360" w:lineRule="auto"/>
              <w:jc w:val="center"/>
              <w:rPr>
                <w:rFonts w:hint="eastAsia" w:ascii="宋体" w:cs="宋体"/>
                <w:sz w:val="24"/>
              </w:rPr>
            </w:pPr>
            <w:r>
              <w:rPr>
                <w:rFonts w:hint="eastAsia" w:ascii="宋体" w:cs="宋体"/>
                <w:sz w:val="24"/>
              </w:rPr>
              <w:t>分支机构</w:t>
            </w:r>
          </w:p>
        </w:tc>
        <w:tc>
          <w:tcPr>
            <w:tcW w:w="7229" w:type="dxa"/>
            <w:gridSpan w:val="8"/>
            <w:tcBorders>
              <w:top w:val="single" w:color="auto" w:sz="4" w:space="0"/>
              <w:left w:val="nil"/>
              <w:bottom w:val="single" w:color="auto" w:sz="4" w:space="0"/>
              <w:right w:val="single" w:color="auto" w:sz="4" w:space="0"/>
            </w:tcBorders>
          </w:tcPr>
          <w:p w14:paraId="4C2F6893">
            <w:pPr>
              <w:spacing w:line="360" w:lineRule="auto"/>
              <w:rPr>
                <w:rFonts w:hint="eastAsia" w:ascii="宋体" w:cs="宋体"/>
                <w:sz w:val="24"/>
              </w:rPr>
            </w:pPr>
          </w:p>
        </w:tc>
      </w:tr>
      <w:tr w14:paraId="4CAB4E2F">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59FE9087">
            <w:pPr>
              <w:spacing w:line="360" w:lineRule="auto"/>
              <w:jc w:val="center"/>
              <w:rPr>
                <w:rFonts w:hint="eastAsia" w:ascii="宋体" w:cs="宋体"/>
                <w:sz w:val="24"/>
              </w:rPr>
            </w:pPr>
            <w:r>
              <w:rPr>
                <w:rFonts w:hint="eastAsia" w:ascii="宋体" w:cs="宋体"/>
                <w:sz w:val="24"/>
              </w:rPr>
              <w:t>当地代表处地址</w:t>
            </w:r>
          </w:p>
        </w:tc>
        <w:tc>
          <w:tcPr>
            <w:tcW w:w="7229" w:type="dxa"/>
            <w:gridSpan w:val="8"/>
            <w:tcBorders>
              <w:top w:val="single" w:color="auto" w:sz="4" w:space="0"/>
              <w:left w:val="nil"/>
              <w:bottom w:val="single" w:color="auto" w:sz="4" w:space="0"/>
              <w:right w:val="single" w:color="auto" w:sz="4" w:space="0"/>
            </w:tcBorders>
          </w:tcPr>
          <w:p w14:paraId="1E56C153">
            <w:pPr>
              <w:spacing w:line="360" w:lineRule="auto"/>
              <w:rPr>
                <w:rFonts w:hint="eastAsia" w:ascii="宋体" w:cs="宋体"/>
                <w:sz w:val="24"/>
              </w:rPr>
            </w:pPr>
          </w:p>
        </w:tc>
      </w:tr>
      <w:tr w14:paraId="33A99646">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1B322ADB">
            <w:pPr>
              <w:spacing w:line="360" w:lineRule="auto"/>
              <w:jc w:val="center"/>
              <w:rPr>
                <w:rFonts w:hint="eastAsia" w:ascii="宋体" w:cs="宋体"/>
                <w:sz w:val="24"/>
              </w:rPr>
            </w:pPr>
            <w:r>
              <w:rPr>
                <w:rFonts w:hint="eastAsia" w:ascii="宋体" w:cs="宋体"/>
                <w:sz w:val="24"/>
              </w:rPr>
              <w:t>电话</w:t>
            </w:r>
          </w:p>
        </w:tc>
        <w:tc>
          <w:tcPr>
            <w:tcW w:w="2408" w:type="dxa"/>
            <w:gridSpan w:val="3"/>
            <w:tcBorders>
              <w:top w:val="single" w:color="auto" w:sz="4" w:space="0"/>
              <w:left w:val="nil"/>
              <w:bottom w:val="single" w:color="auto" w:sz="4" w:space="0"/>
              <w:right w:val="single" w:color="auto" w:sz="4" w:space="0"/>
            </w:tcBorders>
          </w:tcPr>
          <w:p w14:paraId="7A358261">
            <w:pPr>
              <w:spacing w:line="360" w:lineRule="auto"/>
              <w:rPr>
                <w:rFonts w:hint="eastAsia" w:ascii="宋体" w:cs="宋体"/>
                <w:sz w:val="24"/>
              </w:rPr>
            </w:pPr>
          </w:p>
        </w:tc>
        <w:tc>
          <w:tcPr>
            <w:tcW w:w="1875" w:type="dxa"/>
            <w:gridSpan w:val="2"/>
            <w:tcBorders>
              <w:top w:val="single" w:color="auto" w:sz="4" w:space="0"/>
              <w:left w:val="nil"/>
              <w:bottom w:val="single" w:color="auto" w:sz="4" w:space="0"/>
              <w:right w:val="single" w:color="auto" w:sz="4" w:space="0"/>
            </w:tcBorders>
          </w:tcPr>
          <w:p w14:paraId="188D9E39">
            <w:pPr>
              <w:spacing w:line="360" w:lineRule="auto"/>
              <w:jc w:val="center"/>
              <w:rPr>
                <w:rFonts w:hint="eastAsia" w:ascii="宋体" w:cs="宋体"/>
                <w:sz w:val="24"/>
              </w:rPr>
            </w:pPr>
            <w:r>
              <w:rPr>
                <w:rFonts w:hint="eastAsia" w:ascii="宋体" w:cs="宋体"/>
                <w:sz w:val="24"/>
              </w:rPr>
              <w:t>联系人</w:t>
            </w:r>
          </w:p>
        </w:tc>
        <w:tc>
          <w:tcPr>
            <w:tcW w:w="2946" w:type="dxa"/>
            <w:gridSpan w:val="3"/>
            <w:tcBorders>
              <w:top w:val="single" w:color="auto" w:sz="4" w:space="0"/>
              <w:left w:val="nil"/>
              <w:bottom w:val="single" w:color="auto" w:sz="4" w:space="0"/>
              <w:right w:val="single" w:color="auto" w:sz="4" w:space="0"/>
            </w:tcBorders>
          </w:tcPr>
          <w:p w14:paraId="0D98B0B4">
            <w:pPr>
              <w:spacing w:line="360" w:lineRule="auto"/>
              <w:rPr>
                <w:rFonts w:hint="eastAsia" w:ascii="宋体" w:cs="宋体"/>
                <w:sz w:val="24"/>
              </w:rPr>
            </w:pPr>
          </w:p>
        </w:tc>
      </w:tr>
      <w:tr w14:paraId="354C8A29">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596952A2">
            <w:pPr>
              <w:spacing w:line="360" w:lineRule="auto"/>
              <w:jc w:val="center"/>
              <w:rPr>
                <w:rFonts w:hint="eastAsia" w:ascii="宋体" w:cs="宋体"/>
                <w:sz w:val="24"/>
              </w:rPr>
            </w:pPr>
            <w:r>
              <w:rPr>
                <w:rFonts w:hint="eastAsia" w:ascii="宋体" w:cs="宋体"/>
                <w:sz w:val="24"/>
              </w:rPr>
              <w:t>传真</w:t>
            </w:r>
          </w:p>
        </w:tc>
        <w:tc>
          <w:tcPr>
            <w:tcW w:w="2408" w:type="dxa"/>
            <w:gridSpan w:val="3"/>
            <w:tcBorders>
              <w:top w:val="single" w:color="auto" w:sz="4" w:space="0"/>
              <w:left w:val="nil"/>
              <w:bottom w:val="single" w:color="auto" w:sz="4" w:space="0"/>
              <w:right w:val="single" w:color="auto" w:sz="4" w:space="0"/>
            </w:tcBorders>
          </w:tcPr>
          <w:p w14:paraId="2ABD4285">
            <w:pPr>
              <w:spacing w:line="360" w:lineRule="auto"/>
              <w:rPr>
                <w:rFonts w:hint="eastAsia" w:ascii="宋体" w:cs="宋体"/>
                <w:sz w:val="24"/>
              </w:rPr>
            </w:pPr>
          </w:p>
        </w:tc>
        <w:tc>
          <w:tcPr>
            <w:tcW w:w="1875" w:type="dxa"/>
            <w:gridSpan w:val="2"/>
            <w:tcBorders>
              <w:top w:val="single" w:color="auto" w:sz="4" w:space="0"/>
              <w:left w:val="nil"/>
              <w:bottom w:val="single" w:color="auto" w:sz="4" w:space="0"/>
              <w:right w:val="single" w:color="auto" w:sz="4" w:space="0"/>
            </w:tcBorders>
          </w:tcPr>
          <w:p w14:paraId="2903DD21">
            <w:pPr>
              <w:spacing w:line="360" w:lineRule="auto"/>
              <w:jc w:val="center"/>
              <w:rPr>
                <w:rFonts w:hint="eastAsia" w:ascii="宋体" w:cs="宋体"/>
                <w:sz w:val="24"/>
              </w:rPr>
            </w:pPr>
            <w:r>
              <w:rPr>
                <w:rFonts w:hint="eastAsia" w:ascii="宋体" w:cs="宋体"/>
                <w:sz w:val="24"/>
              </w:rPr>
              <w:t>电子邮件</w:t>
            </w:r>
          </w:p>
        </w:tc>
        <w:tc>
          <w:tcPr>
            <w:tcW w:w="2946" w:type="dxa"/>
            <w:gridSpan w:val="3"/>
            <w:tcBorders>
              <w:top w:val="single" w:color="auto" w:sz="4" w:space="0"/>
              <w:left w:val="nil"/>
              <w:bottom w:val="single" w:color="auto" w:sz="4" w:space="0"/>
              <w:right w:val="single" w:color="auto" w:sz="4" w:space="0"/>
            </w:tcBorders>
          </w:tcPr>
          <w:p w14:paraId="3A8C3623">
            <w:pPr>
              <w:spacing w:line="360" w:lineRule="auto"/>
              <w:rPr>
                <w:rFonts w:hint="eastAsia" w:ascii="宋体" w:cs="宋体"/>
                <w:sz w:val="24"/>
              </w:rPr>
            </w:pPr>
          </w:p>
        </w:tc>
      </w:tr>
      <w:tr w14:paraId="115555BF">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18D34640">
            <w:pPr>
              <w:spacing w:line="360" w:lineRule="auto"/>
              <w:jc w:val="center"/>
              <w:rPr>
                <w:rFonts w:hint="eastAsia" w:ascii="宋体" w:cs="宋体"/>
                <w:sz w:val="24"/>
              </w:rPr>
            </w:pPr>
            <w:r>
              <w:rPr>
                <w:rFonts w:hint="eastAsia" w:ascii="宋体" w:cs="宋体"/>
                <w:sz w:val="24"/>
              </w:rPr>
              <w:t>注册地</w:t>
            </w:r>
          </w:p>
        </w:tc>
        <w:tc>
          <w:tcPr>
            <w:tcW w:w="2408" w:type="dxa"/>
            <w:gridSpan w:val="3"/>
            <w:tcBorders>
              <w:top w:val="single" w:color="auto" w:sz="4" w:space="0"/>
              <w:left w:val="nil"/>
              <w:bottom w:val="single" w:color="auto" w:sz="4" w:space="0"/>
              <w:right w:val="single" w:color="auto" w:sz="4" w:space="0"/>
            </w:tcBorders>
          </w:tcPr>
          <w:p w14:paraId="2D4E6292">
            <w:pPr>
              <w:spacing w:line="360" w:lineRule="auto"/>
              <w:rPr>
                <w:rFonts w:hint="eastAsia" w:ascii="宋体" w:cs="宋体"/>
                <w:sz w:val="24"/>
              </w:rPr>
            </w:pPr>
          </w:p>
        </w:tc>
        <w:tc>
          <w:tcPr>
            <w:tcW w:w="1875" w:type="dxa"/>
            <w:gridSpan w:val="2"/>
            <w:tcBorders>
              <w:top w:val="single" w:color="auto" w:sz="4" w:space="0"/>
              <w:left w:val="nil"/>
              <w:bottom w:val="single" w:color="auto" w:sz="4" w:space="0"/>
              <w:right w:val="single" w:color="auto" w:sz="4" w:space="0"/>
            </w:tcBorders>
          </w:tcPr>
          <w:p w14:paraId="1E2365EC">
            <w:pPr>
              <w:spacing w:line="360" w:lineRule="auto"/>
              <w:jc w:val="center"/>
              <w:rPr>
                <w:rFonts w:hint="eastAsia" w:ascii="宋体" w:cs="宋体"/>
                <w:sz w:val="24"/>
              </w:rPr>
            </w:pPr>
            <w:r>
              <w:rPr>
                <w:rFonts w:hint="eastAsia" w:ascii="宋体" w:cs="宋体"/>
                <w:sz w:val="24"/>
              </w:rPr>
              <w:t>注册年份</w:t>
            </w:r>
          </w:p>
        </w:tc>
        <w:tc>
          <w:tcPr>
            <w:tcW w:w="2946" w:type="dxa"/>
            <w:gridSpan w:val="3"/>
            <w:tcBorders>
              <w:top w:val="single" w:color="auto" w:sz="4" w:space="0"/>
              <w:left w:val="nil"/>
              <w:bottom w:val="single" w:color="auto" w:sz="4" w:space="0"/>
              <w:right w:val="single" w:color="auto" w:sz="4" w:space="0"/>
            </w:tcBorders>
          </w:tcPr>
          <w:p w14:paraId="45A45C32">
            <w:pPr>
              <w:spacing w:line="360" w:lineRule="auto"/>
              <w:rPr>
                <w:rFonts w:hint="eastAsia" w:ascii="宋体" w:cs="宋体"/>
                <w:sz w:val="24"/>
              </w:rPr>
            </w:pPr>
          </w:p>
        </w:tc>
      </w:tr>
      <w:tr w14:paraId="19C82D28">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3A963975">
            <w:pPr>
              <w:spacing w:line="360" w:lineRule="auto"/>
              <w:jc w:val="center"/>
              <w:rPr>
                <w:rFonts w:hint="eastAsia" w:ascii="宋体" w:cs="宋体"/>
                <w:sz w:val="24"/>
              </w:rPr>
            </w:pPr>
            <w:r>
              <w:rPr>
                <w:rFonts w:hint="eastAsia" w:ascii="宋体" w:cs="宋体"/>
                <w:sz w:val="24"/>
              </w:rPr>
              <w:t>资质等级</w:t>
            </w:r>
          </w:p>
        </w:tc>
        <w:tc>
          <w:tcPr>
            <w:tcW w:w="7229" w:type="dxa"/>
            <w:gridSpan w:val="8"/>
            <w:tcBorders>
              <w:top w:val="single" w:color="auto" w:sz="4" w:space="0"/>
              <w:left w:val="nil"/>
              <w:bottom w:val="single" w:color="auto" w:sz="4" w:space="0"/>
              <w:right w:val="single" w:color="auto" w:sz="4" w:space="0"/>
            </w:tcBorders>
          </w:tcPr>
          <w:p w14:paraId="44740D11">
            <w:pPr>
              <w:spacing w:line="360" w:lineRule="auto"/>
              <w:rPr>
                <w:rFonts w:hint="eastAsia" w:ascii="宋体" w:cs="宋体"/>
                <w:sz w:val="24"/>
              </w:rPr>
            </w:pPr>
            <w:r>
              <w:rPr>
                <w:rFonts w:hint="eastAsia" w:ascii="宋体" w:cs="宋体"/>
                <w:sz w:val="24"/>
              </w:rPr>
              <w:t>公司具备的相关资质等级及相应的证书号</w:t>
            </w:r>
          </w:p>
          <w:p w14:paraId="2AC4EC4B">
            <w:pPr>
              <w:spacing w:line="360" w:lineRule="auto"/>
              <w:rPr>
                <w:rFonts w:hint="eastAsia" w:ascii="宋体" w:cs="宋体"/>
                <w:sz w:val="24"/>
              </w:rPr>
            </w:pPr>
            <w:r>
              <w:rPr>
                <w:rFonts w:hint="eastAsia" w:ascii="宋体" w:cs="宋体"/>
                <w:sz w:val="24"/>
              </w:rPr>
              <w:t>（请附有关证书的复印件）</w:t>
            </w:r>
          </w:p>
        </w:tc>
      </w:tr>
      <w:tr w14:paraId="4CFD7B7F">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14FC4811">
            <w:pPr>
              <w:spacing w:line="360" w:lineRule="auto"/>
              <w:jc w:val="center"/>
              <w:rPr>
                <w:rFonts w:hint="eastAsia" w:ascii="宋体" w:cs="宋体"/>
                <w:sz w:val="24"/>
              </w:rPr>
            </w:pPr>
            <w:r>
              <w:rPr>
                <w:rFonts w:hint="eastAsia" w:ascii="宋体" w:cs="宋体"/>
                <w:sz w:val="24"/>
              </w:rPr>
              <w:t>质量管理体系</w:t>
            </w:r>
          </w:p>
        </w:tc>
        <w:tc>
          <w:tcPr>
            <w:tcW w:w="7229" w:type="dxa"/>
            <w:gridSpan w:val="8"/>
            <w:tcBorders>
              <w:top w:val="single" w:color="auto" w:sz="4" w:space="0"/>
              <w:left w:val="nil"/>
              <w:bottom w:val="single" w:color="auto" w:sz="4" w:space="0"/>
              <w:right w:val="single" w:color="auto" w:sz="4" w:space="0"/>
            </w:tcBorders>
          </w:tcPr>
          <w:p w14:paraId="296BBD99">
            <w:pPr>
              <w:spacing w:line="360" w:lineRule="auto"/>
              <w:rPr>
                <w:rFonts w:hint="eastAsia" w:ascii="宋体" w:cs="宋体"/>
                <w:sz w:val="24"/>
              </w:rPr>
            </w:pPr>
            <w:r>
              <w:rPr>
                <w:rFonts w:hint="eastAsia" w:ascii="宋体" w:cs="宋体"/>
                <w:sz w:val="24"/>
              </w:rPr>
              <w:t>公司</w:t>
            </w:r>
            <w:r>
              <w:rPr>
                <w:rFonts w:hint="eastAsia" w:ascii="宋体" w:cs="宋体"/>
                <w:sz w:val="24"/>
                <w:u w:val="single"/>
              </w:rPr>
              <w:t xml:space="preserve">   （是否通过，何种）   </w:t>
            </w:r>
            <w:r>
              <w:rPr>
                <w:rFonts w:hint="eastAsia" w:ascii="宋体" w:cs="宋体"/>
                <w:sz w:val="24"/>
              </w:rPr>
              <w:t>质量保证体系认证（如通过请附相关在有效期内的证书复印件）</w:t>
            </w:r>
          </w:p>
        </w:tc>
      </w:tr>
      <w:tr w14:paraId="58C389AE">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B7270BA">
            <w:pPr>
              <w:spacing w:line="360" w:lineRule="auto"/>
              <w:jc w:val="center"/>
              <w:rPr>
                <w:rFonts w:hint="eastAsia" w:ascii="宋体" w:cs="宋体"/>
                <w:sz w:val="24"/>
              </w:rPr>
            </w:pPr>
            <w:r>
              <w:rPr>
                <w:rFonts w:hint="eastAsia" w:ascii="宋体" w:cs="宋体"/>
                <w:sz w:val="24"/>
              </w:rPr>
              <w:t>项目负责人</w:t>
            </w:r>
          </w:p>
        </w:tc>
        <w:tc>
          <w:tcPr>
            <w:tcW w:w="1559" w:type="dxa"/>
            <w:gridSpan w:val="2"/>
            <w:tcBorders>
              <w:top w:val="single" w:color="auto" w:sz="4" w:space="0"/>
              <w:left w:val="nil"/>
              <w:bottom w:val="single" w:color="auto" w:sz="4" w:space="0"/>
              <w:right w:val="single" w:color="auto" w:sz="4" w:space="0"/>
            </w:tcBorders>
          </w:tcPr>
          <w:p w14:paraId="6F085769">
            <w:pPr>
              <w:spacing w:line="360" w:lineRule="auto"/>
              <w:jc w:val="center"/>
              <w:rPr>
                <w:rFonts w:hint="eastAsia" w:ascii="宋体" w:cs="宋体"/>
                <w:sz w:val="24"/>
              </w:rPr>
            </w:pPr>
          </w:p>
        </w:tc>
        <w:tc>
          <w:tcPr>
            <w:tcW w:w="1417" w:type="dxa"/>
            <w:gridSpan w:val="2"/>
            <w:tcBorders>
              <w:top w:val="single" w:color="auto" w:sz="4" w:space="0"/>
              <w:left w:val="nil"/>
              <w:bottom w:val="single" w:color="auto" w:sz="4" w:space="0"/>
              <w:right w:val="single" w:color="auto" w:sz="4" w:space="0"/>
            </w:tcBorders>
          </w:tcPr>
          <w:p w14:paraId="3ECD4934">
            <w:pPr>
              <w:spacing w:line="360" w:lineRule="auto"/>
              <w:jc w:val="center"/>
              <w:rPr>
                <w:rFonts w:hint="eastAsia" w:ascii="宋体" w:cs="宋体"/>
                <w:sz w:val="24"/>
              </w:rPr>
            </w:pPr>
            <w:r>
              <w:rPr>
                <w:rFonts w:hint="eastAsia" w:ascii="宋体" w:cs="宋体"/>
                <w:sz w:val="24"/>
              </w:rPr>
              <w:t>年龄</w:t>
            </w:r>
          </w:p>
        </w:tc>
        <w:tc>
          <w:tcPr>
            <w:tcW w:w="1466" w:type="dxa"/>
            <w:gridSpan w:val="2"/>
            <w:tcBorders>
              <w:top w:val="single" w:color="auto" w:sz="4" w:space="0"/>
              <w:left w:val="nil"/>
              <w:bottom w:val="single" w:color="auto" w:sz="4" w:space="0"/>
              <w:right w:val="single" w:color="auto" w:sz="4" w:space="0"/>
            </w:tcBorders>
          </w:tcPr>
          <w:p w14:paraId="0218A104">
            <w:pPr>
              <w:spacing w:line="360" w:lineRule="auto"/>
              <w:jc w:val="center"/>
              <w:rPr>
                <w:rFonts w:hint="eastAsia" w:ascii="宋体" w:cs="宋体"/>
                <w:sz w:val="24"/>
              </w:rPr>
            </w:pPr>
          </w:p>
        </w:tc>
        <w:tc>
          <w:tcPr>
            <w:tcW w:w="1320" w:type="dxa"/>
            <w:tcBorders>
              <w:top w:val="single" w:color="auto" w:sz="4" w:space="0"/>
              <w:left w:val="nil"/>
              <w:bottom w:val="single" w:color="auto" w:sz="4" w:space="0"/>
              <w:right w:val="single" w:color="auto" w:sz="4" w:space="0"/>
            </w:tcBorders>
          </w:tcPr>
          <w:p w14:paraId="2146287A">
            <w:pPr>
              <w:spacing w:line="360" w:lineRule="auto"/>
              <w:jc w:val="center"/>
              <w:rPr>
                <w:rFonts w:hint="eastAsia" w:ascii="宋体" w:cs="宋体"/>
                <w:sz w:val="24"/>
              </w:rPr>
            </w:pPr>
            <w:r>
              <w:rPr>
                <w:rFonts w:hint="eastAsia" w:ascii="宋体" w:cs="宋体"/>
                <w:sz w:val="24"/>
              </w:rPr>
              <w:t>性别</w:t>
            </w:r>
          </w:p>
        </w:tc>
        <w:tc>
          <w:tcPr>
            <w:tcW w:w="1467" w:type="dxa"/>
            <w:tcBorders>
              <w:top w:val="single" w:color="auto" w:sz="4" w:space="0"/>
              <w:left w:val="nil"/>
              <w:bottom w:val="single" w:color="auto" w:sz="4" w:space="0"/>
              <w:right w:val="single" w:color="auto" w:sz="4" w:space="0"/>
            </w:tcBorders>
          </w:tcPr>
          <w:p w14:paraId="48F99041">
            <w:pPr>
              <w:spacing w:line="360" w:lineRule="auto"/>
              <w:jc w:val="center"/>
              <w:rPr>
                <w:rFonts w:hint="eastAsia" w:ascii="宋体" w:cs="宋体"/>
                <w:sz w:val="24"/>
              </w:rPr>
            </w:pPr>
          </w:p>
        </w:tc>
      </w:tr>
      <w:tr w14:paraId="50F7BDB7">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1813911A">
            <w:pPr>
              <w:spacing w:line="360" w:lineRule="auto"/>
              <w:jc w:val="center"/>
              <w:rPr>
                <w:rFonts w:hint="eastAsia" w:ascii="宋体" w:cs="宋体"/>
                <w:sz w:val="24"/>
              </w:rPr>
            </w:pPr>
            <w:r>
              <w:rPr>
                <w:rFonts w:hint="eastAsia" w:ascii="宋体" w:cs="宋体"/>
                <w:sz w:val="24"/>
              </w:rPr>
              <w:t>职务职称</w:t>
            </w:r>
          </w:p>
        </w:tc>
        <w:tc>
          <w:tcPr>
            <w:tcW w:w="2976" w:type="dxa"/>
            <w:gridSpan w:val="4"/>
            <w:tcBorders>
              <w:top w:val="single" w:color="auto" w:sz="4" w:space="0"/>
              <w:left w:val="nil"/>
              <w:bottom w:val="single" w:color="auto" w:sz="4" w:space="0"/>
              <w:right w:val="single" w:color="auto" w:sz="4" w:space="0"/>
            </w:tcBorders>
          </w:tcPr>
          <w:p w14:paraId="7AF3086B">
            <w:pPr>
              <w:spacing w:line="360" w:lineRule="auto"/>
              <w:rPr>
                <w:rFonts w:hint="eastAsia" w:ascii="宋体" w:cs="宋体"/>
                <w:sz w:val="24"/>
              </w:rPr>
            </w:pPr>
          </w:p>
        </w:tc>
        <w:tc>
          <w:tcPr>
            <w:tcW w:w="1466" w:type="dxa"/>
            <w:gridSpan w:val="2"/>
            <w:tcBorders>
              <w:top w:val="single" w:color="auto" w:sz="4" w:space="0"/>
              <w:left w:val="nil"/>
              <w:bottom w:val="single" w:color="auto" w:sz="4" w:space="0"/>
              <w:right w:val="single" w:color="auto" w:sz="4" w:space="0"/>
            </w:tcBorders>
          </w:tcPr>
          <w:p w14:paraId="316E6EF6">
            <w:pPr>
              <w:spacing w:line="360" w:lineRule="auto"/>
              <w:rPr>
                <w:rFonts w:hint="eastAsia" w:ascii="宋体" w:cs="宋体"/>
                <w:sz w:val="24"/>
              </w:rPr>
            </w:pPr>
            <w:r>
              <w:rPr>
                <w:rFonts w:hint="eastAsia" w:ascii="宋体" w:cs="宋体"/>
                <w:sz w:val="24"/>
              </w:rPr>
              <w:t>执业资格</w:t>
            </w:r>
          </w:p>
        </w:tc>
        <w:tc>
          <w:tcPr>
            <w:tcW w:w="2787" w:type="dxa"/>
            <w:gridSpan w:val="2"/>
            <w:tcBorders>
              <w:top w:val="single" w:color="auto" w:sz="4" w:space="0"/>
              <w:left w:val="nil"/>
              <w:bottom w:val="single" w:color="auto" w:sz="4" w:space="0"/>
              <w:right w:val="single" w:color="auto" w:sz="4" w:space="0"/>
            </w:tcBorders>
          </w:tcPr>
          <w:p w14:paraId="754A56C4">
            <w:pPr>
              <w:spacing w:line="360" w:lineRule="auto"/>
              <w:rPr>
                <w:rFonts w:hint="eastAsia" w:ascii="宋体" w:cs="宋体"/>
                <w:sz w:val="24"/>
              </w:rPr>
            </w:pPr>
          </w:p>
        </w:tc>
      </w:tr>
      <w:tr w14:paraId="6CC9C153">
        <w:tblPrEx>
          <w:tblCellMar>
            <w:top w:w="0" w:type="dxa"/>
            <w:left w:w="108" w:type="dxa"/>
            <w:bottom w:w="0" w:type="dxa"/>
            <w:right w:w="108" w:type="dxa"/>
          </w:tblCellMar>
        </w:tblPrEx>
        <w:trPr>
          <w:cantSplit/>
          <w:trHeight w:val="2234"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50C35973">
            <w:pPr>
              <w:spacing w:line="360" w:lineRule="auto"/>
              <w:jc w:val="center"/>
              <w:rPr>
                <w:rFonts w:hint="eastAsia" w:ascii="宋体" w:cs="宋体"/>
                <w:sz w:val="24"/>
              </w:rPr>
            </w:pPr>
            <w:r>
              <w:rPr>
                <w:rFonts w:hint="eastAsia" w:ascii="宋体" w:cs="宋体"/>
                <w:sz w:val="24"/>
              </w:rPr>
              <w:t>经营范围</w:t>
            </w:r>
          </w:p>
        </w:tc>
        <w:tc>
          <w:tcPr>
            <w:tcW w:w="7229" w:type="dxa"/>
            <w:gridSpan w:val="8"/>
            <w:tcBorders>
              <w:top w:val="single" w:color="auto" w:sz="4" w:space="0"/>
              <w:left w:val="nil"/>
              <w:bottom w:val="single" w:color="auto" w:sz="4" w:space="0"/>
              <w:right w:val="single" w:color="auto" w:sz="4" w:space="0"/>
            </w:tcBorders>
          </w:tcPr>
          <w:p w14:paraId="29B4E734">
            <w:pPr>
              <w:spacing w:line="360" w:lineRule="auto"/>
              <w:rPr>
                <w:rFonts w:hint="eastAsia" w:ascii="宋体" w:cs="宋体"/>
                <w:sz w:val="24"/>
              </w:rPr>
            </w:pPr>
            <w:r>
              <w:rPr>
                <w:rFonts w:hint="eastAsia" w:ascii="宋体" w:cs="宋体"/>
                <w:sz w:val="24"/>
              </w:rPr>
              <w:t>营业执照载明：</w:t>
            </w:r>
          </w:p>
          <w:p w14:paraId="71ADE8D1">
            <w:pPr>
              <w:spacing w:line="360" w:lineRule="auto"/>
              <w:rPr>
                <w:rFonts w:hint="eastAsia" w:ascii="宋体" w:cs="宋体"/>
                <w:sz w:val="24"/>
                <w:u w:val="single"/>
              </w:rPr>
            </w:pPr>
            <w:r>
              <w:rPr>
                <w:rFonts w:hint="eastAsia" w:ascii="宋体" w:cs="宋体"/>
                <w:sz w:val="24"/>
              </w:rPr>
              <w:t>1.</w:t>
            </w:r>
          </w:p>
          <w:p w14:paraId="02681984">
            <w:pPr>
              <w:spacing w:line="360" w:lineRule="auto"/>
              <w:rPr>
                <w:rFonts w:hint="eastAsia" w:ascii="宋体" w:cs="宋体"/>
                <w:sz w:val="24"/>
                <w:u w:val="single"/>
              </w:rPr>
            </w:pPr>
            <w:r>
              <w:rPr>
                <w:rFonts w:hint="eastAsia" w:ascii="宋体" w:cs="宋体"/>
                <w:sz w:val="24"/>
              </w:rPr>
              <w:t>2.</w:t>
            </w:r>
          </w:p>
          <w:p w14:paraId="7C55D561">
            <w:pPr>
              <w:spacing w:line="360" w:lineRule="auto"/>
              <w:rPr>
                <w:rFonts w:hint="eastAsia" w:ascii="宋体" w:cs="宋体"/>
                <w:sz w:val="24"/>
              </w:rPr>
            </w:pPr>
            <w:r>
              <w:rPr>
                <w:rFonts w:hint="eastAsia" w:ascii="宋体" w:cs="宋体"/>
                <w:sz w:val="24"/>
              </w:rPr>
              <w:t>………………………</w:t>
            </w:r>
          </w:p>
        </w:tc>
      </w:tr>
      <w:tr w14:paraId="76EEA3E0">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1CEAC607">
            <w:pPr>
              <w:spacing w:line="360" w:lineRule="auto"/>
              <w:rPr>
                <w:rFonts w:hint="eastAsia" w:ascii="宋体" w:cs="宋体"/>
                <w:sz w:val="24"/>
              </w:rPr>
            </w:pPr>
            <w:r>
              <w:rPr>
                <w:rFonts w:hint="eastAsia" w:ascii="宋体" w:cs="宋体"/>
                <w:sz w:val="24"/>
              </w:rPr>
              <w:t>从事类似相关项目的经历及年数</w:t>
            </w:r>
          </w:p>
        </w:tc>
        <w:tc>
          <w:tcPr>
            <w:tcW w:w="6521" w:type="dxa"/>
            <w:gridSpan w:val="7"/>
            <w:tcBorders>
              <w:top w:val="single" w:color="auto" w:sz="4" w:space="0"/>
              <w:left w:val="nil"/>
              <w:bottom w:val="single" w:color="auto" w:sz="4" w:space="0"/>
              <w:right w:val="single" w:color="auto" w:sz="4" w:space="0"/>
            </w:tcBorders>
          </w:tcPr>
          <w:p w14:paraId="67CF6356">
            <w:pPr>
              <w:spacing w:line="360" w:lineRule="auto"/>
              <w:rPr>
                <w:rFonts w:hint="eastAsia" w:ascii="宋体" w:cs="宋体"/>
                <w:sz w:val="24"/>
              </w:rPr>
            </w:pPr>
          </w:p>
        </w:tc>
      </w:tr>
      <w:tr w14:paraId="47B2AB35">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008A6120">
            <w:pPr>
              <w:spacing w:line="360" w:lineRule="auto"/>
              <w:rPr>
                <w:rFonts w:hint="eastAsia" w:ascii="宋体" w:cs="宋体"/>
                <w:sz w:val="24"/>
              </w:rPr>
            </w:pPr>
            <w:r>
              <w:rPr>
                <w:rFonts w:hint="eastAsia" w:ascii="宋体" w:cs="宋体"/>
                <w:sz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tcPr>
          <w:p w14:paraId="640F71EF">
            <w:pPr>
              <w:spacing w:line="360" w:lineRule="auto"/>
              <w:rPr>
                <w:rFonts w:hint="eastAsia" w:ascii="宋体" w:cs="宋体"/>
                <w:sz w:val="24"/>
              </w:rPr>
            </w:pPr>
          </w:p>
        </w:tc>
      </w:tr>
    </w:tbl>
    <w:p w14:paraId="1D616CEE">
      <w:pPr>
        <w:adjustRightInd w:val="0"/>
        <w:snapToGrid w:val="0"/>
        <w:spacing w:line="360" w:lineRule="auto"/>
        <w:ind w:firstLine="482" w:firstLineChars="200"/>
        <w:jc w:val="left"/>
        <w:rPr>
          <w:rFonts w:hint="eastAsia" w:cs="宋体"/>
          <w:b/>
          <w:bCs/>
          <w:sz w:val="24"/>
        </w:rPr>
      </w:pPr>
    </w:p>
    <w:p w14:paraId="63A5BD7E">
      <w:pPr>
        <w:snapToGrid w:val="0"/>
        <w:spacing w:line="360" w:lineRule="auto"/>
        <w:contextualSpacing/>
        <w:jc w:val="center"/>
        <w:rPr>
          <w:rFonts w:hint="eastAsia" w:cs="Mongolian Baiti"/>
          <w:b/>
          <w:bCs/>
          <w:kern w:val="0"/>
          <w:sz w:val="28"/>
          <w:szCs w:val="32"/>
        </w:rPr>
      </w:pPr>
      <w:r>
        <w:br w:type="page"/>
      </w:r>
      <w:r>
        <w:rPr>
          <w:rFonts w:hint="eastAsia" w:cs="Mongolian Baiti"/>
          <w:b/>
          <w:bCs/>
          <w:kern w:val="0"/>
          <w:sz w:val="28"/>
          <w:szCs w:val="32"/>
        </w:rPr>
        <w:t>二、技术部分正负偏离表</w:t>
      </w:r>
    </w:p>
    <w:p w14:paraId="3839F57B">
      <w:pPr>
        <w:spacing w:line="360" w:lineRule="auto"/>
        <w:ind w:firstLine="480" w:firstLineChars="200"/>
        <w:jc w:val="center"/>
        <w:rPr>
          <w:rFonts w:hint="eastAsia" w:ascii="宋体" w:cs="宋体"/>
          <w:sz w:val="24"/>
        </w:rPr>
      </w:pPr>
      <w:r>
        <w:rPr>
          <w:rFonts w:hint="eastAsia" w:ascii="宋体" w:cs="宋体"/>
          <w:sz w:val="24"/>
        </w:rPr>
        <w:t>（由投标人据实填写，表格不够自行添加）</w:t>
      </w:r>
    </w:p>
    <w:tbl>
      <w:tblPr>
        <w:tblStyle w:val="40"/>
        <w:tblW w:w="4907" w:type="pct"/>
        <w:tblInd w:w="12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0"/>
        <w:gridCol w:w="2129"/>
        <w:gridCol w:w="1972"/>
        <w:gridCol w:w="2545"/>
        <w:gridCol w:w="1350"/>
      </w:tblGrid>
      <w:tr w14:paraId="1F0FB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840" w:type="dxa"/>
            <w:tcBorders>
              <w:top w:val="single" w:color="auto" w:sz="12" w:space="0"/>
              <w:left w:val="single" w:color="auto" w:sz="12" w:space="0"/>
              <w:bottom w:val="single" w:color="auto" w:sz="6" w:space="0"/>
              <w:right w:val="single" w:color="auto" w:sz="6" w:space="0"/>
            </w:tcBorders>
            <w:vAlign w:val="center"/>
          </w:tcPr>
          <w:p w14:paraId="08073418">
            <w:pPr>
              <w:spacing w:line="360" w:lineRule="auto"/>
              <w:jc w:val="center"/>
              <w:rPr>
                <w:rFonts w:hint="eastAsia" w:ascii="宋体" w:cs="宋体"/>
                <w:sz w:val="24"/>
              </w:rPr>
            </w:pPr>
            <w:r>
              <w:rPr>
                <w:rFonts w:hint="eastAsia" w:ascii="宋体" w:cs="宋体"/>
                <w:sz w:val="24"/>
              </w:rPr>
              <w:t>序号</w:t>
            </w:r>
          </w:p>
        </w:tc>
        <w:tc>
          <w:tcPr>
            <w:tcW w:w="2129" w:type="dxa"/>
            <w:tcBorders>
              <w:top w:val="single" w:color="auto" w:sz="12" w:space="0"/>
              <w:left w:val="single" w:color="auto" w:sz="6" w:space="0"/>
              <w:bottom w:val="single" w:color="auto" w:sz="6" w:space="0"/>
              <w:right w:val="single" w:color="auto" w:sz="6" w:space="0"/>
            </w:tcBorders>
            <w:vAlign w:val="center"/>
          </w:tcPr>
          <w:p w14:paraId="3E489295">
            <w:pPr>
              <w:spacing w:line="360" w:lineRule="auto"/>
              <w:jc w:val="center"/>
              <w:rPr>
                <w:rFonts w:hint="eastAsia" w:ascii="宋体" w:cs="宋体"/>
                <w:sz w:val="24"/>
              </w:rPr>
            </w:pPr>
            <w:r>
              <w:rPr>
                <w:rFonts w:hint="eastAsia" w:ascii="宋体" w:cs="宋体"/>
                <w:sz w:val="24"/>
              </w:rPr>
              <w:t>货物或服务名称</w:t>
            </w:r>
          </w:p>
        </w:tc>
        <w:tc>
          <w:tcPr>
            <w:tcW w:w="1972" w:type="dxa"/>
            <w:tcBorders>
              <w:top w:val="single" w:color="auto" w:sz="12" w:space="0"/>
              <w:left w:val="single" w:color="auto" w:sz="6" w:space="0"/>
              <w:bottom w:val="single" w:color="auto" w:sz="6" w:space="0"/>
              <w:right w:val="single" w:color="auto" w:sz="6" w:space="0"/>
            </w:tcBorders>
            <w:vAlign w:val="center"/>
          </w:tcPr>
          <w:p w14:paraId="0D063325">
            <w:pPr>
              <w:spacing w:line="360" w:lineRule="auto"/>
              <w:jc w:val="center"/>
              <w:rPr>
                <w:rFonts w:hint="eastAsia" w:ascii="宋体" w:cs="宋体"/>
                <w:sz w:val="24"/>
              </w:rPr>
            </w:pPr>
            <w:r>
              <w:rPr>
                <w:rFonts w:hint="eastAsia" w:ascii="宋体" w:cs="宋体"/>
                <w:sz w:val="24"/>
              </w:rPr>
              <w:t>招标文件要求的技术要求</w:t>
            </w:r>
          </w:p>
        </w:tc>
        <w:tc>
          <w:tcPr>
            <w:tcW w:w="2545" w:type="dxa"/>
            <w:tcBorders>
              <w:top w:val="single" w:color="auto" w:sz="12" w:space="0"/>
              <w:left w:val="single" w:color="auto" w:sz="6" w:space="0"/>
              <w:bottom w:val="single" w:color="auto" w:sz="6" w:space="0"/>
              <w:right w:val="single" w:color="auto" w:sz="6" w:space="0"/>
            </w:tcBorders>
            <w:vAlign w:val="center"/>
          </w:tcPr>
          <w:p w14:paraId="1E2359BD">
            <w:pPr>
              <w:spacing w:line="360" w:lineRule="auto"/>
              <w:jc w:val="center"/>
              <w:rPr>
                <w:rFonts w:hint="eastAsia" w:ascii="宋体" w:cs="宋体"/>
                <w:sz w:val="24"/>
              </w:rPr>
            </w:pPr>
            <w:r>
              <w:rPr>
                <w:rFonts w:hint="eastAsia" w:ascii="宋体" w:cs="宋体"/>
                <w:sz w:val="24"/>
              </w:rPr>
              <w:t>投标文件响应情况</w:t>
            </w:r>
          </w:p>
        </w:tc>
        <w:tc>
          <w:tcPr>
            <w:tcW w:w="1350" w:type="dxa"/>
            <w:tcBorders>
              <w:top w:val="single" w:color="auto" w:sz="12" w:space="0"/>
              <w:left w:val="single" w:color="auto" w:sz="6" w:space="0"/>
              <w:bottom w:val="single" w:color="auto" w:sz="6" w:space="0"/>
              <w:right w:val="single" w:color="auto" w:sz="12" w:space="0"/>
            </w:tcBorders>
          </w:tcPr>
          <w:p w14:paraId="7FA4024E">
            <w:pPr>
              <w:spacing w:line="360" w:lineRule="auto"/>
              <w:jc w:val="center"/>
              <w:rPr>
                <w:rFonts w:hint="eastAsia" w:ascii="宋体" w:cs="宋体"/>
                <w:sz w:val="24"/>
              </w:rPr>
            </w:pPr>
          </w:p>
          <w:p w14:paraId="2FFE57F8">
            <w:pPr>
              <w:spacing w:line="360" w:lineRule="auto"/>
              <w:jc w:val="center"/>
              <w:rPr>
                <w:rFonts w:hint="eastAsia" w:ascii="宋体" w:cs="宋体"/>
                <w:sz w:val="24"/>
              </w:rPr>
            </w:pPr>
            <w:r>
              <w:rPr>
                <w:rFonts w:hint="eastAsia" w:ascii="宋体" w:cs="宋体"/>
                <w:sz w:val="24"/>
              </w:rPr>
              <w:t>偏离说明</w:t>
            </w:r>
          </w:p>
        </w:tc>
      </w:tr>
      <w:tr w14:paraId="04BC8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840" w:type="dxa"/>
            <w:tcBorders>
              <w:top w:val="single" w:color="auto" w:sz="6" w:space="0"/>
              <w:left w:val="single" w:color="auto" w:sz="12" w:space="0"/>
              <w:bottom w:val="single" w:color="auto" w:sz="6" w:space="0"/>
              <w:right w:val="single" w:color="auto" w:sz="6" w:space="0"/>
            </w:tcBorders>
          </w:tcPr>
          <w:p w14:paraId="2514297F">
            <w:pPr>
              <w:spacing w:line="360" w:lineRule="auto"/>
              <w:jc w:val="center"/>
              <w:rPr>
                <w:rFonts w:hint="eastAsia" w:ascii="宋体" w:cs="宋体"/>
                <w:sz w:val="24"/>
              </w:rPr>
            </w:pPr>
            <w:r>
              <w:rPr>
                <w:rFonts w:hint="eastAsia" w:ascii="宋体" w:cs="宋体"/>
                <w:sz w:val="24"/>
              </w:rPr>
              <w:t>1</w:t>
            </w:r>
          </w:p>
        </w:tc>
        <w:tc>
          <w:tcPr>
            <w:tcW w:w="2129" w:type="dxa"/>
            <w:tcBorders>
              <w:top w:val="single" w:color="auto" w:sz="6" w:space="0"/>
              <w:left w:val="single" w:color="auto" w:sz="6" w:space="0"/>
              <w:bottom w:val="single" w:color="auto" w:sz="6" w:space="0"/>
              <w:right w:val="single" w:color="auto" w:sz="6" w:space="0"/>
            </w:tcBorders>
            <w:vAlign w:val="center"/>
          </w:tcPr>
          <w:p w14:paraId="37AD169E">
            <w:pPr>
              <w:spacing w:line="360" w:lineRule="auto"/>
              <w:jc w:val="left"/>
              <w:rPr>
                <w:rFonts w:hint="eastAsia" w:ascii="宋体" w:cs="宋体"/>
                <w:sz w:val="24"/>
              </w:rPr>
            </w:pPr>
          </w:p>
        </w:tc>
        <w:tc>
          <w:tcPr>
            <w:tcW w:w="1972" w:type="dxa"/>
            <w:tcBorders>
              <w:top w:val="single" w:color="auto" w:sz="6" w:space="0"/>
              <w:left w:val="single" w:color="auto" w:sz="6" w:space="0"/>
              <w:bottom w:val="single" w:color="auto" w:sz="6" w:space="0"/>
              <w:right w:val="single" w:color="auto" w:sz="6" w:space="0"/>
            </w:tcBorders>
            <w:vAlign w:val="center"/>
          </w:tcPr>
          <w:p w14:paraId="7B18DFDC">
            <w:pPr>
              <w:spacing w:line="360" w:lineRule="auto"/>
              <w:jc w:val="left"/>
              <w:rPr>
                <w:rFonts w:hint="eastAsia" w:ascii="宋体" w:cs="宋体"/>
                <w:sz w:val="24"/>
              </w:rPr>
            </w:pPr>
          </w:p>
        </w:tc>
        <w:tc>
          <w:tcPr>
            <w:tcW w:w="2545" w:type="dxa"/>
            <w:tcBorders>
              <w:top w:val="single" w:color="auto" w:sz="6" w:space="0"/>
              <w:left w:val="single" w:color="auto" w:sz="6" w:space="0"/>
              <w:bottom w:val="single" w:color="auto" w:sz="6" w:space="0"/>
              <w:right w:val="single" w:color="auto" w:sz="6" w:space="0"/>
            </w:tcBorders>
            <w:vAlign w:val="center"/>
          </w:tcPr>
          <w:p w14:paraId="47ECA7D1">
            <w:pPr>
              <w:spacing w:line="360" w:lineRule="auto"/>
              <w:jc w:val="left"/>
              <w:rPr>
                <w:rFonts w:hint="eastAsia" w:ascii="宋体" w:cs="宋体"/>
                <w:sz w:val="24"/>
              </w:rPr>
            </w:pPr>
          </w:p>
        </w:tc>
        <w:tc>
          <w:tcPr>
            <w:tcW w:w="1350" w:type="dxa"/>
            <w:tcBorders>
              <w:top w:val="single" w:color="auto" w:sz="6" w:space="0"/>
              <w:left w:val="single" w:color="auto" w:sz="6" w:space="0"/>
              <w:bottom w:val="single" w:color="auto" w:sz="6" w:space="0"/>
              <w:right w:val="single" w:color="auto" w:sz="12" w:space="0"/>
            </w:tcBorders>
          </w:tcPr>
          <w:p w14:paraId="2C02EE33">
            <w:pPr>
              <w:spacing w:line="360" w:lineRule="auto"/>
              <w:jc w:val="left"/>
              <w:rPr>
                <w:rFonts w:hint="eastAsia" w:ascii="宋体" w:cs="宋体"/>
                <w:sz w:val="24"/>
              </w:rPr>
            </w:pPr>
          </w:p>
        </w:tc>
      </w:tr>
      <w:tr w14:paraId="4E0FB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840" w:type="dxa"/>
            <w:tcBorders>
              <w:top w:val="single" w:color="auto" w:sz="6" w:space="0"/>
              <w:left w:val="single" w:color="auto" w:sz="12" w:space="0"/>
              <w:bottom w:val="single" w:color="auto" w:sz="6" w:space="0"/>
              <w:right w:val="single" w:color="auto" w:sz="6" w:space="0"/>
            </w:tcBorders>
          </w:tcPr>
          <w:p w14:paraId="0C3CEED4">
            <w:pPr>
              <w:spacing w:line="360" w:lineRule="auto"/>
              <w:jc w:val="center"/>
              <w:rPr>
                <w:rFonts w:hint="eastAsia" w:ascii="宋体" w:cs="宋体"/>
                <w:sz w:val="24"/>
              </w:rPr>
            </w:pPr>
            <w:r>
              <w:rPr>
                <w:rFonts w:hint="eastAsia" w:ascii="宋体" w:cs="宋体"/>
                <w:sz w:val="24"/>
              </w:rPr>
              <w:t>2</w:t>
            </w:r>
          </w:p>
        </w:tc>
        <w:tc>
          <w:tcPr>
            <w:tcW w:w="2129" w:type="dxa"/>
            <w:tcBorders>
              <w:top w:val="single" w:color="auto" w:sz="6" w:space="0"/>
              <w:left w:val="single" w:color="auto" w:sz="6" w:space="0"/>
              <w:bottom w:val="single" w:color="auto" w:sz="6" w:space="0"/>
              <w:right w:val="single" w:color="auto" w:sz="6" w:space="0"/>
            </w:tcBorders>
            <w:vAlign w:val="center"/>
          </w:tcPr>
          <w:p w14:paraId="1836BFE5">
            <w:pPr>
              <w:spacing w:line="360" w:lineRule="auto"/>
              <w:jc w:val="left"/>
              <w:rPr>
                <w:rFonts w:hint="eastAsia" w:ascii="宋体" w:cs="宋体"/>
                <w:sz w:val="24"/>
              </w:rPr>
            </w:pPr>
          </w:p>
        </w:tc>
        <w:tc>
          <w:tcPr>
            <w:tcW w:w="1972" w:type="dxa"/>
            <w:tcBorders>
              <w:top w:val="single" w:color="auto" w:sz="6" w:space="0"/>
              <w:left w:val="single" w:color="auto" w:sz="6" w:space="0"/>
              <w:bottom w:val="single" w:color="auto" w:sz="6" w:space="0"/>
              <w:right w:val="single" w:color="auto" w:sz="6" w:space="0"/>
            </w:tcBorders>
            <w:vAlign w:val="center"/>
          </w:tcPr>
          <w:p w14:paraId="1FD3A314">
            <w:pPr>
              <w:spacing w:line="360" w:lineRule="auto"/>
              <w:jc w:val="left"/>
              <w:rPr>
                <w:rFonts w:hint="eastAsia" w:ascii="宋体" w:cs="宋体"/>
                <w:sz w:val="24"/>
              </w:rPr>
            </w:pPr>
          </w:p>
        </w:tc>
        <w:tc>
          <w:tcPr>
            <w:tcW w:w="2545" w:type="dxa"/>
            <w:tcBorders>
              <w:top w:val="single" w:color="auto" w:sz="6" w:space="0"/>
              <w:left w:val="single" w:color="auto" w:sz="6" w:space="0"/>
              <w:bottom w:val="single" w:color="auto" w:sz="6" w:space="0"/>
              <w:right w:val="single" w:color="auto" w:sz="6" w:space="0"/>
            </w:tcBorders>
            <w:vAlign w:val="center"/>
          </w:tcPr>
          <w:p w14:paraId="4B1EF75E">
            <w:pPr>
              <w:spacing w:line="360" w:lineRule="auto"/>
              <w:jc w:val="left"/>
              <w:rPr>
                <w:rFonts w:hint="eastAsia" w:ascii="宋体" w:cs="宋体"/>
                <w:sz w:val="24"/>
              </w:rPr>
            </w:pPr>
          </w:p>
        </w:tc>
        <w:tc>
          <w:tcPr>
            <w:tcW w:w="1350" w:type="dxa"/>
            <w:tcBorders>
              <w:top w:val="single" w:color="auto" w:sz="6" w:space="0"/>
              <w:left w:val="single" w:color="auto" w:sz="6" w:space="0"/>
              <w:bottom w:val="single" w:color="auto" w:sz="6" w:space="0"/>
              <w:right w:val="single" w:color="auto" w:sz="12" w:space="0"/>
            </w:tcBorders>
          </w:tcPr>
          <w:p w14:paraId="50A418C2">
            <w:pPr>
              <w:spacing w:line="360" w:lineRule="auto"/>
              <w:jc w:val="left"/>
              <w:rPr>
                <w:rFonts w:hint="eastAsia" w:ascii="宋体" w:cs="宋体"/>
                <w:sz w:val="24"/>
              </w:rPr>
            </w:pPr>
          </w:p>
        </w:tc>
      </w:tr>
      <w:tr w14:paraId="30F75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40" w:type="dxa"/>
            <w:tcBorders>
              <w:top w:val="single" w:color="auto" w:sz="6" w:space="0"/>
              <w:left w:val="single" w:color="auto" w:sz="12" w:space="0"/>
              <w:bottom w:val="single" w:color="auto" w:sz="6" w:space="0"/>
              <w:right w:val="single" w:color="auto" w:sz="6" w:space="0"/>
            </w:tcBorders>
          </w:tcPr>
          <w:p w14:paraId="0868D42F">
            <w:pPr>
              <w:spacing w:line="360" w:lineRule="auto"/>
              <w:jc w:val="center"/>
              <w:rPr>
                <w:rFonts w:hint="eastAsia" w:ascii="宋体" w:cs="宋体"/>
                <w:sz w:val="24"/>
              </w:rPr>
            </w:pPr>
            <w:r>
              <w:rPr>
                <w:rFonts w:hint="eastAsia" w:ascii="宋体" w:cs="宋体"/>
                <w:sz w:val="24"/>
              </w:rPr>
              <w:t>3</w:t>
            </w:r>
          </w:p>
        </w:tc>
        <w:tc>
          <w:tcPr>
            <w:tcW w:w="2129" w:type="dxa"/>
            <w:tcBorders>
              <w:top w:val="single" w:color="auto" w:sz="6" w:space="0"/>
              <w:left w:val="single" w:color="auto" w:sz="6" w:space="0"/>
              <w:bottom w:val="single" w:color="auto" w:sz="6" w:space="0"/>
              <w:right w:val="single" w:color="auto" w:sz="6" w:space="0"/>
            </w:tcBorders>
            <w:vAlign w:val="center"/>
          </w:tcPr>
          <w:p w14:paraId="64F5AC64">
            <w:pPr>
              <w:spacing w:line="360" w:lineRule="auto"/>
              <w:jc w:val="left"/>
              <w:rPr>
                <w:rFonts w:hint="eastAsia" w:ascii="宋体" w:cs="宋体"/>
                <w:sz w:val="24"/>
              </w:rPr>
            </w:pPr>
          </w:p>
        </w:tc>
        <w:tc>
          <w:tcPr>
            <w:tcW w:w="1972" w:type="dxa"/>
            <w:tcBorders>
              <w:top w:val="single" w:color="auto" w:sz="6" w:space="0"/>
              <w:left w:val="single" w:color="auto" w:sz="6" w:space="0"/>
              <w:bottom w:val="single" w:color="auto" w:sz="6" w:space="0"/>
              <w:right w:val="single" w:color="auto" w:sz="6" w:space="0"/>
            </w:tcBorders>
            <w:vAlign w:val="center"/>
          </w:tcPr>
          <w:p w14:paraId="4AD4A1D2">
            <w:pPr>
              <w:spacing w:line="360" w:lineRule="auto"/>
              <w:jc w:val="left"/>
              <w:rPr>
                <w:rFonts w:hint="eastAsia" w:ascii="宋体" w:cs="宋体"/>
                <w:sz w:val="24"/>
              </w:rPr>
            </w:pPr>
          </w:p>
        </w:tc>
        <w:tc>
          <w:tcPr>
            <w:tcW w:w="2545" w:type="dxa"/>
            <w:tcBorders>
              <w:top w:val="single" w:color="auto" w:sz="6" w:space="0"/>
              <w:left w:val="single" w:color="auto" w:sz="6" w:space="0"/>
              <w:bottom w:val="single" w:color="auto" w:sz="6" w:space="0"/>
              <w:right w:val="single" w:color="auto" w:sz="6" w:space="0"/>
            </w:tcBorders>
            <w:vAlign w:val="center"/>
          </w:tcPr>
          <w:p w14:paraId="0D82922A">
            <w:pPr>
              <w:spacing w:line="360" w:lineRule="auto"/>
              <w:jc w:val="left"/>
              <w:rPr>
                <w:rFonts w:hint="eastAsia" w:ascii="宋体" w:cs="宋体"/>
                <w:sz w:val="24"/>
              </w:rPr>
            </w:pPr>
          </w:p>
        </w:tc>
        <w:tc>
          <w:tcPr>
            <w:tcW w:w="1350" w:type="dxa"/>
            <w:tcBorders>
              <w:top w:val="single" w:color="auto" w:sz="6" w:space="0"/>
              <w:left w:val="single" w:color="auto" w:sz="6" w:space="0"/>
              <w:bottom w:val="single" w:color="auto" w:sz="6" w:space="0"/>
              <w:right w:val="single" w:color="auto" w:sz="12" w:space="0"/>
            </w:tcBorders>
          </w:tcPr>
          <w:p w14:paraId="24355B2A">
            <w:pPr>
              <w:spacing w:line="360" w:lineRule="auto"/>
              <w:jc w:val="left"/>
              <w:rPr>
                <w:rFonts w:hint="eastAsia" w:ascii="宋体" w:cs="宋体"/>
                <w:sz w:val="24"/>
              </w:rPr>
            </w:pPr>
          </w:p>
        </w:tc>
      </w:tr>
      <w:tr w14:paraId="43FB9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0" w:type="dxa"/>
            <w:tcBorders>
              <w:top w:val="single" w:color="auto" w:sz="6" w:space="0"/>
              <w:left w:val="single" w:color="auto" w:sz="12" w:space="0"/>
              <w:bottom w:val="single" w:color="auto" w:sz="6" w:space="0"/>
              <w:right w:val="single" w:color="auto" w:sz="6" w:space="0"/>
            </w:tcBorders>
          </w:tcPr>
          <w:p w14:paraId="20A0A539">
            <w:pPr>
              <w:spacing w:line="360" w:lineRule="auto"/>
              <w:jc w:val="center"/>
              <w:rPr>
                <w:rFonts w:hint="eastAsia" w:ascii="宋体" w:cs="宋体"/>
                <w:sz w:val="24"/>
              </w:rPr>
            </w:pPr>
            <w:r>
              <w:rPr>
                <w:rFonts w:hint="eastAsia" w:ascii="宋体" w:cs="宋体"/>
                <w:sz w:val="24"/>
              </w:rPr>
              <w:t>4</w:t>
            </w:r>
          </w:p>
        </w:tc>
        <w:tc>
          <w:tcPr>
            <w:tcW w:w="2129" w:type="dxa"/>
            <w:tcBorders>
              <w:top w:val="single" w:color="auto" w:sz="6" w:space="0"/>
              <w:left w:val="single" w:color="auto" w:sz="6" w:space="0"/>
              <w:bottom w:val="single" w:color="auto" w:sz="6" w:space="0"/>
              <w:right w:val="single" w:color="auto" w:sz="6" w:space="0"/>
            </w:tcBorders>
            <w:vAlign w:val="center"/>
          </w:tcPr>
          <w:p w14:paraId="37F7484C">
            <w:pPr>
              <w:spacing w:line="360" w:lineRule="auto"/>
              <w:jc w:val="left"/>
              <w:rPr>
                <w:rFonts w:hint="eastAsia" w:ascii="宋体" w:cs="宋体"/>
                <w:sz w:val="24"/>
              </w:rPr>
            </w:pPr>
          </w:p>
        </w:tc>
        <w:tc>
          <w:tcPr>
            <w:tcW w:w="1972" w:type="dxa"/>
            <w:tcBorders>
              <w:top w:val="single" w:color="auto" w:sz="6" w:space="0"/>
              <w:left w:val="single" w:color="auto" w:sz="6" w:space="0"/>
              <w:bottom w:val="single" w:color="auto" w:sz="6" w:space="0"/>
              <w:right w:val="single" w:color="auto" w:sz="6" w:space="0"/>
            </w:tcBorders>
            <w:vAlign w:val="center"/>
          </w:tcPr>
          <w:p w14:paraId="2398B84C">
            <w:pPr>
              <w:spacing w:line="360" w:lineRule="auto"/>
              <w:jc w:val="left"/>
              <w:rPr>
                <w:rFonts w:hint="eastAsia" w:ascii="宋体" w:cs="宋体"/>
                <w:sz w:val="24"/>
              </w:rPr>
            </w:pPr>
          </w:p>
        </w:tc>
        <w:tc>
          <w:tcPr>
            <w:tcW w:w="2545" w:type="dxa"/>
            <w:tcBorders>
              <w:top w:val="single" w:color="auto" w:sz="6" w:space="0"/>
              <w:left w:val="single" w:color="auto" w:sz="6" w:space="0"/>
              <w:bottom w:val="single" w:color="auto" w:sz="6" w:space="0"/>
              <w:right w:val="single" w:color="auto" w:sz="6" w:space="0"/>
            </w:tcBorders>
            <w:vAlign w:val="center"/>
          </w:tcPr>
          <w:p w14:paraId="7956236E">
            <w:pPr>
              <w:spacing w:line="360" w:lineRule="auto"/>
              <w:jc w:val="left"/>
              <w:rPr>
                <w:rFonts w:hint="eastAsia" w:ascii="宋体" w:cs="宋体"/>
                <w:sz w:val="24"/>
              </w:rPr>
            </w:pPr>
          </w:p>
        </w:tc>
        <w:tc>
          <w:tcPr>
            <w:tcW w:w="1350" w:type="dxa"/>
            <w:tcBorders>
              <w:top w:val="single" w:color="auto" w:sz="6" w:space="0"/>
              <w:left w:val="single" w:color="auto" w:sz="6" w:space="0"/>
              <w:bottom w:val="single" w:color="auto" w:sz="6" w:space="0"/>
              <w:right w:val="single" w:color="auto" w:sz="12" w:space="0"/>
            </w:tcBorders>
          </w:tcPr>
          <w:p w14:paraId="0C828082">
            <w:pPr>
              <w:spacing w:line="360" w:lineRule="auto"/>
              <w:jc w:val="left"/>
              <w:rPr>
                <w:rFonts w:hint="eastAsia" w:ascii="宋体" w:cs="宋体"/>
                <w:sz w:val="24"/>
              </w:rPr>
            </w:pPr>
          </w:p>
        </w:tc>
      </w:tr>
    </w:tbl>
    <w:p w14:paraId="48C348FD">
      <w:pPr>
        <w:spacing w:line="360" w:lineRule="auto"/>
        <w:ind w:right="1560" w:firstLine="480"/>
      </w:pPr>
      <w:r>
        <w:rPr>
          <w:rFonts w:hint="eastAsia" w:ascii="宋体" w:cs="宋体"/>
          <w:sz w:val="24"/>
        </w:rPr>
        <w:t>供应商全称（盖章）：</w:t>
      </w:r>
    </w:p>
    <w:p w14:paraId="057E8688">
      <w:pPr>
        <w:spacing w:line="360" w:lineRule="auto"/>
        <w:rPr>
          <w:rFonts w:hint="eastAsia" w:ascii="宋体" w:cs="宋体"/>
          <w:b/>
          <w:sz w:val="24"/>
        </w:rPr>
      </w:pPr>
      <w:r>
        <w:rPr>
          <w:rFonts w:hint="eastAsia" w:ascii="宋体" w:cs="宋体"/>
          <w:sz w:val="24"/>
        </w:rPr>
        <w:t>  </w:t>
      </w:r>
      <w:r>
        <w:rPr>
          <w:rFonts w:hint="eastAsia" w:ascii="宋体" w:cs="宋体"/>
          <w:sz w:val="24"/>
          <w:lang w:val="en-US" w:eastAsia="zh-CN"/>
        </w:rPr>
        <w:t xml:space="preserve">   </w:t>
      </w:r>
      <w:r>
        <w:rPr>
          <w:rFonts w:hint="eastAsia" w:ascii="宋体" w:cs="宋体"/>
          <w:sz w:val="24"/>
        </w:rPr>
        <w:t>日期：</w:t>
      </w:r>
    </w:p>
    <w:p w14:paraId="6DEBB4A6">
      <w:pPr>
        <w:snapToGrid w:val="0"/>
        <w:spacing w:line="360" w:lineRule="auto"/>
        <w:contextualSpacing/>
        <w:rPr>
          <w:rFonts w:hint="eastAsia" w:ascii="宋体" w:cs="宋体"/>
          <w:b/>
          <w:sz w:val="24"/>
        </w:rPr>
      </w:pPr>
    </w:p>
    <w:p w14:paraId="69F1401C">
      <w:pPr>
        <w:snapToGrid w:val="0"/>
        <w:spacing w:line="360" w:lineRule="auto"/>
        <w:contextualSpacing/>
        <w:rPr>
          <w:rFonts w:hint="eastAsia" w:ascii="宋体" w:cs="宋体"/>
          <w:b/>
          <w:sz w:val="24"/>
        </w:rPr>
      </w:pPr>
      <w:r>
        <w:rPr>
          <w:rFonts w:hint="eastAsia" w:ascii="宋体" w:cs="宋体"/>
          <w:b/>
          <w:sz w:val="24"/>
        </w:rPr>
        <w:t>注：</w:t>
      </w:r>
    </w:p>
    <w:p w14:paraId="6BF7B035">
      <w:pPr>
        <w:snapToGrid w:val="0"/>
        <w:spacing w:line="360" w:lineRule="auto"/>
        <w:ind w:firstLine="480" w:firstLineChars="200"/>
        <w:contextualSpacing/>
        <w:rPr>
          <w:rFonts w:hint="eastAsia" w:ascii="宋体" w:cs="宋体"/>
          <w:sz w:val="24"/>
        </w:rPr>
      </w:pPr>
      <w:r>
        <w:rPr>
          <w:rFonts w:hint="eastAsia" w:ascii="宋体" w:cs="宋体"/>
          <w:sz w:val="24"/>
        </w:rPr>
        <w:t>1.投标人提交的投标文件中与招标文件第三部分“项目需求”中的技术部分的要求，应逐条填列在偏离表中。</w:t>
      </w:r>
    </w:p>
    <w:p w14:paraId="457761E1">
      <w:pPr>
        <w:snapToGrid w:val="0"/>
        <w:spacing w:line="360" w:lineRule="auto"/>
        <w:ind w:firstLine="480" w:firstLineChars="200"/>
        <w:contextualSpacing/>
        <w:rPr>
          <w:rFonts w:hint="eastAsia" w:ascii="宋体" w:cs="宋体"/>
          <w:sz w:val="24"/>
        </w:rPr>
      </w:pPr>
      <w:r>
        <w:rPr>
          <w:rFonts w:hint="eastAsia" w:ascii="宋体" w:cs="宋体"/>
          <w:sz w:val="24"/>
        </w:rPr>
        <w:t>2.“偏离说明”一栏选择“正偏离”、“无偏离”、“负偏离”进行填写。</w:t>
      </w:r>
      <w:r>
        <w:rPr>
          <w:rFonts w:hint="eastAsia" w:ascii="宋体" w:cs="宋体"/>
          <w:sz w:val="24"/>
          <w:lang w:val="zh-CN"/>
        </w:rPr>
        <w:t>正偏离的确认和负偏离的是否响应招标文件，经三分之二评委认定。</w:t>
      </w:r>
    </w:p>
    <w:p w14:paraId="189C2DEB">
      <w:pPr>
        <w:snapToGrid w:val="0"/>
        <w:spacing w:line="360" w:lineRule="auto"/>
        <w:ind w:left="479" w:leftChars="228"/>
        <w:contextualSpacing/>
        <w:rPr>
          <w:rFonts w:hint="eastAsia" w:ascii="宋体" w:cs="宋体"/>
          <w:sz w:val="24"/>
        </w:rPr>
      </w:pPr>
      <w:r>
        <w:rPr>
          <w:rFonts w:hint="eastAsia" w:ascii="宋体" w:cs="宋体"/>
          <w:sz w:val="24"/>
        </w:rPr>
        <w:t>3.投标人如果虚假响应，将取消其投标或中标资格，并按有关规定进行处罚。</w:t>
      </w:r>
    </w:p>
    <w:p w14:paraId="635ECCE7">
      <w:pPr>
        <w:snapToGrid w:val="0"/>
        <w:spacing w:line="360" w:lineRule="auto"/>
        <w:ind w:left="479" w:leftChars="228"/>
        <w:contextualSpacing/>
        <w:rPr>
          <w:rFonts w:hint="eastAsia" w:ascii="宋体" w:cs="宋体"/>
          <w:bCs/>
          <w:sz w:val="24"/>
        </w:rPr>
      </w:pPr>
      <w:r>
        <w:rPr>
          <w:rFonts w:hint="eastAsia" w:ascii="宋体" w:cs="宋体"/>
          <w:sz w:val="24"/>
        </w:rPr>
        <w:t>4.供应商若提供其他增值服务，可以在表中自行据实填写。</w:t>
      </w:r>
    </w:p>
    <w:p w14:paraId="3D98AF42">
      <w:pPr>
        <w:snapToGrid w:val="0"/>
        <w:spacing w:line="360" w:lineRule="auto"/>
        <w:contextualSpacing/>
        <w:jc w:val="center"/>
        <w:rPr>
          <w:rFonts w:hint="eastAsia" w:cs="Mongolian Baiti"/>
          <w:b/>
          <w:bCs/>
          <w:kern w:val="0"/>
          <w:sz w:val="28"/>
          <w:szCs w:val="32"/>
        </w:rPr>
      </w:pPr>
      <w:r>
        <w:br w:type="page"/>
      </w:r>
      <w:r>
        <w:rPr>
          <w:rFonts w:hint="eastAsia" w:cs="Mongolian Baiti"/>
          <w:b/>
          <w:bCs/>
          <w:kern w:val="0"/>
          <w:sz w:val="28"/>
          <w:szCs w:val="32"/>
        </w:rPr>
        <w:t>三、商务部分正负偏离表</w:t>
      </w:r>
    </w:p>
    <w:p w14:paraId="6248578F">
      <w:pPr>
        <w:spacing w:line="360" w:lineRule="auto"/>
        <w:ind w:firstLine="480" w:firstLineChars="200"/>
        <w:jc w:val="center"/>
        <w:rPr>
          <w:rFonts w:hint="eastAsia" w:ascii="宋体" w:cs="宋体"/>
          <w:sz w:val="24"/>
        </w:rPr>
      </w:pPr>
      <w:r>
        <w:rPr>
          <w:rFonts w:hint="eastAsia" w:ascii="宋体" w:cs="宋体"/>
          <w:sz w:val="24"/>
        </w:rPr>
        <w:t>（由投标人据实填写，表格不够自行添加）</w:t>
      </w:r>
    </w:p>
    <w:tbl>
      <w:tblPr>
        <w:tblStyle w:val="40"/>
        <w:tblW w:w="4855" w:type="pct"/>
        <w:tblInd w:w="12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0"/>
        <w:gridCol w:w="2129"/>
        <w:gridCol w:w="1972"/>
        <w:gridCol w:w="2545"/>
        <w:gridCol w:w="1256"/>
      </w:tblGrid>
      <w:tr w14:paraId="6FE2E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840" w:type="dxa"/>
            <w:tcBorders>
              <w:top w:val="single" w:color="auto" w:sz="12" w:space="0"/>
              <w:left w:val="single" w:color="auto" w:sz="12" w:space="0"/>
              <w:bottom w:val="single" w:color="auto" w:sz="6" w:space="0"/>
              <w:right w:val="single" w:color="auto" w:sz="6" w:space="0"/>
            </w:tcBorders>
            <w:vAlign w:val="center"/>
          </w:tcPr>
          <w:p w14:paraId="1A617878">
            <w:pPr>
              <w:spacing w:line="360" w:lineRule="auto"/>
              <w:jc w:val="center"/>
              <w:rPr>
                <w:rFonts w:hint="eastAsia" w:ascii="宋体" w:cs="宋体"/>
                <w:sz w:val="24"/>
              </w:rPr>
            </w:pPr>
            <w:r>
              <w:rPr>
                <w:rFonts w:hint="eastAsia" w:ascii="宋体" w:cs="宋体"/>
                <w:sz w:val="24"/>
              </w:rPr>
              <w:t>序号</w:t>
            </w:r>
          </w:p>
        </w:tc>
        <w:tc>
          <w:tcPr>
            <w:tcW w:w="2129" w:type="dxa"/>
            <w:tcBorders>
              <w:top w:val="single" w:color="auto" w:sz="12" w:space="0"/>
              <w:left w:val="single" w:color="auto" w:sz="6" w:space="0"/>
              <w:bottom w:val="single" w:color="auto" w:sz="6" w:space="0"/>
              <w:right w:val="single" w:color="auto" w:sz="6" w:space="0"/>
            </w:tcBorders>
            <w:vAlign w:val="center"/>
          </w:tcPr>
          <w:p w14:paraId="7D59617B">
            <w:pPr>
              <w:spacing w:line="360" w:lineRule="auto"/>
              <w:jc w:val="center"/>
              <w:rPr>
                <w:rFonts w:hint="eastAsia" w:ascii="宋体" w:cs="宋体"/>
                <w:sz w:val="24"/>
              </w:rPr>
            </w:pPr>
            <w:r>
              <w:rPr>
                <w:rFonts w:hint="eastAsia" w:ascii="宋体" w:cs="宋体"/>
                <w:sz w:val="24"/>
              </w:rPr>
              <w:t>货物或服务名称</w:t>
            </w:r>
          </w:p>
        </w:tc>
        <w:tc>
          <w:tcPr>
            <w:tcW w:w="1972" w:type="dxa"/>
            <w:tcBorders>
              <w:top w:val="single" w:color="auto" w:sz="12" w:space="0"/>
              <w:left w:val="single" w:color="auto" w:sz="6" w:space="0"/>
              <w:bottom w:val="single" w:color="auto" w:sz="6" w:space="0"/>
              <w:right w:val="single" w:color="auto" w:sz="6" w:space="0"/>
            </w:tcBorders>
            <w:vAlign w:val="center"/>
          </w:tcPr>
          <w:p w14:paraId="42BAB491">
            <w:pPr>
              <w:spacing w:line="360" w:lineRule="auto"/>
              <w:jc w:val="center"/>
              <w:rPr>
                <w:rFonts w:hint="eastAsia" w:ascii="宋体" w:cs="宋体"/>
                <w:sz w:val="24"/>
              </w:rPr>
            </w:pPr>
            <w:r>
              <w:rPr>
                <w:rFonts w:hint="eastAsia" w:ascii="宋体" w:cs="宋体"/>
                <w:sz w:val="24"/>
              </w:rPr>
              <w:t>招标文件要求的商务要求</w:t>
            </w:r>
          </w:p>
        </w:tc>
        <w:tc>
          <w:tcPr>
            <w:tcW w:w="2545" w:type="dxa"/>
            <w:tcBorders>
              <w:top w:val="single" w:color="auto" w:sz="12" w:space="0"/>
              <w:left w:val="single" w:color="auto" w:sz="6" w:space="0"/>
              <w:bottom w:val="single" w:color="auto" w:sz="6" w:space="0"/>
              <w:right w:val="single" w:color="auto" w:sz="6" w:space="0"/>
            </w:tcBorders>
            <w:vAlign w:val="center"/>
          </w:tcPr>
          <w:p w14:paraId="6823CC68">
            <w:pPr>
              <w:spacing w:line="360" w:lineRule="auto"/>
              <w:jc w:val="center"/>
              <w:rPr>
                <w:rFonts w:hint="eastAsia" w:ascii="宋体" w:cs="宋体"/>
                <w:sz w:val="24"/>
              </w:rPr>
            </w:pPr>
            <w:r>
              <w:rPr>
                <w:rFonts w:hint="eastAsia" w:ascii="宋体" w:cs="宋体"/>
                <w:sz w:val="24"/>
              </w:rPr>
              <w:t>投标文件响应情况</w:t>
            </w:r>
          </w:p>
        </w:tc>
        <w:tc>
          <w:tcPr>
            <w:tcW w:w="1256" w:type="dxa"/>
            <w:tcBorders>
              <w:top w:val="single" w:color="auto" w:sz="12" w:space="0"/>
              <w:left w:val="single" w:color="auto" w:sz="6" w:space="0"/>
              <w:bottom w:val="single" w:color="auto" w:sz="6" w:space="0"/>
              <w:right w:val="single" w:color="auto" w:sz="12" w:space="0"/>
            </w:tcBorders>
          </w:tcPr>
          <w:p w14:paraId="49930695">
            <w:pPr>
              <w:spacing w:line="360" w:lineRule="auto"/>
              <w:jc w:val="center"/>
              <w:rPr>
                <w:rFonts w:hint="eastAsia" w:ascii="宋体" w:cs="宋体"/>
                <w:sz w:val="24"/>
              </w:rPr>
            </w:pPr>
          </w:p>
          <w:p w14:paraId="56FCFE98">
            <w:pPr>
              <w:spacing w:line="360" w:lineRule="auto"/>
              <w:jc w:val="center"/>
              <w:rPr>
                <w:rFonts w:hint="eastAsia" w:ascii="宋体" w:cs="宋体"/>
                <w:sz w:val="24"/>
              </w:rPr>
            </w:pPr>
            <w:r>
              <w:rPr>
                <w:rFonts w:hint="eastAsia" w:ascii="宋体" w:cs="宋体"/>
                <w:sz w:val="24"/>
              </w:rPr>
              <w:t>偏离说明</w:t>
            </w:r>
          </w:p>
        </w:tc>
      </w:tr>
      <w:tr w14:paraId="10624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840" w:type="dxa"/>
            <w:tcBorders>
              <w:top w:val="single" w:color="auto" w:sz="6" w:space="0"/>
              <w:left w:val="single" w:color="auto" w:sz="12" w:space="0"/>
              <w:bottom w:val="single" w:color="auto" w:sz="6" w:space="0"/>
              <w:right w:val="single" w:color="auto" w:sz="6" w:space="0"/>
            </w:tcBorders>
          </w:tcPr>
          <w:p w14:paraId="0F83BCB7">
            <w:pPr>
              <w:spacing w:line="360" w:lineRule="auto"/>
              <w:jc w:val="center"/>
              <w:rPr>
                <w:rFonts w:hint="eastAsia" w:ascii="宋体" w:cs="宋体"/>
                <w:sz w:val="24"/>
              </w:rPr>
            </w:pPr>
            <w:r>
              <w:rPr>
                <w:rFonts w:hint="eastAsia" w:ascii="宋体" w:cs="宋体"/>
                <w:sz w:val="24"/>
              </w:rPr>
              <w:t>1</w:t>
            </w:r>
          </w:p>
        </w:tc>
        <w:tc>
          <w:tcPr>
            <w:tcW w:w="2129" w:type="dxa"/>
            <w:tcBorders>
              <w:top w:val="single" w:color="auto" w:sz="6" w:space="0"/>
              <w:left w:val="single" w:color="auto" w:sz="6" w:space="0"/>
              <w:bottom w:val="single" w:color="auto" w:sz="6" w:space="0"/>
              <w:right w:val="single" w:color="auto" w:sz="6" w:space="0"/>
            </w:tcBorders>
            <w:vAlign w:val="center"/>
          </w:tcPr>
          <w:p w14:paraId="4C75E059">
            <w:pPr>
              <w:spacing w:line="360" w:lineRule="auto"/>
              <w:jc w:val="left"/>
              <w:rPr>
                <w:rFonts w:hint="eastAsia" w:ascii="宋体" w:cs="宋体"/>
                <w:sz w:val="24"/>
              </w:rPr>
            </w:pPr>
          </w:p>
        </w:tc>
        <w:tc>
          <w:tcPr>
            <w:tcW w:w="1972" w:type="dxa"/>
            <w:tcBorders>
              <w:top w:val="single" w:color="auto" w:sz="6" w:space="0"/>
              <w:left w:val="single" w:color="auto" w:sz="6" w:space="0"/>
              <w:bottom w:val="single" w:color="auto" w:sz="6" w:space="0"/>
              <w:right w:val="single" w:color="auto" w:sz="6" w:space="0"/>
            </w:tcBorders>
            <w:vAlign w:val="center"/>
          </w:tcPr>
          <w:p w14:paraId="67A6842D">
            <w:pPr>
              <w:spacing w:line="360" w:lineRule="auto"/>
              <w:jc w:val="left"/>
              <w:rPr>
                <w:rFonts w:hint="eastAsia" w:ascii="宋体" w:cs="宋体"/>
                <w:sz w:val="24"/>
              </w:rPr>
            </w:pPr>
          </w:p>
        </w:tc>
        <w:tc>
          <w:tcPr>
            <w:tcW w:w="2545" w:type="dxa"/>
            <w:tcBorders>
              <w:top w:val="single" w:color="auto" w:sz="6" w:space="0"/>
              <w:left w:val="single" w:color="auto" w:sz="6" w:space="0"/>
              <w:bottom w:val="single" w:color="auto" w:sz="6" w:space="0"/>
              <w:right w:val="single" w:color="auto" w:sz="6" w:space="0"/>
            </w:tcBorders>
            <w:vAlign w:val="center"/>
          </w:tcPr>
          <w:p w14:paraId="65704667">
            <w:pPr>
              <w:spacing w:line="360" w:lineRule="auto"/>
              <w:jc w:val="left"/>
              <w:rPr>
                <w:rFonts w:hint="eastAsia" w:ascii="宋体" w:cs="宋体"/>
                <w:sz w:val="24"/>
              </w:rPr>
            </w:pPr>
          </w:p>
        </w:tc>
        <w:tc>
          <w:tcPr>
            <w:tcW w:w="1256" w:type="dxa"/>
            <w:tcBorders>
              <w:top w:val="single" w:color="auto" w:sz="6" w:space="0"/>
              <w:left w:val="single" w:color="auto" w:sz="6" w:space="0"/>
              <w:bottom w:val="single" w:color="auto" w:sz="6" w:space="0"/>
              <w:right w:val="single" w:color="auto" w:sz="12" w:space="0"/>
            </w:tcBorders>
          </w:tcPr>
          <w:p w14:paraId="7E300DC5">
            <w:pPr>
              <w:spacing w:line="360" w:lineRule="auto"/>
              <w:jc w:val="left"/>
              <w:rPr>
                <w:rFonts w:hint="eastAsia" w:ascii="宋体" w:cs="宋体"/>
                <w:sz w:val="24"/>
              </w:rPr>
            </w:pPr>
          </w:p>
        </w:tc>
      </w:tr>
      <w:tr w14:paraId="392BE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840" w:type="dxa"/>
            <w:tcBorders>
              <w:top w:val="single" w:color="auto" w:sz="6" w:space="0"/>
              <w:left w:val="single" w:color="auto" w:sz="12" w:space="0"/>
              <w:bottom w:val="single" w:color="auto" w:sz="6" w:space="0"/>
              <w:right w:val="single" w:color="auto" w:sz="6" w:space="0"/>
            </w:tcBorders>
          </w:tcPr>
          <w:p w14:paraId="0CB54A7E">
            <w:pPr>
              <w:spacing w:line="360" w:lineRule="auto"/>
              <w:jc w:val="center"/>
              <w:rPr>
                <w:rFonts w:hint="eastAsia" w:ascii="宋体" w:cs="宋体"/>
                <w:sz w:val="24"/>
              </w:rPr>
            </w:pPr>
            <w:r>
              <w:rPr>
                <w:rFonts w:hint="eastAsia" w:ascii="宋体" w:cs="宋体"/>
                <w:sz w:val="24"/>
              </w:rPr>
              <w:t>2</w:t>
            </w:r>
          </w:p>
        </w:tc>
        <w:tc>
          <w:tcPr>
            <w:tcW w:w="2129" w:type="dxa"/>
            <w:tcBorders>
              <w:top w:val="single" w:color="auto" w:sz="6" w:space="0"/>
              <w:left w:val="single" w:color="auto" w:sz="6" w:space="0"/>
              <w:bottom w:val="single" w:color="auto" w:sz="6" w:space="0"/>
              <w:right w:val="single" w:color="auto" w:sz="6" w:space="0"/>
            </w:tcBorders>
            <w:vAlign w:val="center"/>
          </w:tcPr>
          <w:p w14:paraId="5748C14C">
            <w:pPr>
              <w:spacing w:line="360" w:lineRule="auto"/>
              <w:jc w:val="left"/>
              <w:rPr>
                <w:rFonts w:hint="eastAsia" w:ascii="宋体" w:cs="宋体"/>
                <w:sz w:val="24"/>
              </w:rPr>
            </w:pPr>
          </w:p>
        </w:tc>
        <w:tc>
          <w:tcPr>
            <w:tcW w:w="1972" w:type="dxa"/>
            <w:tcBorders>
              <w:top w:val="single" w:color="auto" w:sz="6" w:space="0"/>
              <w:left w:val="single" w:color="auto" w:sz="6" w:space="0"/>
              <w:bottom w:val="single" w:color="auto" w:sz="6" w:space="0"/>
              <w:right w:val="single" w:color="auto" w:sz="6" w:space="0"/>
            </w:tcBorders>
            <w:vAlign w:val="center"/>
          </w:tcPr>
          <w:p w14:paraId="1D7D4B99">
            <w:pPr>
              <w:spacing w:line="360" w:lineRule="auto"/>
              <w:jc w:val="left"/>
              <w:rPr>
                <w:rFonts w:hint="eastAsia" w:ascii="宋体" w:cs="宋体"/>
                <w:sz w:val="24"/>
              </w:rPr>
            </w:pPr>
          </w:p>
        </w:tc>
        <w:tc>
          <w:tcPr>
            <w:tcW w:w="2545" w:type="dxa"/>
            <w:tcBorders>
              <w:top w:val="single" w:color="auto" w:sz="6" w:space="0"/>
              <w:left w:val="single" w:color="auto" w:sz="6" w:space="0"/>
              <w:bottom w:val="single" w:color="auto" w:sz="6" w:space="0"/>
              <w:right w:val="single" w:color="auto" w:sz="6" w:space="0"/>
            </w:tcBorders>
            <w:vAlign w:val="center"/>
          </w:tcPr>
          <w:p w14:paraId="27431664">
            <w:pPr>
              <w:spacing w:line="360" w:lineRule="auto"/>
              <w:jc w:val="left"/>
              <w:rPr>
                <w:rFonts w:hint="eastAsia" w:ascii="宋体" w:cs="宋体"/>
                <w:sz w:val="24"/>
              </w:rPr>
            </w:pPr>
          </w:p>
        </w:tc>
        <w:tc>
          <w:tcPr>
            <w:tcW w:w="1256" w:type="dxa"/>
            <w:tcBorders>
              <w:top w:val="single" w:color="auto" w:sz="6" w:space="0"/>
              <w:left w:val="single" w:color="auto" w:sz="6" w:space="0"/>
              <w:bottom w:val="single" w:color="auto" w:sz="6" w:space="0"/>
              <w:right w:val="single" w:color="auto" w:sz="12" w:space="0"/>
            </w:tcBorders>
          </w:tcPr>
          <w:p w14:paraId="7167FD18">
            <w:pPr>
              <w:spacing w:line="360" w:lineRule="auto"/>
              <w:jc w:val="left"/>
              <w:rPr>
                <w:rFonts w:hint="eastAsia" w:ascii="宋体" w:cs="宋体"/>
                <w:sz w:val="24"/>
              </w:rPr>
            </w:pPr>
          </w:p>
        </w:tc>
      </w:tr>
      <w:tr w14:paraId="2A4D2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40" w:type="dxa"/>
            <w:tcBorders>
              <w:top w:val="single" w:color="auto" w:sz="6" w:space="0"/>
              <w:left w:val="single" w:color="auto" w:sz="12" w:space="0"/>
              <w:bottom w:val="single" w:color="auto" w:sz="6" w:space="0"/>
              <w:right w:val="single" w:color="auto" w:sz="6" w:space="0"/>
            </w:tcBorders>
          </w:tcPr>
          <w:p w14:paraId="7DD46BAB">
            <w:pPr>
              <w:spacing w:line="360" w:lineRule="auto"/>
              <w:jc w:val="center"/>
              <w:rPr>
                <w:rFonts w:hint="eastAsia" w:ascii="宋体" w:cs="宋体"/>
                <w:sz w:val="24"/>
              </w:rPr>
            </w:pPr>
            <w:r>
              <w:rPr>
                <w:rFonts w:hint="eastAsia" w:ascii="宋体" w:cs="宋体"/>
                <w:sz w:val="24"/>
              </w:rPr>
              <w:t>3</w:t>
            </w:r>
          </w:p>
        </w:tc>
        <w:tc>
          <w:tcPr>
            <w:tcW w:w="2129" w:type="dxa"/>
            <w:tcBorders>
              <w:top w:val="single" w:color="auto" w:sz="6" w:space="0"/>
              <w:left w:val="single" w:color="auto" w:sz="6" w:space="0"/>
              <w:bottom w:val="single" w:color="auto" w:sz="6" w:space="0"/>
              <w:right w:val="single" w:color="auto" w:sz="6" w:space="0"/>
            </w:tcBorders>
            <w:vAlign w:val="center"/>
          </w:tcPr>
          <w:p w14:paraId="321739BB">
            <w:pPr>
              <w:spacing w:line="360" w:lineRule="auto"/>
              <w:jc w:val="left"/>
              <w:rPr>
                <w:rFonts w:hint="eastAsia" w:ascii="宋体" w:cs="宋体"/>
                <w:sz w:val="24"/>
              </w:rPr>
            </w:pPr>
          </w:p>
        </w:tc>
        <w:tc>
          <w:tcPr>
            <w:tcW w:w="1972" w:type="dxa"/>
            <w:tcBorders>
              <w:top w:val="single" w:color="auto" w:sz="6" w:space="0"/>
              <w:left w:val="single" w:color="auto" w:sz="6" w:space="0"/>
              <w:bottom w:val="single" w:color="auto" w:sz="6" w:space="0"/>
              <w:right w:val="single" w:color="auto" w:sz="6" w:space="0"/>
            </w:tcBorders>
            <w:vAlign w:val="center"/>
          </w:tcPr>
          <w:p w14:paraId="39AA274A">
            <w:pPr>
              <w:spacing w:line="360" w:lineRule="auto"/>
              <w:jc w:val="left"/>
              <w:rPr>
                <w:rFonts w:hint="eastAsia" w:ascii="宋体" w:cs="宋体"/>
                <w:sz w:val="24"/>
              </w:rPr>
            </w:pPr>
          </w:p>
        </w:tc>
        <w:tc>
          <w:tcPr>
            <w:tcW w:w="2545" w:type="dxa"/>
            <w:tcBorders>
              <w:top w:val="single" w:color="auto" w:sz="6" w:space="0"/>
              <w:left w:val="single" w:color="auto" w:sz="6" w:space="0"/>
              <w:bottom w:val="single" w:color="auto" w:sz="6" w:space="0"/>
              <w:right w:val="single" w:color="auto" w:sz="6" w:space="0"/>
            </w:tcBorders>
            <w:vAlign w:val="center"/>
          </w:tcPr>
          <w:p w14:paraId="4A41C8FD">
            <w:pPr>
              <w:spacing w:line="360" w:lineRule="auto"/>
              <w:jc w:val="left"/>
              <w:rPr>
                <w:rFonts w:hint="eastAsia" w:ascii="宋体" w:cs="宋体"/>
                <w:sz w:val="24"/>
              </w:rPr>
            </w:pPr>
          </w:p>
        </w:tc>
        <w:tc>
          <w:tcPr>
            <w:tcW w:w="1256" w:type="dxa"/>
            <w:tcBorders>
              <w:top w:val="single" w:color="auto" w:sz="6" w:space="0"/>
              <w:left w:val="single" w:color="auto" w:sz="6" w:space="0"/>
              <w:bottom w:val="single" w:color="auto" w:sz="6" w:space="0"/>
              <w:right w:val="single" w:color="auto" w:sz="12" w:space="0"/>
            </w:tcBorders>
          </w:tcPr>
          <w:p w14:paraId="735C0D07">
            <w:pPr>
              <w:spacing w:line="360" w:lineRule="auto"/>
              <w:jc w:val="left"/>
              <w:rPr>
                <w:rFonts w:hint="eastAsia" w:ascii="宋体" w:cs="宋体"/>
                <w:sz w:val="24"/>
              </w:rPr>
            </w:pPr>
          </w:p>
        </w:tc>
      </w:tr>
      <w:tr w14:paraId="7237D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0" w:type="dxa"/>
            <w:tcBorders>
              <w:top w:val="single" w:color="auto" w:sz="6" w:space="0"/>
              <w:left w:val="single" w:color="auto" w:sz="12" w:space="0"/>
              <w:bottom w:val="single" w:color="auto" w:sz="6" w:space="0"/>
              <w:right w:val="single" w:color="auto" w:sz="6" w:space="0"/>
            </w:tcBorders>
          </w:tcPr>
          <w:p w14:paraId="48A92103">
            <w:pPr>
              <w:spacing w:line="360" w:lineRule="auto"/>
              <w:jc w:val="center"/>
              <w:rPr>
                <w:rFonts w:hint="eastAsia" w:ascii="宋体" w:cs="宋体"/>
                <w:sz w:val="24"/>
              </w:rPr>
            </w:pPr>
            <w:r>
              <w:rPr>
                <w:rFonts w:hint="eastAsia" w:ascii="宋体" w:cs="宋体"/>
                <w:sz w:val="24"/>
              </w:rPr>
              <w:t>4</w:t>
            </w:r>
          </w:p>
        </w:tc>
        <w:tc>
          <w:tcPr>
            <w:tcW w:w="2129" w:type="dxa"/>
            <w:tcBorders>
              <w:top w:val="single" w:color="auto" w:sz="6" w:space="0"/>
              <w:left w:val="single" w:color="auto" w:sz="6" w:space="0"/>
              <w:bottom w:val="single" w:color="auto" w:sz="6" w:space="0"/>
              <w:right w:val="single" w:color="auto" w:sz="6" w:space="0"/>
            </w:tcBorders>
            <w:vAlign w:val="center"/>
          </w:tcPr>
          <w:p w14:paraId="0A349659">
            <w:pPr>
              <w:spacing w:line="360" w:lineRule="auto"/>
              <w:jc w:val="left"/>
              <w:rPr>
                <w:rFonts w:hint="eastAsia" w:ascii="宋体" w:cs="宋体"/>
                <w:sz w:val="24"/>
              </w:rPr>
            </w:pPr>
          </w:p>
        </w:tc>
        <w:tc>
          <w:tcPr>
            <w:tcW w:w="1972" w:type="dxa"/>
            <w:tcBorders>
              <w:top w:val="single" w:color="auto" w:sz="6" w:space="0"/>
              <w:left w:val="single" w:color="auto" w:sz="6" w:space="0"/>
              <w:bottom w:val="single" w:color="auto" w:sz="6" w:space="0"/>
              <w:right w:val="single" w:color="auto" w:sz="6" w:space="0"/>
            </w:tcBorders>
            <w:vAlign w:val="center"/>
          </w:tcPr>
          <w:p w14:paraId="3990ED2F">
            <w:pPr>
              <w:spacing w:line="360" w:lineRule="auto"/>
              <w:jc w:val="left"/>
              <w:rPr>
                <w:rFonts w:hint="eastAsia" w:ascii="宋体" w:cs="宋体"/>
                <w:sz w:val="24"/>
              </w:rPr>
            </w:pPr>
          </w:p>
        </w:tc>
        <w:tc>
          <w:tcPr>
            <w:tcW w:w="2545" w:type="dxa"/>
            <w:tcBorders>
              <w:top w:val="single" w:color="auto" w:sz="6" w:space="0"/>
              <w:left w:val="single" w:color="auto" w:sz="6" w:space="0"/>
              <w:bottom w:val="single" w:color="auto" w:sz="6" w:space="0"/>
              <w:right w:val="single" w:color="auto" w:sz="6" w:space="0"/>
            </w:tcBorders>
            <w:vAlign w:val="center"/>
          </w:tcPr>
          <w:p w14:paraId="7CF5009B">
            <w:pPr>
              <w:spacing w:line="360" w:lineRule="auto"/>
              <w:jc w:val="left"/>
              <w:rPr>
                <w:rFonts w:hint="eastAsia" w:ascii="宋体" w:cs="宋体"/>
                <w:sz w:val="24"/>
              </w:rPr>
            </w:pPr>
          </w:p>
        </w:tc>
        <w:tc>
          <w:tcPr>
            <w:tcW w:w="1256" w:type="dxa"/>
            <w:tcBorders>
              <w:top w:val="single" w:color="auto" w:sz="6" w:space="0"/>
              <w:left w:val="single" w:color="auto" w:sz="6" w:space="0"/>
              <w:bottom w:val="single" w:color="auto" w:sz="6" w:space="0"/>
              <w:right w:val="single" w:color="auto" w:sz="12" w:space="0"/>
            </w:tcBorders>
          </w:tcPr>
          <w:p w14:paraId="121D47A9">
            <w:pPr>
              <w:spacing w:line="360" w:lineRule="auto"/>
              <w:jc w:val="left"/>
              <w:rPr>
                <w:rFonts w:hint="eastAsia" w:ascii="宋体" w:cs="宋体"/>
                <w:sz w:val="24"/>
              </w:rPr>
            </w:pPr>
          </w:p>
        </w:tc>
      </w:tr>
    </w:tbl>
    <w:p w14:paraId="19357931">
      <w:pPr>
        <w:spacing w:line="360" w:lineRule="auto"/>
        <w:ind w:right="1560" w:firstLine="480"/>
      </w:pPr>
      <w:r>
        <w:rPr>
          <w:rFonts w:hint="eastAsia" w:ascii="宋体" w:cs="宋体"/>
          <w:sz w:val="24"/>
        </w:rPr>
        <w:t>供应商全称（盖章）：</w:t>
      </w:r>
    </w:p>
    <w:p w14:paraId="56F660C3">
      <w:pPr>
        <w:spacing w:line="360" w:lineRule="auto"/>
        <w:rPr>
          <w:rFonts w:hint="eastAsia" w:ascii="宋体" w:cs="宋体"/>
          <w:b/>
          <w:sz w:val="24"/>
        </w:rPr>
      </w:pPr>
      <w:r>
        <w:rPr>
          <w:rFonts w:hint="eastAsia" w:ascii="宋体" w:cs="宋体"/>
          <w:sz w:val="24"/>
        </w:rPr>
        <w:t>  </w:t>
      </w:r>
      <w:r>
        <w:rPr>
          <w:rFonts w:hint="eastAsia" w:ascii="宋体" w:cs="宋体"/>
          <w:sz w:val="24"/>
          <w:lang w:val="en-US" w:eastAsia="zh-CN"/>
        </w:rPr>
        <w:t xml:space="preserve">   </w:t>
      </w:r>
      <w:r>
        <w:rPr>
          <w:rFonts w:hint="eastAsia" w:ascii="宋体" w:cs="宋体"/>
          <w:sz w:val="24"/>
        </w:rPr>
        <w:t>日期：</w:t>
      </w:r>
    </w:p>
    <w:p w14:paraId="4568CA5A">
      <w:pPr>
        <w:snapToGrid w:val="0"/>
        <w:spacing w:line="360" w:lineRule="auto"/>
        <w:contextualSpacing/>
        <w:rPr>
          <w:rFonts w:hint="eastAsia" w:ascii="宋体" w:cs="宋体"/>
          <w:b/>
          <w:sz w:val="24"/>
        </w:rPr>
      </w:pPr>
    </w:p>
    <w:p w14:paraId="6C3A8CAD">
      <w:pPr>
        <w:snapToGrid w:val="0"/>
        <w:spacing w:line="360" w:lineRule="auto"/>
        <w:contextualSpacing/>
        <w:rPr>
          <w:rFonts w:hint="eastAsia" w:ascii="宋体" w:cs="宋体"/>
          <w:b/>
          <w:sz w:val="24"/>
        </w:rPr>
      </w:pPr>
      <w:r>
        <w:rPr>
          <w:rFonts w:hint="eastAsia" w:ascii="宋体" w:cs="宋体"/>
          <w:b/>
          <w:sz w:val="24"/>
        </w:rPr>
        <w:t>注：</w:t>
      </w:r>
    </w:p>
    <w:p w14:paraId="643CE0B3">
      <w:pPr>
        <w:snapToGrid w:val="0"/>
        <w:spacing w:line="360" w:lineRule="auto"/>
        <w:ind w:firstLine="480" w:firstLineChars="200"/>
        <w:contextualSpacing/>
        <w:rPr>
          <w:rFonts w:hint="eastAsia" w:ascii="宋体" w:cs="宋体"/>
          <w:sz w:val="24"/>
        </w:rPr>
      </w:pPr>
      <w:r>
        <w:rPr>
          <w:rFonts w:hint="eastAsia" w:ascii="宋体" w:cs="宋体"/>
          <w:sz w:val="24"/>
        </w:rPr>
        <w:t>1.投标人提交的投标文件中与招标文件第三部分“项目需求”中的商务部分的要求，应逐条填列在偏离表中。</w:t>
      </w:r>
      <w:r>
        <w:rPr>
          <w:rFonts w:hint="eastAsia" w:cs="宋体"/>
          <w:sz w:val="24"/>
        </w:rPr>
        <w:t>也可以提供经签署、盖章的空白表格，</w:t>
      </w:r>
      <w:r>
        <w:rPr>
          <w:rFonts w:hint="eastAsia" w:cs="宋体"/>
          <w:kern w:val="0"/>
          <w:sz w:val="24"/>
        </w:rPr>
        <w:t>采购人将视为供应商完全接受</w:t>
      </w:r>
      <w:r>
        <w:rPr>
          <w:rFonts w:hint="eastAsia" w:cs="宋体"/>
          <w:sz w:val="24"/>
        </w:rPr>
        <w:t>第三部分“项目需求”中的商务部分的</w:t>
      </w:r>
      <w:r>
        <w:rPr>
          <w:rFonts w:hint="eastAsia" w:cs="宋体"/>
          <w:kern w:val="0"/>
          <w:sz w:val="24"/>
        </w:rPr>
        <w:t>条款内容。</w:t>
      </w:r>
    </w:p>
    <w:p w14:paraId="1BCC84C9">
      <w:pPr>
        <w:snapToGrid w:val="0"/>
        <w:spacing w:line="360" w:lineRule="auto"/>
        <w:ind w:firstLine="480" w:firstLineChars="200"/>
        <w:contextualSpacing/>
        <w:rPr>
          <w:rFonts w:hint="eastAsia" w:ascii="宋体" w:cs="宋体"/>
          <w:sz w:val="24"/>
        </w:rPr>
      </w:pPr>
      <w:r>
        <w:rPr>
          <w:rFonts w:hint="eastAsia" w:ascii="宋体" w:cs="宋体"/>
          <w:sz w:val="24"/>
        </w:rPr>
        <w:t>2.“偏离说明”一栏选择“正偏离”、“无偏离”、“负偏离”进行填写。</w:t>
      </w:r>
      <w:r>
        <w:rPr>
          <w:rFonts w:hint="eastAsia" w:ascii="宋体" w:cs="宋体"/>
          <w:sz w:val="24"/>
          <w:lang w:val="zh-CN"/>
        </w:rPr>
        <w:t>正偏离的确认和负偏离的是否响应招标文件，经三分之二评委认定。</w:t>
      </w:r>
    </w:p>
    <w:p w14:paraId="55CEDDA1">
      <w:pPr>
        <w:snapToGrid w:val="0"/>
        <w:spacing w:line="360" w:lineRule="auto"/>
        <w:ind w:left="479" w:leftChars="228"/>
        <w:contextualSpacing/>
        <w:rPr>
          <w:rFonts w:hint="eastAsia" w:ascii="宋体" w:cs="宋体"/>
          <w:sz w:val="24"/>
        </w:rPr>
      </w:pPr>
      <w:r>
        <w:rPr>
          <w:rFonts w:hint="eastAsia" w:ascii="宋体" w:cs="宋体"/>
          <w:sz w:val="24"/>
        </w:rPr>
        <w:t>3.投标人如果虚假响应，将取消其投标或中标资格，并按有关规定进行处罚。</w:t>
      </w:r>
    </w:p>
    <w:p w14:paraId="5F93940C">
      <w:pPr>
        <w:snapToGrid w:val="0"/>
        <w:spacing w:line="360" w:lineRule="auto"/>
        <w:ind w:left="479" w:leftChars="228"/>
        <w:contextualSpacing/>
        <w:rPr>
          <w:rFonts w:hint="eastAsia" w:ascii="宋体" w:cs="宋体"/>
          <w:bCs/>
          <w:sz w:val="24"/>
        </w:rPr>
      </w:pPr>
      <w:r>
        <w:rPr>
          <w:rFonts w:hint="eastAsia" w:ascii="宋体" w:cs="宋体"/>
          <w:sz w:val="24"/>
        </w:rPr>
        <w:t>4.供应商若提供其他增值服务，可以在表中自行据实填写。</w:t>
      </w:r>
    </w:p>
    <w:p w14:paraId="528E7EB7">
      <w:pPr>
        <w:pStyle w:val="5"/>
        <w:jc w:val="center"/>
        <w:rPr>
          <w:rFonts w:hint="eastAsia"/>
          <w:szCs w:val="28"/>
        </w:rPr>
      </w:pPr>
      <w:r>
        <w:br w:type="page"/>
      </w:r>
      <w:r>
        <w:rPr>
          <w:rFonts w:hint="eastAsia"/>
          <w:szCs w:val="28"/>
        </w:rPr>
        <w:t>第三部分 商务标部分主要内容</w:t>
      </w:r>
    </w:p>
    <w:p w14:paraId="6F01A7AF">
      <w:pPr>
        <w:spacing w:line="360" w:lineRule="auto"/>
        <w:jc w:val="center"/>
        <w:rPr>
          <w:rFonts w:hint="eastAsia" w:cs="宋体"/>
          <w:b/>
          <w:bCs/>
          <w:sz w:val="28"/>
          <w:szCs w:val="28"/>
        </w:rPr>
      </w:pPr>
    </w:p>
    <w:p w14:paraId="1E9B84A8">
      <w:pPr>
        <w:spacing w:line="360" w:lineRule="auto"/>
        <w:jc w:val="center"/>
        <w:rPr>
          <w:rFonts w:hint="eastAsia" w:cs="宋体"/>
          <w:b/>
          <w:bCs/>
          <w:sz w:val="28"/>
          <w:szCs w:val="28"/>
        </w:rPr>
      </w:pPr>
      <w:r>
        <w:rPr>
          <w:rFonts w:hint="eastAsia" w:cs="宋体"/>
          <w:b/>
          <w:bCs/>
          <w:sz w:val="28"/>
          <w:szCs w:val="28"/>
        </w:rPr>
        <w:t>一、投标函</w:t>
      </w:r>
    </w:p>
    <w:p w14:paraId="11DE0D09">
      <w:pPr>
        <w:spacing w:line="360" w:lineRule="auto"/>
        <w:jc w:val="left"/>
        <w:textAlignment w:val="baseline"/>
        <w:rPr>
          <w:rFonts w:cs="宋体"/>
          <w:sz w:val="24"/>
          <w:szCs w:val="21"/>
        </w:rPr>
      </w:pPr>
      <w:r>
        <w:rPr>
          <w:rFonts w:hint="eastAsia"/>
          <w:sz w:val="24"/>
          <w:u w:val="single"/>
        </w:rPr>
        <w:t>南通新通安投资开发有限公司</w:t>
      </w:r>
      <w:r>
        <w:rPr>
          <w:rFonts w:hint="eastAsia"/>
          <w:sz w:val="24"/>
        </w:rPr>
        <w:t>：</w:t>
      </w:r>
    </w:p>
    <w:p w14:paraId="401D7F11">
      <w:pPr>
        <w:spacing w:line="360" w:lineRule="auto"/>
        <w:ind w:firstLine="480"/>
        <w:rPr>
          <w:rFonts w:cs="宋体"/>
          <w:sz w:val="24"/>
          <w:szCs w:val="21"/>
        </w:rPr>
      </w:pPr>
      <w:r>
        <w:rPr>
          <w:rFonts w:hint="eastAsia" w:cs="宋体"/>
          <w:sz w:val="24"/>
          <w:szCs w:val="21"/>
        </w:rPr>
        <w:t>依据贵单位（招标项目名称）项目公开招标采购的邀请，我方授权（姓名）（职务）为全权代表参加该项目的投标工作，全权处理本次投标的有关事宜。同时，我公司声明如下：</w:t>
      </w:r>
    </w:p>
    <w:p w14:paraId="5690C8AF">
      <w:pPr>
        <w:spacing w:line="360" w:lineRule="auto"/>
        <w:ind w:firstLine="480"/>
        <w:rPr>
          <w:rFonts w:cs="宋体"/>
          <w:sz w:val="24"/>
          <w:szCs w:val="21"/>
        </w:rPr>
      </w:pPr>
      <w:r>
        <w:rPr>
          <w:rFonts w:hint="eastAsia" w:cs="宋体"/>
          <w:sz w:val="24"/>
          <w:szCs w:val="21"/>
        </w:rPr>
        <w:t>1.我方同意并接受本项目招标文件的各项要求，遵守招标文件中的各项规定，按招标文件的要求提供报价。</w:t>
      </w:r>
    </w:p>
    <w:p w14:paraId="5C9035D8">
      <w:pPr>
        <w:spacing w:line="360" w:lineRule="auto"/>
        <w:ind w:firstLine="480"/>
        <w:rPr>
          <w:rFonts w:cs="宋体"/>
          <w:sz w:val="24"/>
          <w:szCs w:val="21"/>
        </w:rPr>
      </w:pPr>
      <w:r>
        <w:rPr>
          <w:rFonts w:hint="eastAsia" w:cs="宋体"/>
          <w:sz w:val="24"/>
          <w:szCs w:val="21"/>
        </w:rPr>
        <w:t>2.我方已经详细审查了全部招标文件，我方已完全清晰理解招标文件的要求，不存在任何含糊不清和误解之处，同意放弃对这些文件所提出的异议和质疑的权利。</w:t>
      </w:r>
    </w:p>
    <w:p w14:paraId="29E3DCB2">
      <w:pPr>
        <w:spacing w:line="360" w:lineRule="auto"/>
        <w:ind w:firstLine="480"/>
        <w:rPr>
          <w:rFonts w:cs="宋体"/>
          <w:sz w:val="24"/>
          <w:szCs w:val="21"/>
        </w:rPr>
      </w:pPr>
      <w:r>
        <w:rPr>
          <w:rFonts w:hint="eastAsia" w:cs="宋体"/>
          <w:sz w:val="24"/>
          <w:szCs w:val="21"/>
        </w:rPr>
        <w:t>3.我方愿意提供招标人在招标文件中要求的所有资料。</w:t>
      </w:r>
    </w:p>
    <w:p w14:paraId="0FCDF59C">
      <w:pPr>
        <w:spacing w:line="360" w:lineRule="auto"/>
        <w:ind w:firstLine="480"/>
        <w:rPr>
          <w:rFonts w:cs="宋体"/>
          <w:sz w:val="24"/>
          <w:szCs w:val="21"/>
        </w:rPr>
      </w:pPr>
      <w:r>
        <w:rPr>
          <w:rFonts w:hint="eastAsia" w:cs="宋体"/>
          <w:sz w:val="24"/>
          <w:szCs w:val="21"/>
        </w:rPr>
        <w:t>4.我方承诺在本次招标响应中提供的一切文件，无论是原件还是复印件均真实有效，绝无任何虚假、伪造和夸大的成分。否则，愿承担相应的后果和法律责任。</w:t>
      </w:r>
    </w:p>
    <w:p w14:paraId="5EABA717">
      <w:pPr>
        <w:spacing w:line="360" w:lineRule="auto"/>
        <w:ind w:firstLine="480"/>
        <w:rPr>
          <w:rFonts w:cs="宋体"/>
          <w:sz w:val="24"/>
          <w:szCs w:val="21"/>
        </w:rPr>
      </w:pPr>
      <w:r>
        <w:rPr>
          <w:rFonts w:hint="eastAsia" w:cs="宋体"/>
          <w:sz w:val="24"/>
          <w:szCs w:val="21"/>
        </w:rPr>
        <w:t>5.我方尊重评标小组所作的评定结果，同时也清楚理解到投标报价最低并非意味着必定获得中标资格。</w:t>
      </w:r>
    </w:p>
    <w:p w14:paraId="7A3CBCB3">
      <w:pPr>
        <w:spacing w:line="360" w:lineRule="auto"/>
        <w:ind w:firstLine="480"/>
        <w:rPr>
          <w:rFonts w:cs="宋体"/>
          <w:sz w:val="24"/>
          <w:szCs w:val="21"/>
        </w:rPr>
      </w:pPr>
      <w:r>
        <w:rPr>
          <w:rFonts w:hint="eastAsia" w:cs="宋体"/>
          <w:sz w:val="24"/>
          <w:szCs w:val="21"/>
        </w:rPr>
        <w:t xml:space="preserve">6.一旦我方中标，我方将根据招标文件的规定，严格履行招标文件中规定的每一项要求，按期、按质、按量履行合同的义务。 </w:t>
      </w:r>
    </w:p>
    <w:p w14:paraId="339312D3">
      <w:pPr>
        <w:spacing w:line="360" w:lineRule="auto"/>
        <w:ind w:firstLine="480"/>
        <w:jc w:val="right"/>
        <w:rPr>
          <w:rFonts w:cs="宋体"/>
          <w:sz w:val="24"/>
          <w:szCs w:val="21"/>
        </w:rPr>
      </w:pPr>
    </w:p>
    <w:p w14:paraId="012F0AFF">
      <w:pPr>
        <w:spacing w:line="360" w:lineRule="auto"/>
        <w:ind w:firstLine="480"/>
        <w:jc w:val="right"/>
        <w:rPr>
          <w:rFonts w:cs="宋体"/>
          <w:sz w:val="24"/>
          <w:szCs w:val="21"/>
        </w:rPr>
      </w:pPr>
      <w:r>
        <w:rPr>
          <w:rFonts w:hint="eastAsia" w:cs="宋体"/>
          <w:sz w:val="24"/>
          <w:szCs w:val="21"/>
        </w:rPr>
        <w:t>投标人：（加盖公章）</w:t>
      </w:r>
    </w:p>
    <w:p w14:paraId="504ABE26">
      <w:pPr>
        <w:spacing w:line="360" w:lineRule="auto"/>
        <w:ind w:firstLine="480"/>
        <w:jc w:val="right"/>
        <w:rPr>
          <w:rFonts w:cs="宋体"/>
          <w:sz w:val="24"/>
          <w:szCs w:val="21"/>
        </w:rPr>
      </w:pPr>
      <w:r>
        <w:rPr>
          <w:rFonts w:hint="eastAsia" w:cs="宋体"/>
          <w:sz w:val="24"/>
          <w:szCs w:val="21"/>
        </w:rPr>
        <w:t>法定代表人或被授权人：（签字或盖章）</w:t>
      </w:r>
    </w:p>
    <w:p w14:paraId="7A86E1C3">
      <w:pPr>
        <w:spacing w:line="360" w:lineRule="auto"/>
        <w:jc w:val="right"/>
        <w:rPr>
          <w:rFonts w:cs="宋体"/>
          <w:sz w:val="24"/>
          <w:szCs w:val="21"/>
        </w:rPr>
      </w:pPr>
      <w:r>
        <w:rPr>
          <w:rFonts w:hint="eastAsia" w:cs="宋体"/>
          <w:sz w:val="24"/>
          <w:szCs w:val="21"/>
        </w:rPr>
        <w:t>年      月     日</w:t>
      </w:r>
    </w:p>
    <w:p w14:paraId="60D3FA1F">
      <w:pPr>
        <w:spacing w:line="360" w:lineRule="auto"/>
        <w:textAlignment w:val="baseline"/>
        <w:rPr>
          <w:b/>
          <w:bCs/>
          <w:sz w:val="28"/>
          <w:szCs w:val="28"/>
        </w:rPr>
      </w:pPr>
    </w:p>
    <w:p w14:paraId="0117F61D">
      <w:pPr>
        <w:pStyle w:val="17"/>
        <w:spacing w:line="360" w:lineRule="auto"/>
        <w:rPr>
          <w:rFonts w:ascii="Times New Roman" w:eastAsia="宋体"/>
        </w:rPr>
      </w:pPr>
    </w:p>
    <w:bookmarkEnd w:id="366"/>
    <w:bookmarkEnd w:id="367"/>
    <w:bookmarkEnd w:id="368"/>
    <w:bookmarkEnd w:id="369"/>
    <w:bookmarkEnd w:id="370"/>
    <w:p w14:paraId="71129E0E">
      <w:pPr>
        <w:numPr>
          <w:ilvl w:val="0"/>
          <w:numId w:val="4"/>
        </w:numPr>
        <w:spacing w:line="360" w:lineRule="auto"/>
        <w:jc w:val="center"/>
        <w:rPr>
          <w:rFonts w:hint="eastAsia" w:cs="宋体"/>
          <w:b/>
          <w:bCs/>
          <w:sz w:val="28"/>
          <w:szCs w:val="28"/>
        </w:rPr>
      </w:pPr>
      <w:r>
        <w:rPr>
          <w:szCs w:val="21"/>
        </w:rPr>
        <w:br w:type="page"/>
      </w:r>
      <w:r>
        <w:rPr>
          <w:rFonts w:hint="eastAsia" w:cs="宋体"/>
          <w:b/>
          <w:bCs/>
          <w:sz w:val="28"/>
          <w:szCs w:val="28"/>
        </w:rPr>
        <w:t>投标报价表</w:t>
      </w:r>
    </w:p>
    <w:p w14:paraId="4BC470DD">
      <w:pPr>
        <w:pStyle w:val="17"/>
        <w:spacing w:line="360" w:lineRule="auto"/>
        <w:rPr>
          <w:rFonts w:hint="eastAsia" w:ascii="Times New Roman" w:eastAsia="宋体"/>
          <w:szCs w:val="24"/>
          <w:lang w:eastAsia="zh-CN"/>
        </w:rPr>
      </w:pPr>
      <w:r>
        <w:rPr>
          <w:rFonts w:hint="eastAsia" w:ascii="Times New Roman" w:eastAsia="宋体"/>
          <w:szCs w:val="24"/>
        </w:rPr>
        <w:t>项目名称：</w:t>
      </w:r>
      <w:r>
        <w:rPr>
          <w:rFonts w:hint="eastAsia" w:ascii="Times New Roman" w:eastAsia="宋体"/>
          <w:szCs w:val="24"/>
          <w:lang w:eastAsia="zh-CN"/>
        </w:rPr>
        <w:t>南通新通安投资开发有限公司A1及B2车型采购项目（标段一）（第二次）</w:t>
      </w:r>
    </w:p>
    <w:p w14:paraId="3F11F505">
      <w:pPr>
        <w:spacing w:line="360" w:lineRule="auto"/>
        <w:rPr>
          <w:sz w:val="24"/>
        </w:rPr>
      </w:pPr>
      <w:r>
        <w:rPr>
          <w:rFonts w:hint="eastAsia"/>
          <w:sz w:val="24"/>
        </w:rPr>
        <w:t xml:space="preserve">项目编号：                                        </w:t>
      </w:r>
      <w:r>
        <w:rPr>
          <w:rFonts w:hint="eastAsia" w:ascii="宋体" w:cs="宋体"/>
          <w:sz w:val="24"/>
        </w:rPr>
        <w:t>价格单位：元（人民币）</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58"/>
        <w:gridCol w:w="5853"/>
      </w:tblGrid>
      <w:tr w14:paraId="339E8F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3058" w:type="dxa"/>
            <w:tcBorders>
              <w:top w:val="single" w:color="auto" w:sz="4" w:space="0"/>
              <w:left w:val="single" w:color="auto" w:sz="4" w:space="0"/>
              <w:bottom w:val="single" w:color="auto" w:sz="4" w:space="0"/>
              <w:right w:val="single" w:color="auto" w:sz="4" w:space="0"/>
            </w:tcBorders>
            <w:vAlign w:val="center"/>
          </w:tcPr>
          <w:p w14:paraId="731AD64E">
            <w:pPr>
              <w:spacing w:line="360" w:lineRule="auto"/>
              <w:ind w:left="1"/>
              <w:jc w:val="center"/>
              <w:textAlignment w:val="bottom"/>
              <w:rPr>
                <w:rFonts w:hint="eastAsia" w:cs="宋体"/>
                <w:b/>
                <w:kern w:val="0"/>
                <w:sz w:val="24"/>
              </w:rPr>
            </w:pPr>
            <w:r>
              <w:rPr>
                <w:rFonts w:hint="eastAsia" w:cs="宋体"/>
                <w:b/>
                <w:kern w:val="0"/>
                <w:sz w:val="24"/>
              </w:rPr>
              <w:t>项目名称</w:t>
            </w:r>
          </w:p>
        </w:tc>
        <w:tc>
          <w:tcPr>
            <w:tcW w:w="5853" w:type="dxa"/>
            <w:tcBorders>
              <w:top w:val="single" w:color="auto" w:sz="4" w:space="0"/>
              <w:left w:val="single" w:color="auto" w:sz="4" w:space="0"/>
              <w:bottom w:val="single" w:color="auto" w:sz="4" w:space="0"/>
              <w:right w:val="single" w:color="auto" w:sz="4" w:space="0"/>
            </w:tcBorders>
            <w:vAlign w:val="center"/>
          </w:tcPr>
          <w:p w14:paraId="300493A4">
            <w:pPr>
              <w:spacing w:line="360" w:lineRule="auto"/>
              <w:ind w:left="1" w:hanging="1"/>
              <w:jc w:val="center"/>
              <w:textAlignment w:val="bottom"/>
              <w:rPr>
                <w:rFonts w:hint="eastAsia" w:cs="宋体"/>
                <w:b/>
                <w:kern w:val="0"/>
                <w:sz w:val="24"/>
              </w:rPr>
            </w:pPr>
            <w:r>
              <w:rPr>
                <w:rFonts w:hint="eastAsia" w:cs="宋体"/>
                <w:b/>
                <w:kern w:val="0"/>
                <w:sz w:val="24"/>
              </w:rPr>
              <w:t>报价金额</w:t>
            </w:r>
          </w:p>
        </w:tc>
      </w:tr>
      <w:tr w14:paraId="11D39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4" w:hRule="atLeast"/>
          <w:jc w:val="center"/>
        </w:trPr>
        <w:tc>
          <w:tcPr>
            <w:tcW w:w="3058" w:type="dxa"/>
            <w:tcBorders>
              <w:top w:val="single" w:color="auto" w:sz="4" w:space="0"/>
              <w:left w:val="single" w:color="auto" w:sz="4" w:space="0"/>
              <w:bottom w:val="single" w:color="auto" w:sz="4" w:space="0"/>
              <w:right w:val="single" w:color="auto" w:sz="4" w:space="0"/>
            </w:tcBorders>
            <w:vAlign w:val="center"/>
          </w:tcPr>
          <w:p w14:paraId="1016659E">
            <w:pPr>
              <w:spacing w:line="360" w:lineRule="auto"/>
              <w:ind w:left="1"/>
              <w:jc w:val="center"/>
              <w:textAlignment w:val="bottom"/>
              <w:rPr>
                <w:rFonts w:hint="eastAsia" w:cs="宋体"/>
                <w:bCs/>
                <w:kern w:val="0"/>
                <w:sz w:val="24"/>
              </w:rPr>
            </w:pPr>
            <w:r>
              <w:rPr>
                <w:rFonts w:hint="eastAsia" w:cs="宋体"/>
                <w:bCs/>
                <w:kern w:val="0"/>
                <w:sz w:val="24"/>
              </w:rPr>
              <w:t>南通新通安投资开发有限公司A1车型采购项目</w:t>
            </w:r>
          </w:p>
        </w:tc>
        <w:tc>
          <w:tcPr>
            <w:tcW w:w="5853" w:type="dxa"/>
            <w:tcBorders>
              <w:top w:val="single" w:color="auto" w:sz="4" w:space="0"/>
              <w:left w:val="single" w:color="auto" w:sz="4" w:space="0"/>
              <w:bottom w:val="single" w:color="auto" w:sz="4" w:space="0"/>
              <w:right w:val="single" w:color="auto" w:sz="4" w:space="0"/>
            </w:tcBorders>
            <w:vAlign w:val="center"/>
          </w:tcPr>
          <w:p w14:paraId="178B3A5B">
            <w:pPr>
              <w:spacing w:line="360" w:lineRule="auto"/>
              <w:textAlignment w:val="bottom"/>
              <w:rPr>
                <w:rFonts w:cs="宋体"/>
                <w:kern w:val="0"/>
                <w:sz w:val="24"/>
              </w:rPr>
            </w:pPr>
            <w:r>
              <w:rPr>
                <w:rFonts w:hint="eastAsia" w:cs="宋体"/>
                <w:kern w:val="0"/>
                <w:sz w:val="24"/>
              </w:rPr>
              <w:t>大写（人民币）：       元每辆</w:t>
            </w:r>
          </w:p>
          <w:p w14:paraId="127B9AF9">
            <w:pPr>
              <w:spacing w:line="360" w:lineRule="auto"/>
              <w:ind w:left="1"/>
              <w:textAlignment w:val="bottom"/>
              <w:rPr>
                <w:rFonts w:hint="eastAsia" w:cs="宋体"/>
                <w:kern w:val="0"/>
                <w:sz w:val="24"/>
              </w:rPr>
            </w:pPr>
            <w:r>
              <w:rPr>
                <w:rFonts w:hint="eastAsia" w:cs="宋体"/>
                <w:kern w:val="0"/>
                <w:sz w:val="24"/>
              </w:rPr>
              <w:t xml:space="preserve">小写（￥）：       元/辆   </w:t>
            </w:r>
          </w:p>
        </w:tc>
      </w:tr>
    </w:tbl>
    <w:p w14:paraId="470A1B91">
      <w:pPr>
        <w:spacing w:line="360" w:lineRule="auto"/>
        <w:rPr>
          <w:rFonts w:hint="eastAsia"/>
          <w:sz w:val="24"/>
        </w:rPr>
      </w:pPr>
    </w:p>
    <w:p w14:paraId="7B6F2C15">
      <w:pPr>
        <w:spacing w:line="360" w:lineRule="auto"/>
        <w:rPr>
          <w:rFonts w:hint="eastAsia"/>
          <w:sz w:val="24"/>
        </w:rPr>
      </w:pPr>
      <w:r>
        <w:rPr>
          <w:rFonts w:hint="eastAsia"/>
          <w:sz w:val="24"/>
        </w:rPr>
        <w:t>供应商：（盖章）</w:t>
      </w:r>
    </w:p>
    <w:p w14:paraId="50E5ABA5">
      <w:pPr>
        <w:spacing w:line="360" w:lineRule="auto"/>
        <w:rPr>
          <w:rFonts w:hint="eastAsia"/>
          <w:sz w:val="24"/>
        </w:rPr>
      </w:pPr>
      <w:r>
        <w:rPr>
          <w:rFonts w:hint="eastAsia"/>
          <w:sz w:val="24"/>
        </w:rPr>
        <w:t xml:space="preserve">法定代表人或被委托授权人（签字）： </w:t>
      </w:r>
    </w:p>
    <w:p w14:paraId="4F222615">
      <w:pPr>
        <w:spacing w:line="360" w:lineRule="auto"/>
        <w:rPr>
          <w:rFonts w:hint="eastAsia" w:cs="宋体"/>
          <w:b/>
          <w:sz w:val="24"/>
          <w:lang w:val="zh-CN"/>
        </w:rPr>
      </w:pPr>
      <w:r>
        <w:rPr>
          <w:rFonts w:hint="eastAsia"/>
          <w:sz w:val="24"/>
        </w:rPr>
        <w:t>日期：</w:t>
      </w:r>
    </w:p>
    <w:p w14:paraId="78A79502">
      <w:pPr>
        <w:spacing w:line="360" w:lineRule="auto"/>
        <w:ind w:right="-212" w:rightChars="-101"/>
        <w:rPr>
          <w:rFonts w:hint="eastAsia" w:cs="宋体"/>
          <w:sz w:val="24"/>
          <w:lang w:val="zh-CN"/>
        </w:rPr>
      </w:pPr>
    </w:p>
    <w:p w14:paraId="69D81120">
      <w:pPr>
        <w:spacing w:line="360" w:lineRule="auto"/>
        <w:ind w:right="-212" w:rightChars="-101"/>
        <w:rPr>
          <w:rFonts w:hint="eastAsia" w:cs="宋体"/>
          <w:sz w:val="24"/>
          <w:lang w:val="zh-CN"/>
        </w:rPr>
      </w:pPr>
    </w:p>
    <w:p w14:paraId="4BF37233">
      <w:pPr>
        <w:spacing w:line="360" w:lineRule="auto"/>
        <w:ind w:right="-212" w:rightChars="-101"/>
        <w:rPr>
          <w:rFonts w:hint="eastAsia" w:cs="宋体"/>
          <w:sz w:val="24"/>
          <w:lang w:val="zh-CN"/>
        </w:rPr>
      </w:pPr>
      <w:r>
        <w:rPr>
          <w:rFonts w:hint="eastAsia" w:cs="宋体"/>
          <w:sz w:val="24"/>
          <w:lang w:val="zh-CN"/>
        </w:rPr>
        <w:t>注：</w:t>
      </w:r>
    </w:p>
    <w:p w14:paraId="3135EB6B">
      <w:pPr>
        <w:snapToGrid w:val="0"/>
        <w:spacing w:line="360" w:lineRule="auto"/>
        <w:rPr>
          <w:rFonts w:hint="eastAsia" w:cs="宋体"/>
          <w:sz w:val="24"/>
        </w:rPr>
      </w:pPr>
      <w:r>
        <w:rPr>
          <w:rFonts w:hint="eastAsia" w:cs="宋体"/>
          <w:sz w:val="24"/>
        </w:rPr>
        <w:t>（1）本表为格式表，不得自行改动，必须提供。</w:t>
      </w:r>
    </w:p>
    <w:p w14:paraId="0ED24BBD">
      <w:pPr>
        <w:snapToGrid w:val="0"/>
        <w:spacing w:line="360" w:lineRule="auto"/>
        <w:rPr>
          <w:rFonts w:cs="宋体"/>
          <w:sz w:val="24"/>
        </w:rPr>
      </w:pPr>
      <w:r>
        <w:rPr>
          <w:rFonts w:hint="eastAsia" w:cs="宋体"/>
          <w:sz w:val="24"/>
        </w:rPr>
        <w:t>（2）投标报价应包含但不限于裸车费、运至采购单位指定地点的运输费（包括上、下力）、上门服务费、人工费、成品保护费、交通费、通讯费、垃圾的清理清运费、售后服务费、办公设备费、管理费、利润、税金、政策性文件及为达到采购单位要求所包含的所有风险、责任等各项费用。</w:t>
      </w:r>
    </w:p>
    <w:p w14:paraId="699AC80D">
      <w:pPr>
        <w:snapToGrid w:val="0"/>
        <w:spacing w:line="360" w:lineRule="auto"/>
        <w:rPr>
          <w:rFonts w:hint="eastAsia" w:cs="宋体"/>
          <w:sz w:val="24"/>
        </w:rPr>
      </w:pPr>
      <w:r>
        <w:rPr>
          <w:rFonts w:cs="宋体"/>
        </w:rPr>
        <w:br w:type="page"/>
      </w:r>
    </w:p>
    <w:p w14:paraId="1763961F">
      <w:pPr>
        <w:spacing w:line="360" w:lineRule="auto"/>
        <w:jc w:val="center"/>
        <w:rPr>
          <w:rFonts w:hint="eastAsia" w:cs="宋体"/>
          <w:b/>
          <w:bCs/>
          <w:sz w:val="28"/>
          <w:szCs w:val="28"/>
        </w:rPr>
      </w:pPr>
      <w:r>
        <w:rPr>
          <w:rFonts w:hint="eastAsia" w:cs="宋体"/>
          <w:b/>
          <w:bCs/>
          <w:sz w:val="28"/>
          <w:szCs w:val="28"/>
        </w:rPr>
        <w:t>三、投标报价明细表</w:t>
      </w:r>
    </w:p>
    <w:p w14:paraId="7D8BECC7">
      <w:pPr>
        <w:spacing w:line="360" w:lineRule="auto"/>
        <w:jc w:val="left"/>
        <w:textAlignment w:val="baseline"/>
        <w:rPr>
          <w:rFonts w:hint="eastAsia" w:ascii="宋体" w:hAnsi="宋体" w:cs="宋体"/>
          <w:sz w:val="24"/>
          <w:lang w:val="zh-CN"/>
        </w:rPr>
      </w:pPr>
      <w:r>
        <w:rPr>
          <w:rFonts w:hint="eastAsia" w:ascii="宋体" w:hAnsi="宋体" w:cs="宋体"/>
          <w:sz w:val="24"/>
          <w:lang w:val="zh-CN"/>
        </w:rPr>
        <w:t>投标人（盖章）：</w:t>
      </w:r>
    </w:p>
    <w:p w14:paraId="37E66C98">
      <w:pPr>
        <w:pStyle w:val="17"/>
        <w:spacing w:line="360" w:lineRule="auto"/>
        <w:rPr>
          <w:rFonts w:hint="eastAsia"/>
          <w:lang w:val="zh-CN"/>
        </w:rPr>
      </w:pPr>
      <w:r>
        <w:rPr>
          <w:rFonts w:hint="eastAsia" w:ascii="宋体" w:hAnsi="宋体" w:eastAsia="宋体" w:cs="宋体"/>
          <w:szCs w:val="24"/>
          <w:lang w:val="zh-CN"/>
        </w:rPr>
        <w:t>标段号：</w:t>
      </w:r>
      <w:r>
        <w:rPr>
          <w:rFonts w:hint="eastAsia" w:ascii="Times New Roman" w:eastAsia="宋体"/>
          <w:szCs w:val="24"/>
          <w:lang w:eastAsia="zh-CN"/>
        </w:rPr>
        <w:t>标段一</w:t>
      </w:r>
    </w:p>
    <w:tbl>
      <w:tblPr>
        <w:tblStyle w:val="4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32"/>
        <w:gridCol w:w="1517"/>
        <w:gridCol w:w="945"/>
        <w:gridCol w:w="1170"/>
        <w:gridCol w:w="1560"/>
        <w:gridCol w:w="1526"/>
      </w:tblGrid>
      <w:tr w14:paraId="087E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6" w:type="dxa"/>
            <w:vAlign w:val="center"/>
          </w:tcPr>
          <w:p w14:paraId="54335F6C">
            <w:pPr>
              <w:widowControl/>
              <w:spacing w:line="360" w:lineRule="auto"/>
              <w:jc w:val="center"/>
              <w:rPr>
                <w:rFonts w:hint="eastAsia" w:ascii="宋体" w:hAnsi="宋体" w:cs="宋体"/>
                <w:kern w:val="0"/>
                <w:sz w:val="24"/>
              </w:rPr>
            </w:pPr>
            <w:r>
              <w:rPr>
                <w:rFonts w:hint="eastAsia" w:ascii="宋体" w:hAnsi="宋体" w:cs="宋体"/>
                <w:kern w:val="0"/>
                <w:sz w:val="24"/>
              </w:rPr>
              <w:t>序号</w:t>
            </w:r>
          </w:p>
        </w:tc>
        <w:tc>
          <w:tcPr>
            <w:tcW w:w="2032" w:type="dxa"/>
            <w:vAlign w:val="center"/>
          </w:tcPr>
          <w:p w14:paraId="5BF71D91">
            <w:pPr>
              <w:widowControl/>
              <w:spacing w:line="360" w:lineRule="auto"/>
              <w:jc w:val="center"/>
              <w:rPr>
                <w:rFonts w:hint="eastAsia" w:ascii="宋体" w:hAnsi="宋体" w:cs="宋体"/>
                <w:kern w:val="0"/>
                <w:sz w:val="24"/>
              </w:rPr>
            </w:pPr>
            <w:r>
              <w:rPr>
                <w:rFonts w:hint="eastAsia" w:ascii="宋体" w:hAnsi="宋体" w:cs="宋体"/>
                <w:kern w:val="0"/>
                <w:sz w:val="24"/>
              </w:rPr>
              <w:t>产品或服务名称</w:t>
            </w:r>
          </w:p>
        </w:tc>
        <w:tc>
          <w:tcPr>
            <w:tcW w:w="1517" w:type="dxa"/>
            <w:vAlign w:val="center"/>
          </w:tcPr>
          <w:p w14:paraId="42C031A4">
            <w:pPr>
              <w:widowControl/>
              <w:spacing w:line="360" w:lineRule="auto"/>
              <w:jc w:val="center"/>
              <w:rPr>
                <w:rFonts w:hint="eastAsia" w:ascii="宋体" w:hAnsi="宋体" w:cs="宋体"/>
                <w:kern w:val="0"/>
                <w:sz w:val="24"/>
              </w:rPr>
            </w:pPr>
            <w:r>
              <w:rPr>
                <w:rFonts w:hint="eastAsia" w:ascii="宋体" w:hAnsi="宋体" w:cs="宋体"/>
                <w:kern w:val="0"/>
                <w:sz w:val="24"/>
              </w:rPr>
              <w:t>参数</w:t>
            </w:r>
          </w:p>
        </w:tc>
        <w:tc>
          <w:tcPr>
            <w:tcW w:w="945" w:type="dxa"/>
            <w:vAlign w:val="center"/>
          </w:tcPr>
          <w:p w14:paraId="1A7392F9">
            <w:pPr>
              <w:widowControl/>
              <w:spacing w:line="360" w:lineRule="auto"/>
              <w:jc w:val="center"/>
              <w:rPr>
                <w:rFonts w:hint="eastAsia" w:ascii="宋体" w:hAnsi="宋体" w:cs="宋体"/>
                <w:kern w:val="0"/>
                <w:sz w:val="24"/>
              </w:rPr>
            </w:pPr>
            <w:r>
              <w:rPr>
                <w:rFonts w:hint="eastAsia" w:ascii="宋体" w:hAnsi="宋体" w:cs="宋体"/>
                <w:kern w:val="0"/>
                <w:sz w:val="24"/>
              </w:rPr>
              <w:t>单位</w:t>
            </w:r>
          </w:p>
        </w:tc>
        <w:tc>
          <w:tcPr>
            <w:tcW w:w="1170" w:type="dxa"/>
            <w:vAlign w:val="center"/>
          </w:tcPr>
          <w:p w14:paraId="528629DC">
            <w:pPr>
              <w:widowControl/>
              <w:spacing w:line="360" w:lineRule="auto"/>
              <w:jc w:val="center"/>
              <w:rPr>
                <w:rFonts w:hint="eastAsia" w:ascii="宋体" w:hAnsi="宋体" w:cs="宋体"/>
                <w:kern w:val="0"/>
                <w:sz w:val="24"/>
              </w:rPr>
            </w:pPr>
            <w:r>
              <w:rPr>
                <w:rFonts w:hint="eastAsia" w:ascii="宋体" w:hAnsi="宋体" w:cs="宋体"/>
                <w:kern w:val="0"/>
                <w:sz w:val="24"/>
              </w:rPr>
              <w:t>数量</w:t>
            </w:r>
          </w:p>
        </w:tc>
        <w:tc>
          <w:tcPr>
            <w:tcW w:w="1560" w:type="dxa"/>
            <w:vAlign w:val="center"/>
          </w:tcPr>
          <w:p w14:paraId="1601184A">
            <w:pPr>
              <w:widowControl/>
              <w:spacing w:line="360" w:lineRule="auto"/>
              <w:jc w:val="center"/>
              <w:rPr>
                <w:rFonts w:hint="eastAsia" w:ascii="宋体" w:hAnsi="宋体" w:cs="宋体"/>
                <w:b/>
                <w:bCs/>
                <w:kern w:val="0"/>
                <w:sz w:val="24"/>
              </w:rPr>
            </w:pPr>
            <w:r>
              <w:rPr>
                <w:rFonts w:hint="eastAsia" w:ascii="宋体" w:hAnsi="宋体" w:cs="宋体"/>
                <w:b/>
                <w:bCs/>
                <w:kern w:val="0"/>
                <w:sz w:val="24"/>
              </w:rPr>
              <w:t>综合单价</w:t>
            </w:r>
          </w:p>
          <w:p w14:paraId="68282AD0">
            <w:pPr>
              <w:pStyle w:val="17"/>
              <w:spacing w:line="360" w:lineRule="auto"/>
              <w:jc w:val="center"/>
              <w:rPr>
                <w:rFonts w:hint="eastAsia"/>
                <w:b/>
                <w:bCs/>
              </w:rPr>
            </w:pPr>
            <w:r>
              <w:rPr>
                <w:rFonts w:hint="eastAsia" w:ascii="宋体" w:hAnsi="宋体" w:eastAsia="宋体" w:cs="宋体"/>
                <w:b/>
                <w:bCs/>
              </w:rPr>
              <w:t>（元/辆）</w:t>
            </w:r>
          </w:p>
        </w:tc>
        <w:tc>
          <w:tcPr>
            <w:tcW w:w="1526" w:type="dxa"/>
            <w:vAlign w:val="center"/>
          </w:tcPr>
          <w:p w14:paraId="5BE57A11">
            <w:pPr>
              <w:widowControl/>
              <w:spacing w:line="360" w:lineRule="auto"/>
              <w:jc w:val="center"/>
              <w:rPr>
                <w:rFonts w:hint="eastAsia" w:ascii="宋体" w:hAnsi="宋体" w:cs="宋体"/>
                <w:b/>
                <w:bCs/>
                <w:kern w:val="0"/>
                <w:sz w:val="24"/>
              </w:rPr>
            </w:pPr>
            <w:r>
              <w:rPr>
                <w:rFonts w:hint="eastAsia" w:ascii="宋体" w:hAnsi="宋体" w:cs="宋体"/>
                <w:b/>
                <w:bCs/>
                <w:kern w:val="0"/>
                <w:sz w:val="24"/>
              </w:rPr>
              <w:t>综合总价（元）</w:t>
            </w:r>
          </w:p>
        </w:tc>
      </w:tr>
      <w:tr w14:paraId="02A6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Align w:val="center"/>
          </w:tcPr>
          <w:p w14:paraId="7FFB5F55">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2032" w:type="dxa"/>
            <w:vAlign w:val="center"/>
          </w:tcPr>
          <w:p w14:paraId="274E04DE">
            <w:pPr>
              <w:widowControl/>
              <w:spacing w:line="360" w:lineRule="auto"/>
              <w:jc w:val="center"/>
              <w:rPr>
                <w:rFonts w:hint="eastAsia" w:ascii="宋体" w:hAnsi="宋体" w:cs="宋体"/>
                <w:kern w:val="0"/>
                <w:sz w:val="24"/>
              </w:rPr>
            </w:pPr>
          </w:p>
        </w:tc>
        <w:tc>
          <w:tcPr>
            <w:tcW w:w="1517" w:type="dxa"/>
            <w:vAlign w:val="center"/>
          </w:tcPr>
          <w:p w14:paraId="5E3B92A8">
            <w:pPr>
              <w:widowControl/>
              <w:spacing w:line="360" w:lineRule="auto"/>
              <w:jc w:val="center"/>
              <w:rPr>
                <w:rFonts w:hint="eastAsia" w:ascii="宋体" w:hAnsi="宋体" w:cs="宋体"/>
                <w:kern w:val="0"/>
                <w:sz w:val="24"/>
              </w:rPr>
            </w:pPr>
          </w:p>
        </w:tc>
        <w:tc>
          <w:tcPr>
            <w:tcW w:w="945" w:type="dxa"/>
            <w:vAlign w:val="center"/>
          </w:tcPr>
          <w:p w14:paraId="5E89288B">
            <w:pPr>
              <w:widowControl/>
              <w:spacing w:line="360" w:lineRule="auto"/>
              <w:jc w:val="center"/>
              <w:rPr>
                <w:rFonts w:hint="eastAsia" w:ascii="宋体" w:hAnsi="宋体" w:cs="宋体"/>
                <w:kern w:val="0"/>
                <w:sz w:val="24"/>
              </w:rPr>
            </w:pPr>
          </w:p>
        </w:tc>
        <w:tc>
          <w:tcPr>
            <w:tcW w:w="1170" w:type="dxa"/>
            <w:vAlign w:val="center"/>
          </w:tcPr>
          <w:p w14:paraId="59C05C55">
            <w:pPr>
              <w:widowControl/>
              <w:spacing w:line="360" w:lineRule="auto"/>
              <w:jc w:val="center"/>
              <w:rPr>
                <w:rFonts w:hint="eastAsia" w:ascii="宋体" w:hAnsi="宋体" w:cs="宋体"/>
                <w:kern w:val="0"/>
                <w:sz w:val="24"/>
              </w:rPr>
            </w:pPr>
          </w:p>
        </w:tc>
        <w:tc>
          <w:tcPr>
            <w:tcW w:w="1560" w:type="dxa"/>
            <w:vAlign w:val="center"/>
          </w:tcPr>
          <w:p w14:paraId="0D1580BE">
            <w:pPr>
              <w:widowControl/>
              <w:spacing w:line="360" w:lineRule="auto"/>
              <w:jc w:val="center"/>
              <w:rPr>
                <w:rFonts w:hint="eastAsia" w:ascii="宋体" w:hAnsi="宋体" w:cs="宋体"/>
                <w:kern w:val="0"/>
                <w:sz w:val="24"/>
              </w:rPr>
            </w:pPr>
          </w:p>
        </w:tc>
        <w:tc>
          <w:tcPr>
            <w:tcW w:w="1526" w:type="dxa"/>
            <w:vAlign w:val="center"/>
          </w:tcPr>
          <w:p w14:paraId="35C0B1D9">
            <w:pPr>
              <w:widowControl/>
              <w:spacing w:line="360" w:lineRule="auto"/>
              <w:jc w:val="center"/>
              <w:rPr>
                <w:rFonts w:hint="eastAsia" w:ascii="宋体" w:hAnsi="宋体" w:cs="宋体"/>
                <w:kern w:val="0"/>
                <w:sz w:val="24"/>
              </w:rPr>
            </w:pPr>
          </w:p>
        </w:tc>
      </w:tr>
      <w:tr w14:paraId="647F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56" w:type="dxa"/>
            <w:vAlign w:val="center"/>
          </w:tcPr>
          <w:p w14:paraId="1E2386B9">
            <w:pPr>
              <w:widowControl/>
              <w:spacing w:line="360" w:lineRule="auto"/>
              <w:jc w:val="center"/>
              <w:rPr>
                <w:rFonts w:hint="eastAsia" w:ascii="宋体" w:hAnsi="宋体" w:cs="宋体"/>
                <w:kern w:val="0"/>
                <w:sz w:val="24"/>
              </w:rPr>
            </w:pPr>
          </w:p>
        </w:tc>
        <w:tc>
          <w:tcPr>
            <w:tcW w:w="2032" w:type="dxa"/>
            <w:vAlign w:val="center"/>
          </w:tcPr>
          <w:p w14:paraId="2AF33248">
            <w:pPr>
              <w:widowControl/>
              <w:spacing w:line="360" w:lineRule="auto"/>
              <w:jc w:val="center"/>
              <w:rPr>
                <w:rFonts w:hint="eastAsia" w:ascii="宋体" w:hAnsi="宋体" w:cs="宋体"/>
                <w:kern w:val="0"/>
                <w:sz w:val="24"/>
              </w:rPr>
            </w:pPr>
          </w:p>
        </w:tc>
        <w:tc>
          <w:tcPr>
            <w:tcW w:w="1517" w:type="dxa"/>
            <w:vAlign w:val="center"/>
          </w:tcPr>
          <w:p w14:paraId="39C1D043">
            <w:pPr>
              <w:widowControl/>
              <w:spacing w:line="360" w:lineRule="auto"/>
              <w:jc w:val="center"/>
              <w:rPr>
                <w:rFonts w:hint="eastAsia" w:ascii="宋体" w:hAnsi="宋体" w:cs="宋体"/>
                <w:kern w:val="0"/>
                <w:sz w:val="24"/>
              </w:rPr>
            </w:pPr>
          </w:p>
        </w:tc>
        <w:tc>
          <w:tcPr>
            <w:tcW w:w="945" w:type="dxa"/>
            <w:vAlign w:val="center"/>
          </w:tcPr>
          <w:p w14:paraId="159FE958">
            <w:pPr>
              <w:widowControl/>
              <w:spacing w:line="360" w:lineRule="auto"/>
              <w:jc w:val="center"/>
              <w:rPr>
                <w:rFonts w:hint="eastAsia" w:ascii="宋体" w:hAnsi="宋体" w:cs="宋体"/>
                <w:kern w:val="0"/>
                <w:sz w:val="24"/>
              </w:rPr>
            </w:pPr>
          </w:p>
        </w:tc>
        <w:tc>
          <w:tcPr>
            <w:tcW w:w="1170" w:type="dxa"/>
            <w:vAlign w:val="center"/>
          </w:tcPr>
          <w:p w14:paraId="1105EAE7">
            <w:pPr>
              <w:widowControl/>
              <w:spacing w:line="360" w:lineRule="auto"/>
              <w:jc w:val="center"/>
              <w:rPr>
                <w:rFonts w:hint="eastAsia" w:ascii="宋体" w:hAnsi="宋体" w:cs="宋体"/>
                <w:kern w:val="0"/>
                <w:sz w:val="24"/>
              </w:rPr>
            </w:pPr>
          </w:p>
        </w:tc>
        <w:tc>
          <w:tcPr>
            <w:tcW w:w="1560" w:type="dxa"/>
            <w:vAlign w:val="center"/>
          </w:tcPr>
          <w:p w14:paraId="0C92C6D3">
            <w:pPr>
              <w:widowControl/>
              <w:spacing w:line="360" w:lineRule="auto"/>
              <w:jc w:val="center"/>
              <w:rPr>
                <w:rFonts w:hint="eastAsia" w:ascii="宋体" w:hAnsi="宋体" w:cs="宋体"/>
                <w:kern w:val="0"/>
                <w:sz w:val="24"/>
              </w:rPr>
            </w:pPr>
          </w:p>
        </w:tc>
        <w:tc>
          <w:tcPr>
            <w:tcW w:w="1526" w:type="dxa"/>
            <w:vAlign w:val="center"/>
          </w:tcPr>
          <w:p w14:paraId="45147B9D">
            <w:pPr>
              <w:widowControl/>
              <w:spacing w:line="360" w:lineRule="auto"/>
              <w:jc w:val="center"/>
              <w:rPr>
                <w:rFonts w:hint="eastAsia" w:ascii="宋体" w:hAnsi="宋体" w:cs="宋体"/>
                <w:kern w:val="0"/>
                <w:sz w:val="24"/>
              </w:rPr>
            </w:pPr>
          </w:p>
        </w:tc>
      </w:tr>
      <w:tr w14:paraId="5218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56" w:type="dxa"/>
            <w:vAlign w:val="center"/>
          </w:tcPr>
          <w:p w14:paraId="578BAF1E">
            <w:pPr>
              <w:widowControl/>
              <w:spacing w:line="360" w:lineRule="auto"/>
              <w:jc w:val="center"/>
              <w:rPr>
                <w:rFonts w:hint="eastAsia" w:ascii="宋体" w:hAnsi="宋体" w:cs="宋体"/>
                <w:kern w:val="0"/>
                <w:sz w:val="24"/>
              </w:rPr>
            </w:pPr>
          </w:p>
        </w:tc>
        <w:tc>
          <w:tcPr>
            <w:tcW w:w="2032" w:type="dxa"/>
            <w:vAlign w:val="center"/>
          </w:tcPr>
          <w:p w14:paraId="316722B2">
            <w:pPr>
              <w:widowControl/>
              <w:spacing w:line="360" w:lineRule="auto"/>
              <w:jc w:val="center"/>
              <w:rPr>
                <w:rFonts w:hint="eastAsia" w:ascii="宋体" w:hAnsi="宋体" w:cs="宋体"/>
                <w:kern w:val="0"/>
                <w:sz w:val="24"/>
              </w:rPr>
            </w:pPr>
          </w:p>
        </w:tc>
        <w:tc>
          <w:tcPr>
            <w:tcW w:w="1517" w:type="dxa"/>
            <w:vAlign w:val="center"/>
          </w:tcPr>
          <w:p w14:paraId="52FC4665">
            <w:pPr>
              <w:widowControl/>
              <w:spacing w:line="360" w:lineRule="auto"/>
              <w:jc w:val="center"/>
              <w:rPr>
                <w:rFonts w:hint="eastAsia" w:ascii="宋体" w:hAnsi="宋体" w:cs="宋体"/>
                <w:kern w:val="0"/>
                <w:sz w:val="24"/>
              </w:rPr>
            </w:pPr>
          </w:p>
        </w:tc>
        <w:tc>
          <w:tcPr>
            <w:tcW w:w="945" w:type="dxa"/>
            <w:vAlign w:val="center"/>
          </w:tcPr>
          <w:p w14:paraId="3C616AE6">
            <w:pPr>
              <w:widowControl/>
              <w:spacing w:line="360" w:lineRule="auto"/>
              <w:jc w:val="center"/>
              <w:rPr>
                <w:rFonts w:hint="eastAsia" w:ascii="宋体" w:hAnsi="宋体" w:cs="宋体"/>
                <w:kern w:val="0"/>
                <w:sz w:val="24"/>
              </w:rPr>
            </w:pPr>
          </w:p>
        </w:tc>
        <w:tc>
          <w:tcPr>
            <w:tcW w:w="1170" w:type="dxa"/>
            <w:vAlign w:val="center"/>
          </w:tcPr>
          <w:p w14:paraId="306EABB0">
            <w:pPr>
              <w:widowControl/>
              <w:spacing w:line="360" w:lineRule="auto"/>
              <w:jc w:val="center"/>
              <w:rPr>
                <w:rFonts w:hint="eastAsia" w:ascii="宋体" w:hAnsi="宋体" w:cs="宋体"/>
                <w:kern w:val="0"/>
                <w:sz w:val="24"/>
              </w:rPr>
            </w:pPr>
          </w:p>
        </w:tc>
        <w:tc>
          <w:tcPr>
            <w:tcW w:w="1560" w:type="dxa"/>
            <w:vAlign w:val="center"/>
          </w:tcPr>
          <w:p w14:paraId="75910FB9">
            <w:pPr>
              <w:widowControl/>
              <w:spacing w:line="360" w:lineRule="auto"/>
              <w:jc w:val="center"/>
              <w:rPr>
                <w:rFonts w:hint="eastAsia" w:ascii="宋体" w:hAnsi="宋体" w:cs="宋体"/>
                <w:kern w:val="0"/>
                <w:sz w:val="24"/>
              </w:rPr>
            </w:pPr>
          </w:p>
        </w:tc>
        <w:tc>
          <w:tcPr>
            <w:tcW w:w="1526" w:type="dxa"/>
            <w:vAlign w:val="center"/>
          </w:tcPr>
          <w:p w14:paraId="0A178E5E">
            <w:pPr>
              <w:widowControl/>
              <w:spacing w:line="360" w:lineRule="auto"/>
              <w:jc w:val="center"/>
              <w:rPr>
                <w:rFonts w:hint="eastAsia" w:ascii="宋体" w:hAnsi="宋体" w:cs="宋体"/>
                <w:kern w:val="0"/>
                <w:sz w:val="24"/>
              </w:rPr>
            </w:pPr>
          </w:p>
        </w:tc>
      </w:tr>
      <w:tr w14:paraId="55F8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6" w:type="dxa"/>
            <w:vAlign w:val="center"/>
          </w:tcPr>
          <w:p w14:paraId="7E9D82C6">
            <w:pPr>
              <w:widowControl/>
              <w:spacing w:line="360" w:lineRule="auto"/>
              <w:jc w:val="center"/>
              <w:rPr>
                <w:rFonts w:hint="eastAsia" w:ascii="宋体" w:hAnsi="宋体" w:cs="宋体"/>
                <w:kern w:val="0"/>
                <w:sz w:val="24"/>
              </w:rPr>
            </w:pPr>
          </w:p>
        </w:tc>
        <w:tc>
          <w:tcPr>
            <w:tcW w:w="2032" w:type="dxa"/>
            <w:vAlign w:val="center"/>
          </w:tcPr>
          <w:p w14:paraId="6FEAC971">
            <w:pPr>
              <w:widowControl/>
              <w:spacing w:line="360" w:lineRule="auto"/>
              <w:jc w:val="center"/>
              <w:rPr>
                <w:rFonts w:hint="eastAsia" w:ascii="宋体" w:hAnsi="宋体" w:cs="宋体"/>
                <w:kern w:val="0"/>
                <w:sz w:val="24"/>
              </w:rPr>
            </w:pPr>
          </w:p>
        </w:tc>
        <w:tc>
          <w:tcPr>
            <w:tcW w:w="1517" w:type="dxa"/>
            <w:vAlign w:val="center"/>
          </w:tcPr>
          <w:p w14:paraId="275A569F">
            <w:pPr>
              <w:widowControl/>
              <w:spacing w:line="360" w:lineRule="auto"/>
              <w:jc w:val="center"/>
              <w:rPr>
                <w:rFonts w:hint="eastAsia" w:ascii="宋体" w:hAnsi="宋体" w:cs="宋体"/>
                <w:kern w:val="0"/>
                <w:sz w:val="24"/>
              </w:rPr>
            </w:pPr>
          </w:p>
        </w:tc>
        <w:tc>
          <w:tcPr>
            <w:tcW w:w="945" w:type="dxa"/>
            <w:vAlign w:val="center"/>
          </w:tcPr>
          <w:p w14:paraId="797AC9C2">
            <w:pPr>
              <w:widowControl/>
              <w:spacing w:line="360" w:lineRule="auto"/>
              <w:jc w:val="center"/>
              <w:rPr>
                <w:rFonts w:hint="eastAsia" w:ascii="宋体" w:hAnsi="宋体" w:cs="宋体"/>
                <w:kern w:val="0"/>
                <w:sz w:val="24"/>
              </w:rPr>
            </w:pPr>
          </w:p>
        </w:tc>
        <w:tc>
          <w:tcPr>
            <w:tcW w:w="1170" w:type="dxa"/>
            <w:vAlign w:val="center"/>
          </w:tcPr>
          <w:p w14:paraId="1D9A1631">
            <w:pPr>
              <w:widowControl/>
              <w:spacing w:line="360" w:lineRule="auto"/>
              <w:jc w:val="center"/>
              <w:rPr>
                <w:rFonts w:hint="eastAsia" w:ascii="宋体" w:hAnsi="宋体" w:cs="宋体"/>
                <w:kern w:val="0"/>
                <w:sz w:val="24"/>
              </w:rPr>
            </w:pPr>
          </w:p>
        </w:tc>
        <w:tc>
          <w:tcPr>
            <w:tcW w:w="1560" w:type="dxa"/>
            <w:vAlign w:val="center"/>
          </w:tcPr>
          <w:p w14:paraId="5AE9278D">
            <w:pPr>
              <w:widowControl/>
              <w:spacing w:line="360" w:lineRule="auto"/>
              <w:jc w:val="center"/>
              <w:rPr>
                <w:rFonts w:hint="eastAsia" w:ascii="宋体" w:hAnsi="宋体" w:cs="宋体"/>
                <w:kern w:val="0"/>
                <w:sz w:val="24"/>
              </w:rPr>
            </w:pPr>
          </w:p>
        </w:tc>
        <w:tc>
          <w:tcPr>
            <w:tcW w:w="1526" w:type="dxa"/>
            <w:vAlign w:val="center"/>
          </w:tcPr>
          <w:p w14:paraId="5B2CB9D6">
            <w:pPr>
              <w:widowControl/>
              <w:spacing w:line="360" w:lineRule="auto"/>
              <w:jc w:val="center"/>
              <w:rPr>
                <w:rFonts w:hint="eastAsia" w:ascii="宋体" w:hAnsi="宋体" w:cs="宋体"/>
                <w:kern w:val="0"/>
                <w:sz w:val="24"/>
              </w:rPr>
            </w:pPr>
          </w:p>
        </w:tc>
      </w:tr>
      <w:tr w14:paraId="10AB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888" w:type="dxa"/>
            <w:gridSpan w:val="2"/>
            <w:vAlign w:val="center"/>
          </w:tcPr>
          <w:p w14:paraId="301308FF">
            <w:pPr>
              <w:widowControl/>
              <w:spacing w:line="360" w:lineRule="auto"/>
              <w:jc w:val="left"/>
              <w:rPr>
                <w:rFonts w:hint="eastAsia" w:ascii="宋体" w:hAnsi="宋体" w:cs="宋体"/>
                <w:kern w:val="0"/>
                <w:sz w:val="24"/>
              </w:rPr>
            </w:pPr>
            <w:r>
              <w:rPr>
                <w:rFonts w:hint="eastAsia" w:ascii="宋体" w:hAnsi="宋体" w:cs="宋体"/>
                <w:sz w:val="24"/>
              </w:rPr>
              <w:t>合计</w:t>
            </w:r>
          </w:p>
        </w:tc>
        <w:tc>
          <w:tcPr>
            <w:tcW w:w="6718" w:type="dxa"/>
            <w:gridSpan w:val="5"/>
            <w:vAlign w:val="center"/>
          </w:tcPr>
          <w:p w14:paraId="366EED33">
            <w:pPr>
              <w:widowControl/>
              <w:spacing w:line="360" w:lineRule="auto"/>
              <w:jc w:val="center"/>
              <w:rPr>
                <w:rFonts w:hint="eastAsia" w:ascii="宋体" w:hAnsi="宋体" w:cs="宋体"/>
                <w:kern w:val="0"/>
                <w:sz w:val="24"/>
              </w:rPr>
            </w:pPr>
            <w:r>
              <w:rPr>
                <w:rFonts w:hint="eastAsia" w:ascii="宋体" w:hAnsi="宋体" w:cs="宋体"/>
                <w:kern w:val="0"/>
                <w:sz w:val="24"/>
              </w:rPr>
              <w:t>元（大写：     ）</w:t>
            </w:r>
          </w:p>
        </w:tc>
      </w:tr>
    </w:tbl>
    <w:p w14:paraId="00AC65F7">
      <w:pPr>
        <w:spacing w:line="360" w:lineRule="auto"/>
        <w:ind w:firstLine="480" w:firstLineChars="200"/>
        <w:textAlignment w:val="baseline"/>
        <w:rPr>
          <w:rFonts w:hint="eastAsia" w:ascii="宋体" w:hAnsi="宋体" w:cs="宋体"/>
          <w:sz w:val="24"/>
          <w:lang w:val="zh-CN"/>
        </w:rPr>
      </w:pPr>
    </w:p>
    <w:p w14:paraId="4012DB89">
      <w:pPr>
        <w:spacing w:line="360" w:lineRule="auto"/>
        <w:ind w:firstLine="480" w:firstLineChars="200"/>
        <w:textAlignment w:val="baseline"/>
        <w:rPr>
          <w:rFonts w:hint="eastAsia" w:ascii="宋体" w:hAnsi="宋体" w:cs="宋体"/>
          <w:sz w:val="24"/>
          <w:lang w:val="zh-CN"/>
        </w:rPr>
      </w:pPr>
      <w:r>
        <w:rPr>
          <w:rFonts w:hint="eastAsia" w:ascii="宋体" w:hAnsi="宋体" w:cs="宋体"/>
          <w:sz w:val="24"/>
          <w:lang w:val="zh-CN"/>
        </w:rPr>
        <w:t>注：</w:t>
      </w:r>
      <w:r>
        <w:rPr>
          <w:rFonts w:hint="eastAsia" w:ascii="宋体" w:hAnsi="宋体" w:cs="宋体"/>
          <w:sz w:val="24"/>
        </w:rPr>
        <w:t>1.</w:t>
      </w:r>
      <w:r>
        <w:rPr>
          <w:rFonts w:hint="eastAsia" w:ascii="宋体" w:hAnsi="宋体" w:cs="宋体"/>
          <w:sz w:val="24"/>
          <w:lang w:val="zh-CN"/>
        </w:rPr>
        <w:t>投标人必须详细报出采购清单中各个子项的名称、</w:t>
      </w:r>
      <w:r>
        <w:rPr>
          <w:rFonts w:hint="eastAsia" w:ascii="宋体" w:hAnsi="宋体" w:cs="宋体"/>
          <w:kern w:val="0"/>
          <w:sz w:val="24"/>
        </w:rPr>
        <w:t>参数</w:t>
      </w:r>
      <w:r>
        <w:rPr>
          <w:rFonts w:hint="eastAsia" w:ascii="宋体" w:hAnsi="宋体" w:cs="宋体"/>
          <w:sz w:val="24"/>
          <w:lang w:val="zh-CN"/>
        </w:rPr>
        <w:t>、数量、单价等的内容。且本表各分项报价合计应当与投标报价总表报价合计相等。请各供应商务必按照以上要求填报，否则作为无效投标处理。</w:t>
      </w:r>
    </w:p>
    <w:p w14:paraId="4F26ABDF">
      <w:pPr>
        <w:pStyle w:val="39"/>
        <w:spacing w:line="360" w:lineRule="auto"/>
        <w:ind w:left="420" w:firstLine="420"/>
        <w:rPr>
          <w:rFonts w:hint="eastAsia"/>
          <w:lang w:val="zh-CN"/>
        </w:rPr>
      </w:pPr>
    </w:p>
    <w:sectPr>
      <w:headerReference r:id="rId4" w:type="default"/>
      <w:footerReference r:id="rId5" w:type="default"/>
      <w:pgSz w:w="11906" w:h="16838"/>
      <w:pgMar w:top="1588" w:right="1418" w:bottom="1418" w:left="170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Plotter">
    <w:altName w:val="Times New Roman"/>
    <w:panose1 w:val="00000000000000000000"/>
    <w:charset w:val="00"/>
    <w:family w:val="roman"/>
    <w:pitch w:val="default"/>
    <w:sig w:usb0="00000000" w:usb1="00000000" w:usb2="00000000" w:usb3="00000000" w:csb0="00000003" w:csb1="0012CEFC"/>
  </w:font>
  <w:font w:name="方正舒体">
    <w:panose1 w:val="02010601030101010101"/>
    <w:charset w:val="86"/>
    <w:family w:val="auto"/>
    <w:pitch w:val="default"/>
    <w:sig w:usb0="00000003"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KSOF8080F95D">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134C2">
    <w:pPr>
      <w:pStyle w:val="26"/>
      <w:jc w:val="both"/>
    </w:pPr>
    <w:r>
      <w:pict>
        <v:shape id="文本框 3" o:spid="_x0000_s1025"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path/>
          <v:fill on="f" focussize="0,0"/>
          <v:stroke on="f" joinstyle="miter"/>
          <v:imagedata o:title=""/>
          <o:lock v:ext="edit"/>
          <v:textbox inset="0mm,0mm,0mm,0mm" style="mso-fit-shape-to-text:t;">
            <w:txbxContent>
              <w:p w14:paraId="089EAC92">
                <w:pPr>
                  <w:pStyle w:val="26"/>
                  <w:jc w:val="center"/>
                </w:pPr>
                <w:r>
                  <w:fldChar w:fldCharType="begin"/>
                </w:r>
                <w:r>
                  <w:instrText xml:space="preserve">PAGE   \* MERGEFORMAT</w:instrText>
                </w:r>
                <w:r>
                  <w:fldChar w:fldCharType="separate"/>
                </w:r>
                <w:r>
                  <w:rPr>
                    <w:lang w:val="zh-CN" w:eastAsia="zh-CN"/>
                  </w:rPr>
                  <w:t>-</w:t>
                </w:r>
                <w:r>
                  <w:rPr>
                    <w:lang w:val="en-US" w:eastAsia="zh-CN"/>
                  </w:rPr>
                  <w:t xml:space="preserve"> 19 -</w:t>
                </w:r>
                <w:r>
                  <w:rPr>
                    <w:lang w:val="zh-CN"/>
                  </w:rPr>
                  <w:fldChar w:fldCharType="end"/>
                </w:r>
              </w:p>
            </w:txbxContent>
          </v:textbox>
        </v:shape>
      </w:pict>
    </w:r>
  </w:p>
  <w:p w14:paraId="5284F5B8">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5DAC7">
    <w:pPr>
      <w:pStyle w:val="26"/>
      <w:jc w:val="center"/>
    </w:pPr>
    <w:r>
      <w:fldChar w:fldCharType="begin"/>
    </w:r>
    <w:r>
      <w:instrText xml:space="preserve"> PAGE   \* MERGEFORMAT </w:instrText>
    </w:r>
    <w:r>
      <w:fldChar w:fldCharType="separate"/>
    </w:r>
    <w:r>
      <w:rPr>
        <w:lang w:val="zh-CN" w:eastAsia="zh-CN"/>
      </w:rPr>
      <w:t>-</w:t>
    </w:r>
    <w:r>
      <w:rPr>
        <w:lang w:val="en-US" w:eastAsia="zh-CN"/>
      </w:rPr>
      <w:t xml:space="preserve"> 60 -</w:t>
    </w:r>
    <w:r>
      <w:fldChar w:fldCharType="end"/>
    </w:r>
  </w:p>
  <w:p w14:paraId="55CD9B97">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79E94">
    <w:pPr>
      <w:pStyle w:val="2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AA4E7"/>
    <w:multiLevelType w:val="singleLevel"/>
    <w:tmpl w:val="113AA4E7"/>
    <w:lvl w:ilvl="0" w:tentative="0">
      <w:start w:val="2"/>
      <w:numFmt w:val="chineseCounting"/>
      <w:suff w:val="nothing"/>
      <w:lvlText w:val="%1、"/>
      <w:lvlJc w:val="left"/>
      <w:pPr>
        <w:tabs>
          <w:tab w:val="left" w:pos="0"/>
        </w:tabs>
        <w:ind w:left="0" w:firstLine="0"/>
      </w:pPr>
      <w:rPr>
        <w:rFonts w:hint="eastAsia"/>
      </w:rPr>
    </w:lvl>
  </w:abstractNum>
  <w:abstractNum w:abstractNumId="1">
    <w:nsid w:val="38DA3F37"/>
    <w:multiLevelType w:val="multilevel"/>
    <w:tmpl w:val="38DA3F37"/>
    <w:lvl w:ilvl="0" w:tentative="0">
      <w:start w:val="1"/>
      <w:numFmt w:val="bullet"/>
      <w:pStyle w:val="52"/>
      <w:lvlText w:val=""/>
      <w:lvlJc w:val="left"/>
      <w:pPr>
        <w:tabs>
          <w:tab w:val="left" w:pos="480"/>
        </w:tabs>
        <w:ind w:left="480" w:hanging="480"/>
      </w:pPr>
      <w:rPr>
        <w:rFonts w:hint="default" w:ascii="Wingdings" w:hAnsi="Wingdings"/>
        <w:sz w:val="16"/>
      </w:rPr>
    </w:lvl>
    <w:lvl w:ilvl="1" w:tentative="0">
      <w:start w:val="1"/>
      <w:numFmt w:val="ideographTraditional"/>
      <w:pStyle w:val="92"/>
      <w:lvlText w:val="%2、"/>
      <w:lvlJc w:val="left"/>
      <w:pPr>
        <w:tabs>
          <w:tab w:val="left" w:pos="960"/>
        </w:tabs>
        <w:ind w:left="960" w:hanging="480"/>
      </w:pPr>
    </w:lvl>
    <w:lvl w:ilvl="2" w:tentative="0">
      <w:start w:val="1"/>
      <w:numFmt w:val="lowerRoman"/>
      <w:pStyle w:val="111"/>
      <w:lvlText w:val="%3."/>
      <w:lvlJc w:val="right"/>
      <w:pPr>
        <w:tabs>
          <w:tab w:val="left" w:pos="1440"/>
        </w:tabs>
        <w:ind w:left="1440" w:hanging="480"/>
      </w:pPr>
    </w:lvl>
    <w:lvl w:ilvl="3" w:tentative="0">
      <w:start w:val="1"/>
      <w:numFmt w:val="decimal"/>
      <w:pStyle w:val="67"/>
      <w:lvlText w:val="%4."/>
      <w:lvlJc w:val="left"/>
      <w:pPr>
        <w:tabs>
          <w:tab w:val="left" w:pos="1920"/>
        </w:tabs>
        <w:ind w:left="1920" w:hanging="480"/>
      </w:pPr>
    </w:lvl>
    <w:lvl w:ilvl="4" w:tentative="0">
      <w:start w:val="1"/>
      <w:numFmt w:val="ideographTraditional"/>
      <w:pStyle w:val="133"/>
      <w:lvlText w:val="%5、"/>
      <w:lvlJc w:val="left"/>
      <w:pPr>
        <w:tabs>
          <w:tab w:val="left" w:pos="2400"/>
        </w:tabs>
        <w:ind w:left="2400" w:hanging="480"/>
      </w:pPr>
    </w:lvl>
    <w:lvl w:ilvl="5" w:tentative="0">
      <w:start w:val="1"/>
      <w:numFmt w:val="lowerRoman"/>
      <w:pStyle w:val="80"/>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4F955B49"/>
    <w:multiLevelType w:val="singleLevel"/>
    <w:tmpl w:val="4F955B49"/>
    <w:lvl w:ilvl="0" w:tentative="0">
      <w:start w:val="1"/>
      <w:numFmt w:val="chineseCounting"/>
      <w:suff w:val="nothing"/>
      <w:lvlText w:val="%1、"/>
      <w:lvlJc w:val="left"/>
      <w:rPr>
        <w:rFonts w:hint="eastAsia"/>
      </w:rPr>
    </w:lvl>
  </w:abstractNum>
  <w:abstractNum w:abstractNumId="3">
    <w:nsid w:val="5B7A218F"/>
    <w:multiLevelType w:val="singleLevel"/>
    <w:tmpl w:val="5B7A218F"/>
    <w:lvl w:ilvl="0" w:tentative="0">
      <w:start w:val="8"/>
      <w:numFmt w:val="chineseCounting"/>
      <w:suff w:val="nothing"/>
      <w:lvlText w:val="%1、"/>
      <w:lvlJc w:val="left"/>
      <w:pPr>
        <w:tabs>
          <w:tab w:val="left" w:pos="0"/>
        </w:tabs>
        <w:ind w:left="0" w:firstLine="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gwZTQyNGY3NWY0ZTVkMDMxMDUwZGIwMTYzYTM2NTkifQ=="/>
  </w:docVars>
  <w:rsids>
    <w:rsidRoot w:val="0066708D"/>
    <w:rsid w:val="00024B1F"/>
    <w:rsid w:val="0006168A"/>
    <w:rsid w:val="000A7E08"/>
    <w:rsid w:val="000E0224"/>
    <w:rsid w:val="0018065E"/>
    <w:rsid w:val="00180C83"/>
    <w:rsid w:val="0018715A"/>
    <w:rsid w:val="00196ED4"/>
    <w:rsid w:val="001F2ABA"/>
    <w:rsid w:val="0023771F"/>
    <w:rsid w:val="0025225D"/>
    <w:rsid w:val="00265B35"/>
    <w:rsid w:val="002A2C1B"/>
    <w:rsid w:val="002C7A3D"/>
    <w:rsid w:val="002D3C28"/>
    <w:rsid w:val="002F20B5"/>
    <w:rsid w:val="002F466A"/>
    <w:rsid w:val="00310E03"/>
    <w:rsid w:val="003114A2"/>
    <w:rsid w:val="0037436E"/>
    <w:rsid w:val="00376C62"/>
    <w:rsid w:val="003C11E5"/>
    <w:rsid w:val="003C4FC2"/>
    <w:rsid w:val="003F2543"/>
    <w:rsid w:val="003F4851"/>
    <w:rsid w:val="0040340A"/>
    <w:rsid w:val="00414974"/>
    <w:rsid w:val="004202E9"/>
    <w:rsid w:val="00421686"/>
    <w:rsid w:val="00465DEF"/>
    <w:rsid w:val="0046737F"/>
    <w:rsid w:val="00484011"/>
    <w:rsid w:val="0049469C"/>
    <w:rsid w:val="004B7C73"/>
    <w:rsid w:val="004D0A26"/>
    <w:rsid w:val="004F2865"/>
    <w:rsid w:val="004F43C0"/>
    <w:rsid w:val="00511FE2"/>
    <w:rsid w:val="005337A4"/>
    <w:rsid w:val="00535576"/>
    <w:rsid w:val="005A00AB"/>
    <w:rsid w:val="005B3F38"/>
    <w:rsid w:val="006C04F1"/>
    <w:rsid w:val="00717B9C"/>
    <w:rsid w:val="00722196"/>
    <w:rsid w:val="00753419"/>
    <w:rsid w:val="00755A08"/>
    <w:rsid w:val="00771C0E"/>
    <w:rsid w:val="007F7D97"/>
    <w:rsid w:val="00804E2F"/>
    <w:rsid w:val="00814B48"/>
    <w:rsid w:val="00816539"/>
    <w:rsid w:val="008465C2"/>
    <w:rsid w:val="008C651E"/>
    <w:rsid w:val="00951E3A"/>
    <w:rsid w:val="00957EA3"/>
    <w:rsid w:val="009605CD"/>
    <w:rsid w:val="009D6DD2"/>
    <w:rsid w:val="009E290A"/>
    <w:rsid w:val="00A606F0"/>
    <w:rsid w:val="00A61589"/>
    <w:rsid w:val="00AB3111"/>
    <w:rsid w:val="00AE0BEC"/>
    <w:rsid w:val="00B040DB"/>
    <w:rsid w:val="00B107B2"/>
    <w:rsid w:val="00B40A62"/>
    <w:rsid w:val="00B60026"/>
    <w:rsid w:val="00B61EEC"/>
    <w:rsid w:val="00BB162D"/>
    <w:rsid w:val="00BC276A"/>
    <w:rsid w:val="00BC385A"/>
    <w:rsid w:val="00C11075"/>
    <w:rsid w:val="00C1222B"/>
    <w:rsid w:val="00C717B7"/>
    <w:rsid w:val="00C841E0"/>
    <w:rsid w:val="00CB29DA"/>
    <w:rsid w:val="00D02B33"/>
    <w:rsid w:val="00D36998"/>
    <w:rsid w:val="00D40E0C"/>
    <w:rsid w:val="00D57440"/>
    <w:rsid w:val="00D848D0"/>
    <w:rsid w:val="00D8554C"/>
    <w:rsid w:val="00DB38E1"/>
    <w:rsid w:val="00DC6DAF"/>
    <w:rsid w:val="00DD74FB"/>
    <w:rsid w:val="00DF44E3"/>
    <w:rsid w:val="00E0133A"/>
    <w:rsid w:val="00E07BE6"/>
    <w:rsid w:val="00E15124"/>
    <w:rsid w:val="00E16418"/>
    <w:rsid w:val="00E300B5"/>
    <w:rsid w:val="00EA09A1"/>
    <w:rsid w:val="00EB63A9"/>
    <w:rsid w:val="00ED7A1F"/>
    <w:rsid w:val="00EF3B93"/>
    <w:rsid w:val="00F317DA"/>
    <w:rsid w:val="00F44F01"/>
    <w:rsid w:val="00F46336"/>
    <w:rsid w:val="00F7191A"/>
    <w:rsid w:val="00F730F1"/>
    <w:rsid w:val="00FA57CE"/>
    <w:rsid w:val="00FB3EAA"/>
    <w:rsid w:val="00FD71F9"/>
    <w:rsid w:val="024A6DB0"/>
    <w:rsid w:val="02F1602B"/>
    <w:rsid w:val="048D4CA0"/>
    <w:rsid w:val="054C2F9B"/>
    <w:rsid w:val="055F003F"/>
    <w:rsid w:val="06190F09"/>
    <w:rsid w:val="06264A24"/>
    <w:rsid w:val="07124925"/>
    <w:rsid w:val="07945A7A"/>
    <w:rsid w:val="0FD10BBE"/>
    <w:rsid w:val="11153D12"/>
    <w:rsid w:val="12D01C0B"/>
    <w:rsid w:val="13260B46"/>
    <w:rsid w:val="142C00EF"/>
    <w:rsid w:val="14445913"/>
    <w:rsid w:val="15076C26"/>
    <w:rsid w:val="19915AA6"/>
    <w:rsid w:val="1E070451"/>
    <w:rsid w:val="1FD1574E"/>
    <w:rsid w:val="21AB6115"/>
    <w:rsid w:val="21D40F18"/>
    <w:rsid w:val="22186AA5"/>
    <w:rsid w:val="26D62895"/>
    <w:rsid w:val="28D036D1"/>
    <w:rsid w:val="2B8C1B5C"/>
    <w:rsid w:val="31CF643C"/>
    <w:rsid w:val="378B3228"/>
    <w:rsid w:val="3A231E3E"/>
    <w:rsid w:val="3B870DE5"/>
    <w:rsid w:val="3C4B6B80"/>
    <w:rsid w:val="3E573E64"/>
    <w:rsid w:val="3EAC2B6C"/>
    <w:rsid w:val="418377A7"/>
    <w:rsid w:val="43FE1EF7"/>
    <w:rsid w:val="450C7105"/>
    <w:rsid w:val="48134E86"/>
    <w:rsid w:val="4A0111B9"/>
    <w:rsid w:val="55DE5CA6"/>
    <w:rsid w:val="56B80D7F"/>
    <w:rsid w:val="5CAE78EE"/>
    <w:rsid w:val="5DF00512"/>
    <w:rsid w:val="602438A8"/>
    <w:rsid w:val="609C37A7"/>
    <w:rsid w:val="618154D3"/>
    <w:rsid w:val="62332894"/>
    <w:rsid w:val="623969F0"/>
    <w:rsid w:val="63FA3360"/>
    <w:rsid w:val="675A257D"/>
    <w:rsid w:val="67CD5013"/>
    <w:rsid w:val="760B1BC8"/>
    <w:rsid w:val="77DF4AC2"/>
    <w:rsid w:val="7B2E4372"/>
    <w:rsid w:val="7D497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8" w:lineRule="auto"/>
      <w:outlineLvl w:val="0"/>
    </w:pPr>
    <w:rPr>
      <w:b/>
      <w:bCs/>
      <w:kern w:val="44"/>
      <w:sz w:val="44"/>
      <w:szCs w:val="44"/>
    </w:rPr>
  </w:style>
  <w:style w:type="paragraph" w:styleId="5">
    <w:name w:val="heading 2"/>
    <w:basedOn w:val="1"/>
    <w:next w:val="3"/>
    <w:qFormat/>
    <w:uiPriority w:val="0"/>
    <w:pPr>
      <w:keepNext/>
      <w:keepLines/>
      <w:spacing w:line="360" w:lineRule="auto"/>
      <w:outlineLvl w:val="1"/>
    </w:pPr>
    <w:rPr>
      <w:b/>
      <w:bCs/>
      <w:kern w:val="0"/>
      <w:sz w:val="28"/>
      <w:szCs w:val="32"/>
    </w:rPr>
  </w:style>
  <w:style w:type="paragraph" w:styleId="6">
    <w:name w:val="heading 3"/>
    <w:basedOn w:val="1"/>
    <w:next w:val="3"/>
    <w:qFormat/>
    <w:uiPriority w:val="0"/>
    <w:pPr>
      <w:keepNext/>
      <w:keepLines/>
      <w:spacing w:before="260" w:after="260" w:line="415" w:lineRule="auto"/>
      <w:outlineLvl w:val="2"/>
    </w:pPr>
    <w:rPr>
      <w:b/>
      <w:bCs/>
      <w:kern w:val="0"/>
      <w:sz w:val="32"/>
      <w:szCs w:val="32"/>
    </w:rPr>
  </w:style>
  <w:style w:type="paragraph" w:styleId="7">
    <w:name w:val="heading 4"/>
    <w:basedOn w:val="1"/>
    <w:next w:val="3"/>
    <w:qFormat/>
    <w:uiPriority w:val="0"/>
    <w:pPr>
      <w:keepNext/>
      <w:jc w:val="center"/>
      <w:outlineLvl w:val="3"/>
    </w:pPr>
    <w:rPr>
      <w:rFonts w:eastAsia="新宋体"/>
      <w:kern w:val="0"/>
      <w:sz w:val="30"/>
      <w:szCs w:val="21"/>
    </w:rPr>
  </w:style>
  <w:style w:type="paragraph" w:styleId="8">
    <w:name w:val="heading 5"/>
    <w:basedOn w:val="1"/>
    <w:next w:val="1"/>
    <w:qFormat/>
    <w:uiPriority w:val="0"/>
    <w:pPr>
      <w:keepNext/>
      <w:keepLines/>
      <w:spacing w:before="280" w:after="290" w:line="376" w:lineRule="auto"/>
      <w:outlineLvl w:val="4"/>
    </w:pPr>
    <w:rPr>
      <w:b/>
      <w:bCs/>
      <w:kern w:val="0"/>
      <w:sz w:val="28"/>
      <w:szCs w:val="28"/>
    </w:rPr>
  </w:style>
  <w:style w:type="paragraph" w:styleId="9">
    <w:name w:val="heading 6"/>
    <w:basedOn w:val="1"/>
    <w:next w:val="4"/>
    <w:qFormat/>
    <w:uiPriority w:val="0"/>
    <w:pPr>
      <w:keepNext/>
      <w:jc w:val="center"/>
      <w:outlineLvl w:val="5"/>
    </w:pPr>
    <w:rPr>
      <w:b/>
      <w:kern w:val="0"/>
      <w:sz w:val="44"/>
      <w:szCs w:val="20"/>
    </w:rPr>
  </w:style>
  <w:style w:type="paragraph" w:styleId="10">
    <w:name w:val="heading 7"/>
    <w:basedOn w:val="1"/>
    <w:next w:val="1"/>
    <w:qFormat/>
    <w:uiPriority w:val="0"/>
    <w:pPr>
      <w:keepNext/>
      <w:keepLines/>
      <w:spacing w:before="240" w:after="64" w:line="319" w:lineRule="auto"/>
      <w:outlineLvl w:val="6"/>
    </w:pPr>
    <w:rPr>
      <w:b/>
      <w:bCs/>
      <w:kern w:val="0"/>
      <w:sz w:val="24"/>
    </w:rPr>
  </w:style>
  <w:style w:type="paragraph" w:styleId="11">
    <w:name w:val="heading 8"/>
    <w:basedOn w:val="1"/>
    <w:next w:val="1"/>
    <w:qFormat/>
    <w:uiPriority w:val="0"/>
    <w:pPr>
      <w:keepNext/>
      <w:keepLines/>
      <w:spacing w:before="240" w:after="64" w:line="319" w:lineRule="auto"/>
      <w:outlineLvl w:val="7"/>
    </w:pPr>
    <w:rPr>
      <w:rFonts w:ascii="Arial" w:hAnsi="Arial" w:eastAsia="黑体"/>
      <w:kern w:val="0"/>
      <w:sz w:val="24"/>
    </w:rPr>
  </w:style>
  <w:style w:type="paragraph" w:styleId="12">
    <w:name w:val="heading 9"/>
    <w:basedOn w:val="1"/>
    <w:next w:val="1"/>
    <w:qFormat/>
    <w:uiPriority w:val="0"/>
    <w:pPr>
      <w:keepNext/>
      <w:keepLines/>
      <w:spacing w:before="240" w:after="64" w:line="319" w:lineRule="auto"/>
      <w:outlineLvl w:val="8"/>
    </w:pPr>
    <w:rPr>
      <w:rFonts w:ascii="Arial" w:hAnsi="Arial" w:eastAsia="黑体"/>
      <w:kern w:val="0"/>
      <w:sz w:val="24"/>
      <w:szCs w:val="21"/>
    </w:rPr>
  </w:style>
  <w:style w:type="character" w:default="1" w:styleId="42">
    <w:name w:val="Default Paragraph Font"/>
    <w:uiPriority w:val="0"/>
  </w:style>
  <w:style w:type="table" w:default="1" w:styleId="40">
    <w:name w:val="Normal Table"/>
    <w:unhideWhenUsed/>
    <w:qFormat/>
    <w:uiPriority w:val="99"/>
    <w:tblPr>
      <w:tblCellMar>
        <w:top w:w="0" w:type="dxa"/>
        <w:left w:w="108" w:type="dxa"/>
        <w:bottom w:w="0" w:type="dxa"/>
        <w:right w:w="108" w:type="dxa"/>
      </w:tblCellMar>
    </w:tblPr>
  </w:style>
  <w:style w:type="paragraph" w:customStyle="1" w:styleId="3">
    <w:name w:val="样式 正文缩进 + 首行缩进:  2 字符"/>
    <w:basedOn w:val="4"/>
    <w:uiPriority w:val="0"/>
    <w:pPr>
      <w:spacing w:line="360" w:lineRule="auto"/>
      <w:ind w:firstLine="200"/>
    </w:pPr>
    <w:rPr>
      <w:rFonts w:cs="宋体"/>
      <w:sz w:val="24"/>
    </w:rPr>
  </w:style>
  <w:style w:type="paragraph" w:styleId="4">
    <w:name w:val="Normal Indent"/>
    <w:basedOn w:val="1"/>
    <w:uiPriority w:val="0"/>
    <w:pPr>
      <w:ind w:firstLine="420"/>
    </w:pPr>
    <w:rPr>
      <w:kern w:val="0"/>
      <w:sz w:val="20"/>
      <w:szCs w:val="20"/>
    </w:rPr>
  </w:style>
  <w:style w:type="paragraph" w:styleId="13">
    <w:name w:val="caption"/>
    <w:next w:val="1"/>
    <w:qFormat/>
    <w:uiPriority w:val="0"/>
    <w:pPr>
      <w:widowControl w:val="0"/>
      <w:spacing w:before="340" w:after="330" w:line="578" w:lineRule="auto"/>
      <w:jc w:val="both"/>
    </w:pPr>
    <w:rPr>
      <w:rFonts w:ascii="Cambria" w:hAnsi="Cambria" w:eastAsia="黑体" w:cs="Times New Roman"/>
      <w:kern w:val="2"/>
      <w:lang w:val="en-US" w:eastAsia="zh-CN" w:bidi="ar-SA"/>
    </w:rPr>
  </w:style>
  <w:style w:type="paragraph" w:styleId="14">
    <w:name w:val="Document Map"/>
    <w:basedOn w:val="1"/>
    <w:uiPriority w:val="0"/>
    <w:pPr>
      <w:shd w:val="clear" w:color="auto" w:fill="000080"/>
    </w:pPr>
    <w:rPr>
      <w:kern w:val="0"/>
      <w:sz w:val="20"/>
    </w:rPr>
  </w:style>
  <w:style w:type="paragraph" w:styleId="15">
    <w:name w:val="annotation text"/>
    <w:basedOn w:val="1"/>
    <w:uiPriority w:val="0"/>
    <w:pPr>
      <w:jc w:val="left"/>
    </w:pPr>
  </w:style>
  <w:style w:type="paragraph" w:styleId="16">
    <w:name w:val="Body Text 3"/>
    <w:basedOn w:val="1"/>
    <w:uiPriority w:val="0"/>
    <w:pPr>
      <w:spacing w:after="120"/>
    </w:pPr>
    <w:rPr>
      <w:kern w:val="0"/>
      <w:sz w:val="16"/>
      <w:szCs w:val="16"/>
    </w:rPr>
  </w:style>
  <w:style w:type="paragraph" w:styleId="17">
    <w:name w:val="Body Text"/>
    <w:basedOn w:val="1"/>
    <w:next w:val="18"/>
    <w:uiPriority w:val="0"/>
    <w:rPr>
      <w:rFonts w:ascii="仿宋_GB2312" w:eastAsia="仿宋_GB2312"/>
      <w:kern w:val="0"/>
      <w:sz w:val="24"/>
      <w:szCs w:val="20"/>
    </w:rPr>
  </w:style>
  <w:style w:type="paragraph" w:customStyle="1" w:styleId="18">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9">
    <w:name w:val="Body Text Indent"/>
    <w:basedOn w:val="1"/>
    <w:next w:val="20"/>
    <w:uiPriority w:val="0"/>
    <w:pPr>
      <w:ind w:left="765"/>
    </w:pPr>
    <w:rPr>
      <w:rFonts w:ascii="仿宋_GB2312" w:eastAsia="仿宋_GB2312"/>
      <w:kern w:val="0"/>
      <w:sz w:val="28"/>
      <w:szCs w:val="20"/>
    </w:rPr>
  </w:style>
  <w:style w:type="paragraph" w:styleId="20">
    <w:name w:val="envelope return"/>
    <w:basedOn w:val="1"/>
    <w:uiPriority w:val="0"/>
    <w:pPr>
      <w:snapToGrid w:val="0"/>
    </w:pPr>
    <w:rPr>
      <w:rFonts w:ascii="Arial" w:hAnsi="Arial" w:eastAsia="楷体_GB2312"/>
      <w:sz w:val="26"/>
      <w:szCs w:val="20"/>
    </w:rPr>
  </w:style>
  <w:style w:type="paragraph" w:styleId="21">
    <w:name w:val="toc 3"/>
    <w:basedOn w:val="1"/>
    <w:next w:val="1"/>
    <w:qFormat/>
    <w:uiPriority w:val="0"/>
    <w:pPr>
      <w:widowControl/>
      <w:spacing w:after="100" w:line="276" w:lineRule="auto"/>
      <w:ind w:left="440"/>
      <w:jc w:val="left"/>
    </w:pPr>
    <w:rPr>
      <w:rFonts w:ascii="Calibri" w:hAnsi="Calibri"/>
      <w:kern w:val="0"/>
      <w:sz w:val="22"/>
      <w:szCs w:val="22"/>
    </w:rPr>
  </w:style>
  <w:style w:type="paragraph" w:styleId="22">
    <w:name w:val="Plain Text"/>
    <w:basedOn w:val="1"/>
    <w:qFormat/>
    <w:uiPriority w:val="0"/>
    <w:rPr>
      <w:rFonts w:ascii="宋体"/>
      <w:kern w:val="0"/>
      <w:sz w:val="20"/>
      <w:szCs w:val="21"/>
    </w:rPr>
  </w:style>
  <w:style w:type="paragraph" w:styleId="23">
    <w:name w:val="Date"/>
    <w:basedOn w:val="1"/>
    <w:next w:val="1"/>
    <w:qFormat/>
    <w:uiPriority w:val="0"/>
    <w:rPr>
      <w:kern w:val="0"/>
      <w:sz w:val="24"/>
      <w:szCs w:val="20"/>
    </w:rPr>
  </w:style>
  <w:style w:type="paragraph" w:styleId="24">
    <w:name w:val="Body Text Indent 2"/>
    <w:basedOn w:val="1"/>
    <w:qFormat/>
    <w:uiPriority w:val="0"/>
    <w:pPr>
      <w:spacing w:line="500" w:lineRule="exact"/>
      <w:ind w:firstLine="200" w:firstLineChars="200"/>
    </w:pPr>
    <w:rPr>
      <w:rFonts w:eastAsia="仿宋_GB2312"/>
      <w:kern w:val="0"/>
      <w:sz w:val="28"/>
      <w:szCs w:val="20"/>
    </w:rPr>
  </w:style>
  <w:style w:type="paragraph" w:styleId="25">
    <w:name w:val="Balloon Text"/>
    <w:basedOn w:val="1"/>
    <w:qFormat/>
    <w:uiPriority w:val="0"/>
    <w:rPr>
      <w:kern w:val="0"/>
      <w:sz w:val="18"/>
      <w:szCs w:val="18"/>
    </w:rPr>
  </w:style>
  <w:style w:type="paragraph" w:styleId="26">
    <w:name w:val="footer"/>
    <w:basedOn w:val="1"/>
    <w:qFormat/>
    <w:uiPriority w:val="0"/>
    <w:pPr>
      <w:tabs>
        <w:tab w:val="center" w:pos="4153"/>
        <w:tab w:val="right" w:pos="8306"/>
      </w:tabs>
      <w:snapToGrid w:val="0"/>
      <w:jc w:val="left"/>
    </w:pPr>
    <w:rPr>
      <w:kern w:val="0"/>
      <w:sz w:val="18"/>
      <w:szCs w:val="20"/>
    </w:rPr>
  </w:style>
  <w:style w:type="paragraph" w:styleId="2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0"/>
    <w:rPr>
      <w:sz w:val="24"/>
    </w:rPr>
  </w:style>
  <w:style w:type="paragraph" w:styleId="29">
    <w:name w:val="toc 4"/>
    <w:basedOn w:val="1"/>
    <w:next w:val="1"/>
    <w:qFormat/>
    <w:uiPriority w:val="0"/>
    <w:pPr>
      <w:ind w:left="600" w:leftChars="600"/>
    </w:pPr>
  </w:style>
  <w:style w:type="paragraph" w:styleId="30">
    <w:name w:val="List"/>
    <w:basedOn w:val="1"/>
    <w:qFormat/>
    <w:uiPriority w:val="0"/>
    <w:pPr>
      <w:ind w:left="200" w:hanging="200" w:hangingChars="200"/>
    </w:pPr>
  </w:style>
  <w:style w:type="paragraph" w:styleId="31">
    <w:name w:val="Body Text Indent 3"/>
    <w:basedOn w:val="1"/>
    <w:qFormat/>
    <w:uiPriority w:val="0"/>
    <w:pPr>
      <w:spacing w:after="120"/>
      <w:ind w:left="200" w:leftChars="200"/>
    </w:pPr>
    <w:rPr>
      <w:kern w:val="0"/>
      <w:sz w:val="16"/>
      <w:szCs w:val="16"/>
    </w:rPr>
  </w:style>
  <w:style w:type="paragraph" w:styleId="32">
    <w:name w:val="toc 2"/>
    <w:basedOn w:val="1"/>
    <w:next w:val="1"/>
    <w:qFormat/>
    <w:uiPriority w:val="0"/>
    <w:pPr>
      <w:ind w:left="200" w:leftChars="200"/>
    </w:pPr>
  </w:style>
  <w:style w:type="paragraph" w:styleId="33">
    <w:name w:val="Body Text 2"/>
    <w:basedOn w:val="1"/>
    <w:qFormat/>
    <w:uiPriority w:val="0"/>
    <w:pPr>
      <w:snapToGrid w:val="0"/>
    </w:pPr>
    <w:rPr>
      <w:b/>
      <w:bCs/>
      <w:kern w:val="0"/>
      <w:sz w:val="18"/>
    </w:rPr>
  </w:style>
  <w:style w:type="paragraph" w:styleId="34">
    <w:name w:val="Normal (Web)"/>
    <w:basedOn w:val="1"/>
    <w:qFormat/>
    <w:uiPriority w:val="0"/>
    <w:pPr>
      <w:widowControl/>
      <w:spacing w:before="100" w:beforeAutospacing="1" w:after="100" w:afterAutospacing="1"/>
      <w:jc w:val="left"/>
    </w:pPr>
    <w:rPr>
      <w:rFonts w:ascii="宋体"/>
      <w:color w:val="000000"/>
      <w:kern w:val="0"/>
      <w:sz w:val="24"/>
    </w:rPr>
  </w:style>
  <w:style w:type="paragraph" w:styleId="35">
    <w:name w:val="index 1"/>
    <w:basedOn w:val="1"/>
    <w:next w:val="1"/>
    <w:qFormat/>
    <w:uiPriority w:val="0"/>
    <w:pPr>
      <w:spacing w:line="360" w:lineRule="auto"/>
      <w:ind w:firstLine="200" w:firstLineChars="200"/>
    </w:pPr>
    <w:rPr>
      <w:rFonts w:cs="Arial"/>
      <w:sz w:val="24"/>
      <w:szCs w:val="21"/>
    </w:rPr>
  </w:style>
  <w:style w:type="paragraph" w:styleId="36">
    <w:name w:val="Title"/>
    <w:basedOn w:val="1"/>
    <w:next w:val="1"/>
    <w:qFormat/>
    <w:uiPriority w:val="0"/>
    <w:pPr>
      <w:spacing w:before="240" w:after="60"/>
      <w:jc w:val="center"/>
      <w:outlineLvl w:val="0"/>
    </w:pPr>
    <w:rPr>
      <w:rFonts w:ascii="Cambria" w:hAnsi="Cambria"/>
      <w:b/>
      <w:bCs/>
      <w:sz w:val="32"/>
      <w:szCs w:val="32"/>
    </w:rPr>
  </w:style>
  <w:style w:type="paragraph" w:styleId="37">
    <w:name w:val="annotation subject"/>
    <w:basedOn w:val="15"/>
    <w:next w:val="15"/>
    <w:qFormat/>
    <w:uiPriority w:val="0"/>
    <w:rPr>
      <w:b/>
      <w:bCs/>
    </w:rPr>
  </w:style>
  <w:style w:type="paragraph" w:styleId="38">
    <w:name w:val="Body Text First Indent"/>
    <w:basedOn w:val="17"/>
    <w:qFormat/>
    <w:uiPriority w:val="0"/>
    <w:pPr>
      <w:spacing w:after="120"/>
      <w:ind w:firstLine="100" w:firstLineChars="100"/>
    </w:pPr>
    <w:rPr>
      <w:rFonts w:ascii="Times New Roman" w:eastAsia="宋体"/>
      <w:szCs w:val="24"/>
    </w:rPr>
  </w:style>
  <w:style w:type="paragraph" w:styleId="39">
    <w:name w:val="Body Text First Indent 2"/>
    <w:basedOn w:val="19"/>
    <w:next w:val="31"/>
    <w:qFormat/>
    <w:uiPriority w:val="0"/>
    <w:pPr>
      <w:spacing w:after="120"/>
      <w:ind w:left="200" w:leftChars="200" w:firstLine="200" w:firstLineChars="200"/>
    </w:pPr>
    <w:rPr>
      <w:kern w:val="2"/>
      <w:sz w:val="21"/>
      <w:szCs w:val="24"/>
    </w:rPr>
  </w:style>
  <w:style w:type="table" w:styleId="41">
    <w:name w:val="Table Grid"/>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bCs/>
    </w:rPr>
  </w:style>
  <w:style w:type="character" w:styleId="44">
    <w:name w:val="page number"/>
    <w:qFormat/>
    <w:uiPriority w:val="0"/>
  </w:style>
  <w:style w:type="character" w:styleId="45">
    <w:name w:val="FollowedHyperlink"/>
    <w:qFormat/>
    <w:uiPriority w:val="0"/>
    <w:rPr>
      <w:color w:val="800080"/>
      <w:u w:val="single"/>
    </w:rPr>
  </w:style>
  <w:style w:type="character" w:styleId="46">
    <w:name w:val="Emphasis"/>
    <w:qFormat/>
    <w:uiPriority w:val="0"/>
    <w:rPr>
      <w:color w:val="CC0000"/>
    </w:rPr>
  </w:style>
  <w:style w:type="character" w:styleId="47">
    <w:name w:val="HTML Typewriter"/>
    <w:qFormat/>
    <w:uiPriority w:val="0"/>
    <w:rPr>
      <w:rFonts w:ascii="黑体" w:hAnsi="Courier New" w:eastAsia="黑体" w:cs="Courier New"/>
      <w:sz w:val="14"/>
      <w:szCs w:val="14"/>
    </w:rPr>
  </w:style>
  <w:style w:type="character" w:styleId="48">
    <w:name w:val="Hyperlink"/>
    <w:qFormat/>
    <w:uiPriority w:val="0"/>
    <w:rPr>
      <w:color w:val="0000FF"/>
      <w:u w:val="single"/>
    </w:rPr>
  </w:style>
  <w:style w:type="character" w:styleId="49">
    <w:name w:val="annotation reference"/>
    <w:qFormat/>
    <w:uiPriority w:val="0"/>
    <w:rPr>
      <w:sz w:val="21"/>
      <w:szCs w:val="21"/>
    </w:rPr>
  </w:style>
  <w:style w:type="character" w:customStyle="1" w:styleId="50">
    <w:name w:val="标题 1 字符"/>
    <w:uiPriority w:val="0"/>
    <w:rPr>
      <w:rFonts w:ascii="Times New Roman" w:hAnsi="Times New Roman" w:eastAsia="黑体"/>
      <w:bCs/>
      <w:sz w:val="28"/>
      <w:szCs w:val="44"/>
    </w:rPr>
  </w:style>
  <w:style w:type="character" w:customStyle="1" w:styleId="51">
    <w:name w:val="标题 3 字符"/>
    <w:uiPriority w:val="0"/>
    <w:rPr>
      <w:rFonts w:ascii="Times New Roman" w:hAnsi="Times New Roman"/>
      <w:b/>
      <w:bCs/>
      <w:kern w:val="2"/>
      <w:sz w:val="24"/>
      <w:szCs w:val="32"/>
    </w:rPr>
  </w:style>
  <w:style w:type="paragraph" w:customStyle="1" w:styleId="52">
    <w:name w:val="大标题"/>
    <w:basedOn w:val="1"/>
    <w:next w:val="1"/>
    <w:uiPriority w:val="0"/>
    <w:pPr>
      <w:keepNext/>
      <w:keepLines/>
      <w:numPr>
        <w:ilvl w:val="0"/>
        <w:numId w:val="1"/>
      </w:numPr>
      <w:adjustRightInd w:val="0"/>
      <w:spacing w:line="360" w:lineRule="auto"/>
      <w:outlineLvl w:val="0"/>
    </w:pPr>
    <w:rPr>
      <w:rFonts w:eastAsia="黑体"/>
      <w:bCs/>
      <w:kern w:val="44"/>
      <w:sz w:val="28"/>
      <w:szCs w:val="44"/>
    </w:rPr>
  </w:style>
  <w:style w:type="paragraph" w:customStyle="1" w:styleId="53">
    <w:name w:val="无间隔1"/>
    <w:uiPriority w:val="0"/>
    <w:rPr>
      <w:rFonts w:ascii="Times New Roman" w:hAnsi="Times New Roman" w:eastAsia="宋体" w:cs="Calibri"/>
      <w:sz w:val="22"/>
      <w:lang w:val="en-US" w:eastAsia="zh-CN" w:bidi="ar-SA"/>
    </w:rPr>
  </w:style>
  <w:style w:type="character" w:customStyle="1" w:styleId="54">
    <w:name w:val="cn_text1"/>
    <w:uiPriority w:val="0"/>
    <w:rPr>
      <w:rFonts w:ascii="ˎ̥" w:hAnsi="ˎ̥"/>
      <w:color w:val="003399"/>
      <w:spacing w:val="15"/>
      <w:sz w:val="18"/>
      <w:szCs w:val="18"/>
    </w:rPr>
  </w:style>
  <w:style w:type="character" w:customStyle="1" w:styleId="55">
    <w:name w:val=" Char Char16"/>
    <w:uiPriority w:val="0"/>
    <w:rPr>
      <w:rFonts w:ascii="Times New Roman" w:hAnsi="Times New Roman" w:eastAsia="宋体" w:cs="Times New Roman"/>
      <w:b/>
      <w:bCs/>
      <w:sz w:val="24"/>
      <w:szCs w:val="24"/>
      <w:lang w:bidi="ar-SA"/>
    </w:rPr>
  </w:style>
  <w:style w:type="character" w:customStyle="1" w:styleId="56">
    <w:name w:val="未处理的提及"/>
    <w:uiPriority w:val="0"/>
    <w:rPr>
      <w:color w:val="605E5C"/>
      <w:shd w:val="clear" w:color="auto" w:fill="E1DFDD"/>
    </w:rPr>
  </w:style>
  <w:style w:type="character" w:customStyle="1" w:styleId="57">
    <w:name w:val="批注文字 Char2"/>
    <w:qFormat/>
    <w:uiPriority w:val="0"/>
    <w:rPr>
      <w:kern w:val="2"/>
      <w:sz w:val="21"/>
      <w:szCs w:val="24"/>
    </w:rPr>
  </w:style>
  <w:style w:type="character" w:customStyle="1" w:styleId="58">
    <w:name w:val="标题 6 字符"/>
    <w:uiPriority w:val="0"/>
    <w:rPr>
      <w:rFonts w:ascii="Cambria" w:hAnsi="Cambria" w:eastAsia="宋体" w:cs="Times New Roman"/>
      <w:bCs/>
      <w:kern w:val="24"/>
      <w:sz w:val="24"/>
      <w:szCs w:val="24"/>
      <w:lang w:bidi="ar-SA"/>
    </w:rPr>
  </w:style>
  <w:style w:type="character" w:customStyle="1" w:styleId="59">
    <w:name w:val="正文缩进 字符"/>
    <w:uiPriority w:val="0"/>
    <w:rPr>
      <w:rFonts w:ascii="Verdana" w:hAnsi="Verdana" w:cs="宋体"/>
      <w:kern w:val="2"/>
      <w:sz w:val="24"/>
      <w:szCs w:val="28"/>
      <w:lang w:bidi="ar-SA"/>
    </w:rPr>
  </w:style>
  <w:style w:type="character" w:customStyle="1" w:styleId="60">
    <w:name w:val="正文文本 (2)_"/>
    <w:uiPriority w:val="0"/>
    <w:rPr>
      <w:rFonts w:ascii="黑体" w:eastAsia="黑体" w:cs="黑体"/>
      <w:sz w:val="30"/>
      <w:szCs w:val="30"/>
      <w:u w:val="none"/>
      <w:lang w:bidi="ar-SA"/>
    </w:rPr>
  </w:style>
  <w:style w:type="character" w:customStyle="1" w:styleId="61">
    <w:name w:val="font21"/>
    <w:uiPriority w:val="0"/>
    <w:rPr>
      <w:rFonts w:ascii="宋体" w:eastAsia="宋体" w:cs="宋体"/>
      <w:color w:val="0000FF"/>
      <w:sz w:val="20"/>
      <w:szCs w:val="20"/>
      <w:u w:val="none"/>
      <w:lang w:bidi="ar-SA"/>
    </w:rPr>
  </w:style>
  <w:style w:type="paragraph" w:customStyle="1" w:styleId="62">
    <w:name w:val="标1、"/>
    <w:basedOn w:val="2"/>
    <w:uiPriority w:val="0"/>
    <w:pPr>
      <w:numPr>
        <w:ilvl w:val="1"/>
        <w:numId w:val="1"/>
      </w:numPr>
      <w:adjustRightInd w:val="0"/>
      <w:spacing w:before="0" w:after="0" w:line="360" w:lineRule="auto"/>
      <w:ind w:left="0"/>
      <w:outlineLvl w:val="1"/>
    </w:pPr>
    <w:rPr>
      <w:rFonts w:eastAsia="黑体"/>
      <w:b w:val="0"/>
      <w:kern w:val="0"/>
      <w:sz w:val="28"/>
    </w:rPr>
  </w:style>
  <w:style w:type="character" w:customStyle="1" w:styleId="63">
    <w:name w:val="正文缩进 Char"/>
    <w:uiPriority w:val="0"/>
    <w:rPr>
      <w:kern w:val="2"/>
      <w:sz w:val="21"/>
      <w:szCs w:val="21"/>
      <w:lang w:bidi="ar-SA"/>
    </w:rPr>
  </w:style>
  <w:style w:type="character" w:customStyle="1" w:styleId="64">
    <w:name w:val="正文文本 (2)"/>
    <w:uiPriority w:val="0"/>
    <w:rPr>
      <w:rFonts w:ascii="黑体" w:eastAsia="黑体" w:cs="黑体"/>
      <w:color w:val="000000"/>
      <w:spacing w:val="0"/>
      <w:w w:val="100"/>
      <w:position w:val="0"/>
      <w:sz w:val="30"/>
      <w:szCs w:val="30"/>
      <w:u w:val="none"/>
      <w:lang w:val="zh-TW" w:eastAsia="zh-TW" w:bidi="zh-TW"/>
    </w:rPr>
  </w:style>
  <w:style w:type="paragraph" w:styleId="65">
    <w:name w:val="List Paragraph"/>
    <w:basedOn w:val="1"/>
    <w:qFormat/>
    <w:uiPriority w:val="0"/>
    <w:pPr>
      <w:ind w:firstLine="200" w:firstLineChars="200"/>
    </w:pPr>
    <w:rPr>
      <w:kern w:val="0"/>
      <w:sz w:val="20"/>
      <w:szCs w:val="20"/>
    </w:rPr>
  </w:style>
  <w:style w:type="paragraph" w:customStyle="1" w:styleId="66">
    <w:name w:val="3级标题"/>
    <w:basedOn w:val="1"/>
    <w:uiPriority w:val="0"/>
    <w:pPr>
      <w:keepLines/>
      <w:spacing w:line="360" w:lineRule="auto"/>
      <w:contextualSpacing/>
      <w:jc w:val="left"/>
      <w:outlineLvl w:val="3"/>
    </w:pPr>
    <w:rPr>
      <w:b/>
      <w:kern w:val="0"/>
      <w:sz w:val="24"/>
      <w:lang w:bidi="en-US"/>
    </w:rPr>
  </w:style>
  <w:style w:type="paragraph" w:customStyle="1" w:styleId="67">
    <w:name w:val="标3"/>
    <w:basedOn w:val="6"/>
    <w:uiPriority w:val="0"/>
    <w:pPr>
      <w:numPr>
        <w:ilvl w:val="3"/>
        <w:numId w:val="1"/>
      </w:numPr>
      <w:spacing w:before="0" w:after="0" w:line="360" w:lineRule="auto"/>
      <w:outlineLvl w:val="3"/>
    </w:pPr>
    <w:rPr>
      <w:rFonts w:eastAsia="黑体"/>
      <w:b w:val="0"/>
      <w:kern w:val="2"/>
      <w:sz w:val="24"/>
    </w:rPr>
  </w:style>
  <w:style w:type="paragraph" w:customStyle="1" w:styleId="68">
    <w:name w:val="第X章"/>
    <w:basedOn w:val="52"/>
    <w:uiPriority w:val="0"/>
    <w:pPr>
      <w:pageBreakBefore/>
    </w:pPr>
  </w:style>
  <w:style w:type="paragraph" w:customStyle="1" w:styleId="69">
    <w:name w:val="_Style 285"/>
    <w:basedOn w:val="1"/>
    <w:next w:val="1"/>
    <w:qFormat/>
    <w:uiPriority w:val="0"/>
    <w:pPr>
      <w:spacing w:line="360" w:lineRule="auto"/>
      <w:ind w:left="840" w:firstLine="200" w:firstLineChars="200"/>
      <w:jc w:val="left"/>
    </w:pPr>
    <w:rPr>
      <w:kern w:val="0"/>
      <w:sz w:val="24"/>
      <w:szCs w:val="20"/>
    </w:rPr>
  </w:style>
  <w:style w:type="character" w:customStyle="1" w:styleId="70">
    <w:name w:val="标题 2 字符"/>
    <w:uiPriority w:val="0"/>
    <w:rPr>
      <w:rFonts w:ascii="Times New Roman" w:hAnsi="Times New Roman" w:eastAsia="黑体" w:cs="Times New Roman"/>
      <w:bCs/>
      <w:kern w:val="2"/>
      <w:sz w:val="28"/>
      <w:szCs w:val="32"/>
      <w:lang w:bidi="ar-SA"/>
    </w:rPr>
  </w:style>
  <w:style w:type="character" w:customStyle="1" w:styleId="71">
    <w:name w:val="批注框文本 Char1"/>
    <w:uiPriority w:val="0"/>
    <w:rPr>
      <w:rFonts w:ascii="Times New Roman" w:hAnsi="Times New Roman" w:eastAsia="宋体" w:cs="Times New Roman"/>
      <w:sz w:val="18"/>
      <w:szCs w:val="18"/>
      <w:lang w:bidi="ar-SA"/>
    </w:rPr>
  </w:style>
  <w:style w:type="character" w:customStyle="1" w:styleId="72">
    <w:name w:val="textcontents"/>
    <w:uiPriority w:val="0"/>
  </w:style>
  <w:style w:type="character" w:customStyle="1" w:styleId="73">
    <w:name w:val="标题 8 字符"/>
    <w:uiPriority w:val="0"/>
    <w:rPr>
      <w:rFonts w:ascii="Cambria" w:hAnsi="Cambria" w:eastAsia="宋体" w:cs="Times New Roman"/>
      <w:sz w:val="24"/>
      <w:szCs w:val="24"/>
      <w:lang w:bidi="ar-SA"/>
    </w:rPr>
  </w:style>
  <w:style w:type="paragraph" w:customStyle="1" w:styleId="74">
    <w:name w:val="正文1"/>
    <w:basedOn w:val="1"/>
    <w:uiPriority w:val="0"/>
    <w:pPr>
      <w:autoSpaceDE w:val="0"/>
      <w:autoSpaceDN w:val="0"/>
      <w:adjustRightInd w:val="0"/>
      <w:spacing w:line="360" w:lineRule="auto"/>
      <w:ind w:firstLine="200" w:firstLineChars="200"/>
    </w:pPr>
    <w:rPr>
      <w:rFonts w:ascii="宋体"/>
      <w:color w:val="000000"/>
      <w:kern w:val="0"/>
      <w:sz w:val="24"/>
      <w:szCs w:val="20"/>
    </w:rPr>
  </w:style>
  <w:style w:type="paragraph" w:customStyle="1" w:styleId="75">
    <w:name w:val="5 正文"/>
    <w:next w:val="1"/>
    <w:uiPriority w:val="0"/>
    <w:pPr>
      <w:adjustRightInd w:val="0"/>
      <w:spacing w:line="360" w:lineRule="auto"/>
      <w:ind w:firstLine="200" w:firstLineChars="200"/>
    </w:pPr>
    <w:rPr>
      <w:rFonts w:ascii="仿宋_GB2312" w:hAnsi="仿宋_GB2312" w:eastAsia="宋体" w:cs="黑体"/>
      <w:kern w:val="2"/>
      <w:sz w:val="24"/>
      <w:szCs w:val="28"/>
      <w:lang w:val="en-US" w:eastAsia="zh-CN" w:bidi="ar-SA"/>
    </w:rPr>
  </w:style>
  <w:style w:type="character" w:customStyle="1" w:styleId="76">
    <w:name w:val="font131"/>
    <w:uiPriority w:val="0"/>
    <w:rPr>
      <w:rFonts w:ascii="宋体" w:eastAsia="宋体" w:cs="宋体"/>
      <w:b/>
      <w:color w:val="000000"/>
      <w:sz w:val="20"/>
      <w:szCs w:val="20"/>
      <w:u w:val="none"/>
      <w:lang w:bidi="ar-SA"/>
    </w:rPr>
  </w:style>
  <w:style w:type="character" w:customStyle="1" w:styleId="77">
    <w:name w:val="页眉 字符"/>
    <w:uiPriority w:val="0"/>
    <w:rPr>
      <w:sz w:val="18"/>
      <w:szCs w:val="18"/>
    </w:rPr>
  </w:style>
  <w:style w:type="character" w:customStyle="1" w:styleId="78">
    <w:name w:val="批注主题 Char1"/>
    <w:uiPriority w:val="0"/>
    <w:rPr>
      <w:b/>
      <w:bCs/>
      <w:kern w:val="2"/>
      <w:sz w:val="21"/>
      <w:szCs w:val="24"/>
    </w:rPr>
  </w:style>
  <w:style w:type="character" w:customStyle="1" w:styleId="79">
    <w:name w:val="未处理的提及2"/>
    <w:uiPriority w:val="0"/>
    <w:rPr>
      <w:color w:val="808080"/>
      <w:shd w:val="clear" w:color="auto" w:fill="E6E6E6"/>
    </w:rPr>
  </w:style>
  <w:style w:type="paragraph" w:customStyle="1" w:styleId="80">
    <w:name w:val="标5"/>
    <w:basedOn w:val="8"/>
    <w:uiPriority w:val="0"/>
    <w:pPr>
      <w:numPr>
        <w:ilvl w:val="5"/>
        <w:numId w:val="1"/>
      </w:numPr>
      <w:spacing w:before="0" w:after="0" w:line="360" w:lineRule="auto"/>
      <w:ind w:left="0"/>
      <w:outlineLvl w:val="5"/>
    </w:pPr>
    <w:rPr>
      <w:b w:val="0"/>
      <w:kern w:val="2"/>
      <w:sz w:val="24"/>
    </w:rPr>
  </w:style>
  <w:style w:type="character" w:customStyle="1" w:styleId="81">
    <w:name w:val="标题 9 字符"/>
    <w:uiPriority w:val="0"/>
    <w:rPr>
      <w:rFonts w:ascii="Cambria" w:hAnsi="Cambria" w:eastAsia="宋体" w:cs="Times New Roman"/>
      <w:szCs w:val="21"/>
      <w:lang w:bidi="ar-SA"/>
    </w:rPr>
  </w:style>
  <w:style w:type="paragraph" w:customStyle="1" w:styleId="82">
    <w:name w:val=" Char"/>
    <w:basedOn w:val="1"/>
    <w:uiPriority w:val="0"/>
    <w:rPr>
      <w:rFonts w:ascii="Tahoma" w:hAnsi="Tahoma"/>
      <w:sz w:val="24"/>
      <w:szCs w:val="20"/>
    </w:rPr>
  </w:style>
  <w:style w:type="character" w:customStyle="1" w:styleId="83">
    <w:name w:val="批注主题 Char2"/>
    <w:uiPriority w:val="0"/>
    <w:rPr>
      <w:b/>
      <w:bCs/>
      <w:kern w:val="2"/>
      <w:sz w:val="21"/>
      <w:szCs w:val="24"/>
    </w:rPr>
  </w:style>
  <w:style w:type="character" w:customStyle="1" w:styleId="84">
    <w:name w:val="font121"/>
    <w:uiPriority w:val="0"/>
    <w:rPr>
      <w:rFonts w:ascii="宋体" w:eastAsia="宋体" w:cs="宋体"/>
      <w:color w:val="000000"/>
      <w:sz w:val="21"/>
      <w:szCs w:val="21"/>
      <w:u w:val="none"/>
      <w:lang w:bidi="ar-SA"/>
    </w:rPr>
  </w:style>
  <w:style w:type="character" w:customStyle="1" w:styleId="85">
    <w:name w:val="font151"/>
    <w:uiPriority w:val="0"/>
    <w:rPr>
      <w:rFonts w:ascii="宋体" w:eastAsia="宋体" w:cs="宋体"/>
      <w:color w:val="000000"/>
      <w:sz w:val="18"/>
      <w:szCs w:val="18"/>
      <w:u w:val="none"/>
      <w:lang w:bidi="ar-SA"/>
    </w:rPr>
  </w:style>
  <w:style w:type="character" w:customStyle="1" w:styleId="86">
    <w:name w:val="font41"/>
    <w:uiPriority w:val="0"/>
    <w:rPr>
      <w:rFonts w:ascii="宋体" w:eastAsia="宋体" w:cs="宋体"/>
      <w:b/>
      <w:color w:val="0000FF"/>
      <w:sz w:val="20"/>
      <w:szCs w:val="20"/>
      <w:u w:val="none"/>
      <w:lang w:bidi="ar-SA"/>
    </w:rPr>
  </w:style>
  <w:style w:type="character" w:customStyle="1" w:styleId="87">
    <w:name w:val="font51"/>
    <w:uiPriority w:val="0"/>
    <w:rPr>
      <w:rFonts w:ascii="宋体" w:eastAsia="宋体" w:cs="宋体"/>
      <w:color w:val="000000"/>
      <w:sz w:val="20"/>
      <w:szCs w:val="20"/>
      <w:u w:val="none"/>
      <w:lang w:bidi="ar-SA"/>
    </w:rPr>
  </w:style>
  <w:style w:type="character" w:customStyle="1" w:styleId="88">
    <w:name w:val="标题 5 字符"/>
    <w:uiPriority w:val="0"/>
    <w:rPr>
      <w:rFonts w:ascii="Times New Roman" w:hAnsi="Times New Roman"/>
      <w:b/>
      <w:bCs/>
      <w:kern w:val="2"/>
      <w:sz w:val="24"/>
      <w:szCs w:val="28"/>
    </w:rPr>
  </w:style>
  <w:style w:type="paragraph" w:customStyle="1" w:styleId="89">
    <w:name w:val="Table Heading"/>
    <w:basedOn w:val="1"/>
    <w:uiPriority w:val="0"/>
    <w:pPr>
      <w:keepNext/>
      <w:topLinePunct/>
      <w:adjustRightInd w:val="0"/>
      <w:snapToGrid w:val="0"/>
      <w:spacing w:before="80" w:after="80" w:line="240" w:lineRule="atLeast"/>
      <w:jc w:val="left"/>
    </w:pPr>
    <w:rPr>
      <w:rFonts w:ascii="Book Antiqua" w:hAnsi="Book Antiqua" w:eastAsia="黑体"/>
      <w:bCs/>
      <w:kern w:val="0"/>
      <w:szCs w:val="21"/>
    </w:rPr>
  </w:style>
  <w:style w:type="character" w:customStyle="1" w:styleId="90">
    <w:name w:val="批注文字 字符"/>
    <w:uiPriority w:val="0"/>
    <w:rPr>
      <w:rFonts w:ascii="Times New Roman" w:hAnsi="Times New Roman" w:eastAsia="宋体" w:cs="Times New Roman"/>
      <w:szCs w:val="24"/>
      <w:lang w:bidi="ar-SA"/>
    </w:rPr>
  </w:style>
  <w:style w:type="paragraph" w:customStyle="1" w:styleId="91">
    <w:name w:val="正文 首行缩进:  2 字符 Char Char Char Char Char"/>
    <w:basedOn w:val="1"/>
    <w:uiPriority w:val="0"/>
    <w:pPr>
      <w:spacing w:line="360" w:lineRule="auto"/>
      <w:ind w:firstLine="420"/>
      <w:jc w:val="left"/>
    </w:pPr>
    <w:rPr>
      <w:rFonts w:ascii="宋体"/>
      <w:sz w:val="28"/>
      <w:szCs w:val="28"/>
    </w:rPr>
  </w:style>
  <w:style w:type="paragraph" w:customStyle="1" w:styleId="92">
    <w:name w:val="2级标题"/>
    <w:basedOn w:val="1"/>
    <w:uiPriority w:val="0"/>
    <w:pPr>
      <w:keepLines/>
      <w:numPr>
        <w:ilvl w:val="1"/>
        <w:numId w:val="1"/>
      </w:numPr>
      <w:spacing w:before="240" w:after="120" w:line="360" w:lineRule="auto"/>
      <w:contextualSpacing/>
      <w:outlineLvl w:val="1"/>
    </w:pPr>
    <w:rPr>
      <w:rFonts w:ascii="黑体" w:hAnsi="黑体"/>
      <w:sz w:val="28"/>
      <w:szCs w:val="28"/>
    </w:rPr>
  </w:style>
  <w:style w:type="paragraph" w:customStyle="1" w:styleId="93">
    <w:name w:val="正文缩进2格"/>
    <w:basedOn w:val="1"/>
    <w:uiPriority w:val="0"/>
    <w:pPr>
      <w:spacing w:line="600" w:lineRule="exact"/>
      <w:ind w:firstLine="206" w:firstLineChars="206"/>
    </w:pPr>
    <w:rPr>
      <w:rFonts w:ascii="仿宋_GB2312" w:eastAsia="仿宋_GB2312"/>
      <w:kern w:val="0"/>
      <w:sz w:val="31"/>
      <w:szCs w:val="28"/>
    </w:rPr>
  </w:style>
  <w:style w:type="character" w:customStyle="1" w:styleId="94">
    <w:name w:val="font71"/>
    <w:uiPriority w:val="0"/>
    <w:rPr>
      <w:rFonts w:ascii="宋体" w:eastAsia="宋体" w:cs="宋体"/>
      <w:b/>
      <w:color w:val="000000"/>
      <w:sz w:val="20"/>
      <w:szCs w:val="20"/>
      <w:u w:val="none"/>
      <w:lang w:bidi="ar-SA"/>
    </w:rPr>
  </w:style>
  <w:style w:type="character" w:customStyle="1" w:styleId="95">
    <w:name w:val="文档结构图 字符"/>
    <w:uiPriority w:val="0"/>
    <w:rPr>
      <w:rFonts w:ascii="Times New Roman" w:hAnsi="Times New Roman" w:eastAsia="宋体" w:cs="Times New Roman"/>
      <w:szCs w:val="24"/>
      <w:shd w:val="clear" w:color="auto" w:fill="000080"/>
      <w:lang w:bidi="ar-SA"/>
    </w:rPr>
  </w:style>
  <w:style w:type="character" w:customStyle="1" w:styleId="96">
    <w:name w:val="font81"/>
    <w:uiPriority w:val="0"/>
    <w:rPr>
      <w:rFonts w:ascii="宋体" w:eastAsia="宋体" w:cs="宋体"/>
      <w:color w:val="000000"/>
      <w:sz w:val="18"/>
      <w:szCs w:val="18"/>
      <w:u w:val="none"/>
      <w:lang w:bidi="ar-SA"/>
    </w:rPr>
  </w:style>
  <w:style w:type="character" w:customStyle="1" w:styleId="97">
    <w:name w:val="mini-tree-nodetext2"/>
    <w:uiPriority w:val="0"/>
  </w:style>
  <w:style w:type="character" w:customStyle="1" w:styleId="98">
    <w:name w:val="文档结构图 Char1"/>
    <w:uiPriority w:val="0"/>
    <w:rPr>
      <w:rFonts w:ascii="宋体" w:eastAsia="宋体" w:cs="Times New Roman"/>
      <w:sz w:val="18"/>
      <w:szCs w:val="18"/>
      <w:lang w:bidi="ar-SA"/>
    </w:rPr>
  </w:style>
  <w:style w:type="character" w:customStyle="1" w:styleId="99">
    <w:name w:val="纯文本 字符"/>
    <w:uiPriority w:val="0"/>
    <w:rPr>
      <w:rFonts w:ascii="宋体" w:eastAsia="宋体" w:cs="Times New Roman"/>
      <w:szCs w:val="20"/>
      <w:lang w:bidi="ar-SA"/>
    </w:rPr>
  </w:style>
  <w:style w:type="paragraph" w:customStyle="1" w:styleId="100">
    <w:name w:val="ssss"/>
    <w:basedOn w:val="1"/>
    <w:uiPriority w:val="0"/>
    <w:pPr>
      <w:spacing w:line="360" w:lineRule="auto"/>
      <w:ind w:firstLine="200" w:firstLineChars="200"/>
    </w:pPr>
    <w:rPr>
      <w:kern w:val="0"/>
      <w:sz w:val="24"/>
    </w:rPr>
  </w:style>
  <w:style w:type="character" w:customStyle="1" w:styleId="101">
    <w:name w:val="未处理的提及1"/>
    <w:uiPriority w:val="0"/>
    <w:rPr>
      <w:color w:val="808080"/>
      <w:shd w:val="clear" w:color="auto" w:fill="E6E6E6"/>
    </w:rPr>
  </w:style>
  <w:style w:type="character" w:customStyle="1" w:styleId="102">
    <w:name w:val="font171"/>
    <w:uiPriority w:val="0"/>
    <w:rPr>
      <w:rFonts w:ascii="宋体" w:eastAsia="宋体" w:cs="宋体"/>
      <w:color w:val="0000FF"/>
      <w:sz w:val="20"/>
      <w:szCs w:val="20"/>
      <w:u w:val="none"/>
      <w:lang w:bidi="ar-SA"/>
    </w:rPr>
  </w:style>
  <w:style w:type="character" w:customStyle="1" w:styleId="103">
    <w:name w:val="point_normal1"/>
    <w:uiPriority w:val="0"/>
    <w:rPr>
      <w:rFonts w:ascii="Arial" w:hAnsi="Arial" w:cs="Arial"/>
      <w:sz w:val="16"/>
      <w:szCs w:val="16"/>
      <w:lang w:bidi="ar-SA"/>
    </w:rPr>
  </w:style>
  <w:style w:type="character" w:customStyle="1" w:styleId="104">
    <w:name w:val="标题 4 Char1"/>
    <w:uiPriority w:val="0"/>
    <w:rPr>
      <w:rFonts w:ascii="Arial" w:hAnsi="Arial" w:eastAsia="黑体"/>
      <w:b/>
      <w:bCs/>
      <w:kern w:val="2"/>
      <w:sz w:val="28"/>
      <w:szCs w:val="28"/>
      <w:lang w:val="en-US" w:eastAsia="zh-CN" w:bidi="ar-SA"/>
    </w:rPr>
  </w:style>
  <w:style w:type="character" w:customStyle="1" w:styleId="105">
    <w:name w:val="正文文本缩进 字符"/>
    <w:uiPriority w:val="0"/>
    <w:rPr>
      <w:rFonts w:ascii="宋体" w:eastAsia="宋体" w:cs="Times New Roman"/>
      <w:kern w:val="2"/>
      <w:sz w:val="24"/>
      <w:szCs w:val="22"/>
      <w:lang w:bidi="ar-SA"/>
    </w:rPr>
  </w:style>
  <w:style w:type="character" w:customStyle="1" w:styleId="106">
    <w:name w:val=" Char Char17"/>
    <w:uiPriority w:val="0"/>
    <w:rPr>
      <w:rFonts w:ascii="Times New Roman" w:hAnsi="Times New Roman" w:eastAsia="宋体" w:cs="Times New Roman"/>
      <w:b/>
      <w:sz w:val="44"/>
      <w:szCs w:val="20"/>
      <w:lang w:bidi="ar-SA"/>
    </w:rPr>
  </w:style>
  <w:style w:type="paragraph" w:customStyle="1" w:styleId="107">
    <w:name w:val="样式 ssss + 宋体 五号1"/>
    <w:basedOn w:val="100"/>
    <w:uiPriority w:val="0"/>
    <w:rPr>
      <w:rFonts w:ascii="宋体"/>
    </w:rPr>
  </w:style>
  <w:style w:type="character" w:customStyle="1" w:styleId="108">
    <w:name w:val="font161"/>
    <w:uiPriority w:val="0"/>
    <w:rPr>
      <w:rFonts w:ascii="宋体" w:eastAsia="宋体" w:cs="宋体"/>
      <w:color w:val="000000"/>
      <w:sz w:val="20"/>
      <w:szCs w:val="20"/>
      <w:u w:val="none"/>
      <w:lang w:bidi="ar-SA"/>
    </w:rPr>
  </w:style>
  <w:style w:type="character" w:customStyle="1" w:styleId="109">
    <w:name w:val="font01"/>
    <w:uiPriority w:val="0"/>
    <w:rPr>
      <w:rFonts w:ascii="宋体" w:eastAsia="宋体" w:cs="宋体"/>
      <w:b/>
      <w:color w:val="FF0000"/>
      <w:sz w:val="20"/>
      <w:szCs w:val="20"/>
      <w:u w:val="none"/>
      <w:lang w:bidi="ar-SA"/>
    </w:rPr>
  </w:style>
  <w:style w:type="paragraph" w:customStyle="1" w:styleId="110">
    <w:name w:val="FA正文"/>
    <w:basedOn w:val="1"/>
    <w:uiPriority w:val="0"/>
    <w:pPr>
      <w:tabs>
        <w:tab w:val="left" w:pos="3375"/>
      </w:tabs>
      <w:spacing w:line="440" w:lineRule="atLeast"/>
      <w:ind w:firstLine="192" w:firstLineChars="192"/>
    </w:pPr>
    <w:rPr>
      <w:rFonts w:ascii="宋体"/>
      <w:kern w:val="0"/>
      <w:sz w:val="28"/>
      <w:szCs w:val="28"/>
    </w:rPr>
  </w:style>
  <w:style w:type="paragraph" w:customStyle="1" w:styleId="111">
    <w:name w:val="标2"/>
    <w:basedOn w:val="5"/>
    <w:uiPriority w:val="0"/>
    <w:pPr>
      <w:numPr>
        <w:ilvl w:val="2"/>
        <w:numId w:val="1"/>
      </w:numPr>
      <w:outlineLvl w:val="2"/>
    </w:pPr>
    <w:rPr>
      <w:rFonts w:eastAsia="黑体"/>
      <w:b w:val="0"/>
      <w:kern w:val="2"/>
    </w:rPr>
  </w:style>
  <w:style w:type="character" w:customStyle="1" w:styleId="112">
    <w:name w:val="批注主题 字符"/>
    <w:uiPriority w:val="0"/>
    <w:rPr>
      <w:rFonts w:ascii="Times New Roman" w:hAnsi="Times New Roman" w:eastAsia="宋体" w:cs="Times New Roman"/>
      <w:b/>
      <w:bCs/>
      <w:sz w:val="24"/>
      <w:szCs w:val="24"/>
      <w:lang w:bidi="ar-SA"/>
    </w:rPr>
  </w:style>
  <w:style w:type="character" w:customStyle="1" w:styleId="113">
    <w:name w:val="标题 7 字符"/>
    <w:uiPriority w:val="0"/>
    <w:rPr>
      <w:b/>
      <w:bCs/>
      <w:sz w:val="24"/>
      <w:szCs w:val="24"/>
    </w:rPr>
  </w:style>
  <w:style w:type="paragraph" w:customStyle="1" w:styleId="114">
    <w:name w:val="4级标题"/>
    <w:basedOn w:val="1"/>
    <w:next w:val="29"/>
    <w:uiPriority w:val="0"/>
    <w:pPr>
      <w:spacing w:line="360" w:lineRule="auto"/>
      <w:outlineLvl w:val="4"/>
    </w:pPr>
    <w:rPr>
      <w:b/>
      <w:bCs/>
      <w:kern w:val="0"/>
      <w:sz w:val="24"/>
      <w:szCs w:val="32"/>
    </w:rPr>
  </w:style>
  <w:style w:type="character" w:customStyle="1" w:styleId="115">
    <w:name w:val="font101"/>
    <w:uiPriority w:val="0"/>
    <w:rPr>
      <w:rFonts w:ascii="宋体" w:eastAsia="宋体" w:cs="宋体"/>
      <w:color w:val="000000"/>
      <w:sz w:val="20"/>
      <w:szCs w:val="20"/>
      <w:u w:val="none"/>
      <w:lang w:bidi="ar-SA"/>
    </w:rPr>
  </w:style>
  <w:style w:type="paragraph" w:customStyle="1" w:styleId="116">
    <w:name w:val="Table Text"/>
    <w:basedOn w:val="1"/>
    <w:uiPriority w:val="0"/>
    <w:pPr>
      <w:topLinePunct/>
      <w:adjustRightInd w:val="0"/>
      <w:snapToGrid w:val="0"/>
      <w:spacing w:before="80" w:after="80" w:line="240" w:lineRule="atLeast"/>
      <w:jc w:val="left"/>
    </w:pPr>
    <w:rPr>
      <w:kern w:val="0"/>
      <w:szCs w:val="21"/>
    </w:rPr>
  </w:style>
  <w:style w:type="paragraph" w:customStyle="1" w:styleId="117">
    <w:name w:val="x.x"/>
    <w:basedOn w:val="6"/>
    <w:uiPriority w:val="0"/>
    <w:pPr>
      <w:spacing w:before="0" w:after="0" w:line="360" w:lineRule="auto"/>
    </w:pPr>
    <w:rPr>
      <w:rFonts w:eastAsia="黑体"/>
      <w:b w:val="0"/>
      <w:bCs w:val="0"/>
      <w:sz w:val="28"/>
      <w:szCs w:val="28"/>
    </w:rPr>
  </w:style>
  <w:style w:type="character" w:customStyle="1" w:styleId="118">
    <w:name w:val="bigfont"/>
    <w:uiPriority w:val="0"/>
  </w:style>
  <w:style w:type="character" w:customStyle="1" w:styleId="119">
    <w:name w:val="页脚 字符"/>
    <w:uiPriority w:val="0"/>
  </w:style>
  <w:style w:type="character" w:customStyle="1" w:styleId="120">
    <w:name w:val="font31"/>
    <w:uiPriority w:val="0"/>
    <w:rPr>
      <w:rFonts w:ascii="宋体" w:eastAsia="宋体" w:cs="宋体"/>
      <w:color w:val="800080"/>
      <w:sz w:val="20"/>
      <w:szCs w:val="20"/>
      <w:u w:val="none"/>
      <w:lang w:bidi="ar-SA"/>
    </w:rPr>
  </w:style>
  <w:style w:type="character" w:customStyle="1" w:styleId="121">
    <w:name w:val="ssss Char"/>
    <w:uiPriority w:val="0"/>
    <w:rPr>
      <w:rFonts w:eastAsia="宋体"/>
      <w:kern w:val="2"/>
      <w:sz w:val="24"/>
      <w:szCs w:val="24"/>
      <w:lang w:val="en-US" w:eastAsia="zh-CN" w:bidi="ar-SA"/>
    </w:rPr>
  </w:style>
  <w:style w:type="paragraph" w:customStyle="1" w:styleId="122">
    <w:name w:val="*正文"/>
    <w:basedOn w:val="1"/>
    <w:uiPriority w:val="0"/>
    <w:pPr>
      <w:widowControl/>
      <w:overflowPunct w:val="0"/>
      <w:spacing w:line="360" w:lineRule="auto"/>
      <w:ind w:firstLine="200" w:firstLineChars="200"/>
    </w:pPr>
    <w:rPr>
      <w:kern w:val="0"/>
      <w:sz w:val="24"/>
    </w:rPr>
  </w:style>
  <w:style w:type="character" w:customStyle="1" w:styleId="123">
    <w:name w:val="批注文字 Char"/>
    <w:uiPriority w:val="0"/>
    <w:rPr>
      <w:rFonts w:ascii="Times New Roman" w:hAnsi="Times New Roman"/>
      <w:kern w:val="2"/>
      <w:sz w:val="21"/>
      <w:szCs w:val="24"/>
    </w:rPr>
  </w:style>
  <w:style w:type="paragraph" w:customStyle="1" w:styleId="124">
    <w:name w:val="!图"/>
    <w:basedOn w:val="1"/>
    <w:uiPriority w:val="0"/>
    <w:pPr>
      <w:adjustRightInd w:val="0"/>
      <w:snapToGrid w:val="0"/>
      <w:spacing w:line="360" w:lineRule="auto"/>
      <w:jc w:val="center"/>
    </w:pPr>
    <w:rPr>
      <w:sz w:val="24"/>
      <w:szCs w:val="21"/>
    </w:rPr>
  </w:style>
  <w:style w:type="character" w:customStyle="1" w:styleId="125">
    <w:name w:val="表正文 Char"/>
    <w:uiPriority w:val="0"/>
    <w:rPr>
      <w:rFonts w:ascii="Times New Roman" w:hAnsi="Times New Roman" w:eastAsia="宋体" w:cs="Times New Roman"/>
      <w:kern w:val="0"/>
      <w:sz w:val="20"/>
      <w:szCs w:val="20"/>
      <w:lang w:bidi="ar-SA"/>
    </w:rPr>
  </w:style>
  <w:style w:type="character" w:customStyle="1" w:styleId="126">
    <w:name w:val="font61"/>
    <w:uiPriority w:val="0"/>
    <w:rPr>
      <w:rFonts w:ascii="宋体" w:eastAsia="宋体" w:cs="宋体"/>
      <w:b/>
      <w:color w:val="000000"/>
      <w:sz w:val="20"/>
      <w:szCs w:val="20"/>
      <w:u w:val="none"/>
      <w:lang w:bidi="ar-SA"/>
    </w:rPr>
  </w:style>
  <w:style w:type="character" w:customStyle="1" w:styleId="127">
    <w:name w:val="页脚 字符1"/>
    <w:qFormat/>
    <w:uiPriority w:val="0"/>
    <w:rPr>
      <w:sz w:val="18"/>
      <w:szCs w:val="18"/>
    </w:rPr>
  </w:style>
  <w:style w:type="character" w:customStyle="1" w:styleId="128">
    <w:name w:val="标题 4 字符"/>
    <w:uiPriority w:val="0"/>
    <w:rPr>
      <w:rFonts w:ascii="Times New Roman" w:hAnsi="Times New Roman" w:cs="Times New Roman"/>
      <w:b/>
      <w:bCs/>
      <w:kern w:val="2"/>
      <w:sz w:val="24"/>
      <w:szCs w:val="28"/>
      <w:lang w:bidi="ar-SA"/>
    </w:rPr>
  </w:style>
  <w:style w:type="character" w:customStyle="1" w:styleId="129">
    <w:name w:val="@他1"/>
    <w:uiPriority w:val="0"/>
    <w:rPr>
      <w:color w:val="2B579A"/>
      <w:shd w:val="clear" w:color="auto" w:fill="E6E6E6"/>
    </w:rPr>
  </w:style>
  <w:style w:type="character" w:customStyle="1" w:styleId="130">
    <w:name w:val="正文文本 (2) + 粗体"/>
    <w:uiPriority w:val="0"/>
    <w:rPr>
      <w:rFonts w:ascii="黑体" w:eastAsia="黑体" w:cs="黑体"/>
      <w:b/>
      <w:bCs/>
      <w:color w:val="000000"/>
      <w:spacing w:val="0"/>
      <w:w w:val="100"/>
      <w:position w:val="0"/>
      <w:sz w:val="30"/>
      <w:szCs w:val="30"/>
      <w:u w:val="none"/>
      <w:lang w:val="zh-TW" w:eastAsia="zh-TW" w:bidi="zh-TW"/>
    </w:rPr>
  </w:style>
  <w:style w:type="character" w:customStyle="1" w:styleId="131">
    <w:name w:val="font112"/>
    <w:uiPriority w:val="0"/>
    <w:rPr>
      <w:rFonts w:ascii="宋体" w:eastAsia="宋体" w:cs="宋体"/>
      <w:color w:val="000000"/>
      <w:sz w:val="21"/>
      <w:szCs w:val="21"/>
      <w:u w:val="none"/>
      <w:vertAlign w:val="superscript"/>
      <w:lang w:bidi="ar-SA"/>
    </w:rPr>
  </w:style>
  <w:style w:type="character" w:customStyle="1" w:styleId="132">
    <w:name w:val="批注框文本 字符"/>
    <w:uiPriority w:val="0"/>
    <w:rPr>
      <w:rFonts w:ascii="Times New Roman" w:hAnsi="Times New Roman" w:eastAsia="宋体" w:cs="Times New Roman"/>
      <w:sz w:val="18"/>
      <w:szCs w:val="18"/>
      <w:lang w:bidi="ar-SA"/>
    </w:rPr>
  </w:style>
  <w:style w:type="paragraph" w:customStyle="1" w:styleId="133">
    <w:name w:val="标4"/>
    <w:basedOn w:val="7"/>
    <w:uiPriority w:val="0"/>
    <w:pPr>
      <w:keepLines/>
      <w:numPr>
        <w:ilvl w:val="4"/>
        <w:numId w:val="1"/>
      </w:numPr>
      <w:spacing w:line="360" w:lineRule="auto"/>
      <w:jc w:val="both"/>
      <w:outlineLvl w:val="4"/>
    </w:pPr>
    <w:rPr>
      <w:rFonts w:eastAsia="黑体"/>
      <w:bCs/>
      <w:kern w:val="2"/>
      <w:sz w:val="24"/>
      <w:szCs w:val="28"/>
    </w:rPr>
  </w:style>
  <w:style w:type="character" w:customStyle="1" w:styleId="134">
    <w:name w:val=" Char Char18"/>
    <w:uiPriority w:val="0"/>
    <w:rPr>
      <w:rFonts w:ascii="Times New Roman" w:hAnsi="Times New Roman" w:eastAsia="宋体" w:cs="Times New Roman"/>
      <w:b/>
      <w:bCs/>
      <w:kern w:val="44"/>
      <w:sz w:val="44"/>
      <w:szCs w:val="44"/>
      <w:lang w:bidi="ar-SA"/>
    </w:rPr>
  </w:style>
  <w:style w:type="paragraph" w:customStyle="1" w:styleId="135">
    <w:name w:val="普通正文"/>
    <w:basedOn w:val="1"/>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136">
    <w:name w:val="Variable"/>
    <w:uiPriority w:val="0"/>
    <w:rPr>
      <w:i/>
    </w:rPr>
  </w:style>
  <w:style w:type="paragraph" w:customStyle="1" w:styleId="137">
    <w:name w:val="样式 宋体 四号 黑色 左侧:  0.74 厘米 首行缩进:  0.74 厘米 行距: 1.5 倍行距"/>
    <w:basedOn w:val="1"/>
    <w:uiPriority w:val="0"/>
    <w:pPr>
      <w:spacing w:line="360" w:lineRule="auto"/>
      <w:ind w:firstLine="420"/>
    </w:pPr>
    <w:rPr>
      <w:rFonts w:ascii="宋体"/>
      <w:color w:val="000000"/>
      <w:sz w:val="24"/>
      <w:szCs w:val="21"/>
    </w:rPr>
  </w:style>
  <w:style w:type="paragraph" w:customStyle="1" w:styleId="138">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cs="宋体"/>
      <w:color w:val="000000"/>
      <w:kern w:val="0"/>
      <w:sz w:val="16"/>
      <w:szCs w:val="16"/>
    </w:rPr>
  </w:style>
  <w:style w:type="paragraph" w:customStyle="1" w:styleId="139">
    <w:name w:val="xl110"/>
    <w:basedOn w:val="1"/>
    <w:uiPriority w:val="0"/>
    <w:pPr>
      <w:widowControl/>
      <w:pBdr>
        <w:top w:val="single" w:color="auto" w:sz="4" w:space="0"/>
        <w:bottom w:val="single" w:color="auto" w:sz="4" w:space="0"/>
      </w:pBdr>
      <w:shd w:val="clear" w:color="auto" w:fill="FFFF00"/>
      <w:spacing w:before="100" w:beforeAutospacing="1" w:after="100" w:afterAutospacing="1"/>
      <w:jc w:val="right"/>
    </w:pPr>
    <w:rPr>
      <w:rFonts w:ascii="宋体" w:cs="宋体"/>
      <w:color w:val="000000"/>
      <w:kern w:val="0"/>
      <w:sz w:val="16"/>
      <w:szCs w:val="16"/>
    </w:rPr>
  </w:style>
  <w:style w:type="paragraph" w:customStyle="1" w:styleId="140">
    <w:name w:val="xl160"/>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cs="宋体"/>
      <w:kern w:val="0"/>
      <w:sz w:val="16"/>
      <w:szCs w:val="16"/>
    </w:rPr>
  </w:style>
  <w:style w:type="paragraph" w:customStyle="1" w:styleId="141">
    <w:name w:val="et4"/>
    <w:basedOn w:val="1"/>
    <w:uiPriority w:val="0"/>
    <w:pPr>
      <w:widowControl/>
      <w:spacing w:before="100" w:beforeAutospacing="1" w:after="100" w:afterAutospacing="1"/>
      <w:jc w:val="left"/>
      <w:textAlignment w:val="center"/>
    </w:pPr>
    <w:rPr>
      <w:rFonts w:ascii="宋体" w:cs="宋体"/>
      <w:color w:val="000000"/>
      <w:kern w:val="0"/>
      <w:sz w:val="22"/>
      <w:szCs w:val="22"/>
    </w:rPr>
  </w:style>
  <w:style w:type="paragraph" w:customStyle="1" w:styleId="142">
    <w:name w:val="xl207"/>
    <w:basedOn w:val="1"/>
    <w:uiPriority w:val="0"/>
    <w:pPr>
      <w:widowControl/>
      <w:pBdr>
        <w:top w:val="single" w:color="auto" w:sz="4" w:space="0"/>
        <w:bottom w:val="single" w:color="auto" w:sz="4" w:space="0"/>
        <w:right w:val="single" w:color="auto" w:sz="4" w:space="0"/>
      </w:pBdr>
      <w:shd w:val="clear" w:color="auto" w:fill="99CC00"/>
      <w:spacing w:before="100" w:beforeAutospacing="1" w:after="100" w:afterAutospacing="1"/>
      <w:jc w:val="center"/>
    </w:pPr>
    <w:rPr>
      <w:rFonts w:ascii="宋体" w:cs="宋体"/>
      <w:kern w:val="0"/>
      <w:sz w:val="18"/>
      <w:szCs w:val="18"/>
    </w:rPr>
  </w:style>
  <w:style w:type="paragraph" w:customStyle="1" w:styleId="143">
    <w:name w:val="xl121"/>
    <w:basedOn w:val="1"/>
    <w:uiPriority w:val="0"/>
    <w:pPr>
      <w:widowControl/>
      <w:pBdr>
        <w:top w:val="single" w:color="auto" w:sz="4" w:space="0"/>
        <w:left w:val="single" w:color="000000" w:sz="4" w:space="0"/>
      </w:pBdr>
      <w:spacing w:before="100" w:beforeAutospacing="1" w:after="100" w:afterAutospacing="1"/>
      <w:jc w:val="left"/>
    </w:pPr>
    <w:rPr>
      <w:rFonts w:ascii="宋体" w:cs="宋体"/>
      <w:b/>
      <w:bCs/>
      <w:color w:val="000000"/>
      <w:kern w:val="0"/>
      <w:sz w:val="16"/>
      <w:szCs w:val="16"/>
    </w:rPr>
  </w:style>
  <w:style w:type="paragraph" w:customStyle="1" w:styleId="144">
    <w:name w:val="xl108"/>
    <w:basedOn w:val="1"/>
    <w:uiPriority w:val="0"/>
    <w:pPr>
      <w:widowControl/>
      <w:pBdr>
        <w:top w:val="single" w:color="auto" w:sz="4" w:space="0"/>
        <w:bottom w:val="single" w:color="auto" w:sz="4" w:space="0"/>
      </w:pBdr>
      <w:shd w:val="clear" w:color="auto" w:fill="FFFF00"/>
      <w:spacing w:before="100" w:beforeAutospacing="1" w:after="100" w:afterAutospacing="1"/>
      <w:jc w:val="center"/>
    </w:pPr>
    <w:rPr>
      <w:rFonts w:ascii="宋体" w:cs="宋体"/>
      <w:color w:val="000000"/>
      <w:kern w:val="0"/>
      <w:sz w:val="16"/>
      <w:szCs w:val="16"/>
    </w:rPr>
  </w:style>
  <w:style w:type="paragraph" w:customStyle="1" w:styleId="145">
    <w:name w:val="1级大标"/>
    <w:basedOn w:val="1"/>
    <w:uiPriority w:val="0"/>
    <w:pPr>
      <w:keepLines/>
      <w:pageBreakBefore/>
      <w:spacing w:line="360" w:lineRule="auto"/>
      <w:contextualSpacing/>
      <w:jc w:val="left"/>
      <w:outlineLvl w:val="0"/>
    </w:pPr>
    <w:rPr>
      <w:rFonts w:ascii="黑体" w:eastAsia="黑体"/>
      <w:kern w:val="0"/>
      <w:sz w:val="28"/>
      <w:szCs w:val="36"/>
      <w:lang w:bidi="en-US"/>
    </w:rPr>
  </w:style>
  <w:style w:type="paragraph" w:customStyle="1" w:styleId="146">
    <w:name w:val="xl201"/>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cs="宋体"/>
      <w:kern w:val="0"/>
      <w:sz w:val="16"/>
      <w:szCs w:val="16"/>
    </w:rPr>
  </w:style>
  <w:style w:type="paragraph" w:customStyle="1" w:styleId="147">
    <w:name w:val="xl65"/>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kern w:val="0"/>
      <w:sz w:val="16"/>
      <w:szCs w:val="16"/>
    </w:rPr>
  </w:style>
  <w:style w:type="paragraph" w:customStyle="1" w:styleId="148">
    <w:name w:val="xl1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6"/>
      <w:szCs w:val="16"/>
    </w:rPr>
  </w:style>
  <w:style w:type="paragraph" w:customStyle="1" w:styleId="149">
    <w:name w:val="xl90"/>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cs="宋体"/>
      <w:b/>
      <w:bCs/>
      <w:kern w:val="0"/>
      <w:sz w:val="20"/>
      <w:szCs w:val="20"/>
    </w:rPr>
  </w:style>
  <w:style w:type="paragraph" w:customStyle="1" w:styleId="150">
    <w:name w:val="xl129"/>
    <w:basedOn w:val="1"/>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jc w:val="left"/>
    </w:pPr>
    <w:rPr>
      <w:rFonts w:ascii="宋体" w:cs="宋体"/>
      <w:b/>
      <w:bCs/>
      <w:kern w:val="0"/>
      <w:sz w:val="18"/>
      <w:szCs w:val="18"/>
    </w:rPr>
  </w:style>
  <w:style w:type="paragraph" w:customStyle="1" w:styleId="151">
    <w:name w:val="xl2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152">
    <w:name w:val="xl1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8"/>
      <w:szCs w:val="18"/>
    </w:rPr>
  </w:style>
  <w:style w:type="paragraph" w:customStyle="1" w:styleId="153">
    <w:name w:val="xl88"/>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cs="宋体"/>
      <w:b/>
      <w:bCs/>
      <w:kern w:val="0"/>
      <w:sz w:val="16"/>
      <w:szCs w:val="16"/>
    </w:rPr>
  </w:style>
  <w:style w:type="paragraph" w:customStyle="1" w:styleId="154">
    <w:name w:val="et3"/>
    <w:basedOn w:val="1"/>
    <w:uiPriority w:val="0"/>
    <w:pPr>
      <w:widowControl/>
      <w:spacing w:before="100" w:beforeAutospacing="1" w:after="100" w:afterAutospacing="1"/>
      <w:jc w:val="left"/>
      <w:textAlignment w:val="center"/>
    </w:pPr>
    <w:rPr>
      <w:color w:val="000000"/>
      <w:kern w:val="0"/>
      <w:sz w:val="22"/>
      <w:szCs w:val="22"/>
    </w:rPr>
  </w:style>
  <w:style w:type="paragraph" w:customStyle="1" w:styleId="155">
    <w:name w:val="xl174"/>
    <w:basedOn w:val="1"/>
    <w:uiPriority w:val="0"/>
    <w:pPr>
      <w:widowControl/>
      <w:shd w:val="clear" w:color="auto" w:fill="FFFF00"/>
      <w:spacing w:before="100" w:beforeAutospacing="1" w:after="100" w:afterAutospacing="1"/>
      <w:jc w:val="center"/>
    </w:pPr>
    <w:rPr>
      <w:rFonts w:ascii="宋体" w:cs="宋体"/>
      <w:b/>
      <w:bCs/>
      <w:kern w:val="0"/>
      <w:sz w:val="20"/>
      <w:szCs w:val="20"/>
    </w:rPr>
  </w:style>
  <w:style w:type="paragraph" w:customStyle="1" w:styleId="156">
    <w:name w:val="列出段落3"/>
    <w:basedOn w:val="1"/>
    <w:uiPriority w:val="0"/>
    <w:pPr>
      <w:ind w:firstLine="200" w:firstLineChars="200"/>
    </w:pPr>
    <w:rPr>
      <w:sz w:val="24"/>
      <w:szCs w:val="20"/>
    </w:rPr>
  </w:style>
  <w:style w:type="paragraph" w:customStyle="1" w:styleId="157">
    <w:name w:val="xl143"/>
    <w:basedOn w:val="1"/>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jc w:val="left"/>
    </w:pPr>
    <w:rPr>
      <w:rFonts w:ascii="宋体" w:cs="宋体"/>
      <w:b/>
      <w:bCs/>
      <w:color w:val="000000"/>
      <w:kern w:val="0"/>
      <w:sz w:val="18"/>
      <w:szCs w:val="18"/>
    </w:rPr>
  </w:style>
  <w:style w:type="paragraph" w:customStyle="1" w:styleId="158">
    <w:name w:val="xl1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16"/>
      <w:szCs w:val="16"/>
    </w:rPr>
  </w:style>
  <w:style w:type="paragraph" w:customStyle="1" w:styleId="159">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16"/>
      <w:szCs w:val="16"/>
    </w:rPr>
  </w:style>
  <w:style w:type="paragraph" w:customStyle="1" w:styleId="160">
    <w:name w:val="xl149"/>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cs="宋体"/>
      <w:b/>
      <w:bCs/>
      <w:color w:val="000000"/>
      <w:kern w:val="0"/>
      <w:sz w:val="18"/>
      <w:szCs w:val="18"/>
    </w:rPr>
  </w:style>
  <w:style w:type="paragraph" w:customStyle="1" w:styleId="161">
    <w:name w:val="xl232"/>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cs="宋体"/>
      <w:color w:val="0000FF"/>
      <w:kern w:val="0"/>
      <w:sz w:val="20"/>
      <w:szCs w:val="20"/>
    </w:rPr>
  </w:style>
  <w:style w:type="paragraph" w:customStyle="1" w:styleId="162">
    <w:name w:val="font14"/>
    <w:basedOn w:val="1"/>
    <w:uiPriority w:val="0"/>
    <w:pPr>
      <w:widowControl/>
      <w:spacing w:before="100" w:beforeAutospacing="1" w:after="100" w:afterAutospacing="1"/>
      <w:jc w:val="left"/>
    </w:pPr>
    <w:rPr>
      <w:rFonts w:ascii="仿宋_GB2312" w:eastAsia="仿宋_GB2312" w:cs="宋体"/>
      <w:color w:val="FF0000"/>
      <w:kern w:val="0"/>
      <w:sz w:val="20"/>
      <w:szCs w:val="20"/>
    </w:rPr>
  </w:style>
  <w:style w:type="paragraph" w:customStyle="1" w:styleId="163">
    <w:name w:val="xl226"/>
    <w:basedOn w:val="1"/>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center"/>
    </w:pPr>
    <w:rPr>
      <w:rFonts w:ascii="宋体" w:cs="宋体"/>
      <w:b/>
      <w:bCs/>
      <w:color w:val="000000"/>
      <w:kern w:val="0"/>
      <w:sz w:val="20"/>
      <w:szCs w:val="20"/>
    </w:rPr>
  </w:style>
  <w:style w:type="paragraph" w:customStyle="1" w:styleId="164">
    <w:name w:val="font3"/>
    <w:basedOn w:val="1"/>
    <w:uiPriority w:val="0"/>
    <w:pPr>
      <w:widowControl/>
      <w:spacing w:before="100" w:beforeAutospacing="1" w:after="100" w:afterAutospacing="1"/>
      <w:jc w:val="left"/>
    </w:pPr>
    <w:rPr>
      <w:b/>
      <w:bCs/>
      <w:color w:val="000000"/>
      <w:kern w:val="0"/>
      <w:szCs w:val="21"/>
    </w:rPr>
  </w:style>
  <w:style w:type="paragraph" w:customStyle="1" w:styleId="165">
    <w:name w:val="xl211"/>
    <w:basedOn w:val="1"/>
    <w:uiPriority w:val="0"/>
    <w:pPr>
      <w:widowControl/>
      <w:pBdr>
        <w:top w:val="single" w:color="auto" w:sz="4" w:space="0"/>
        <w:bottom w:val="single" w:color="auto" w:sz="4" w:space="0"/>
        <w:right w:val="single" w:color="auto" w:sz="4" w:space="0"/>
      </w:pBdr>
      <w:shd w:val="clear" w:color="auto" w:fill="99CC00"/>
      <w:spacing w:before="100" w:beforeAutospacing="1" w:after="100" w:afterAutospacing="1"/>
      <w:jc w:val="left"/>
    </w:pPr>
    <w:rPr>
      <w:rFonts w:ascii="Calibri" w:hAnsi="Calibri" w:cs="宋体"/>
      <w:kern w:val="0"/>
      <w:sz w:val="18"/>
      <w:szCs w:val="18"/>
    </w:rPr>
  </w:style>
  <w:style w:type="paragraph" w:customStyle="1" w:styleId="166">
    <w:name w:val="xl1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6"/>
      <w:szCs w:val="16"/>
    </w:rPr>
  </w:style>
  <w:style w:type="paragraph" w:customStyle="1" w:styleId="167">
    <w:name w:val="Char Char Char"/>
    <w:basedOn w:val="1"/>
    <w:uiPriority w:val="0"/>
    <w:rPr>
      <w:rFonts w:ascii="Tahoma" w:hAnsi="Tahoma"/>
      <w:sz w:val="24"/>
      <w:szCs w:val="20"/>
    </w:rPr>
  </w:style>
  <w:style w:type="paragraph" w:customStyle="1" w:styleId="168">
    <w:name w:val="xl6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cs="宋体"/>
      <w:kern w:val="0"/>
      <w:sz w:val="16"/>
      <w:szCs w:val="16"/>
    </w:rPr>
  </w:style>
  <w:style w:type="paragraph" w:customStyle="1" w:styleId="169">
    <w:name w:val="Char"/>
    <w:basedOn w:val="1"/>
    <w:uiPriority w:val="0"/>
    <w:pPr>
      <w:tabs>
        <w:tab w:val="left" w:pos="360"/>
      </w:tabs>
    </w:pPr>
    <w:rPr>
      <w:sz w:val="24"/>
    </w:rPr>
  </w:style>
  <w:style w:type="paragraph" w:customStyle="1" w:styleId="170">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71">
    <w:name w:val="标题1"/>
    <w:basedOn w:val="1"/>
    <w:next w:val="1"/>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72">
    <w:name w:val="msonormalcxspmiddle"/>
    <w:basedOn w:val="1"/>
    <w:uiPriority w:val="0"/>
    <w:pPr>
      <w:widowControl/>
      <w:spacing w:before="100" w:beforeAutospacing="1" w:after="100" w:afterAutospacing="1"/>
      <w:jc w:val="left"/>
    </w:pPr>
    <w:rPr>
      <w:rFonts w:ascii="宋体" w:cs="宋体"/>
      <w:kern w:val="0"/>
      <w:sz w:val="24"/>
    </w:rPr>
  </w:style>
  <w:style w:type="paragraph" w:customStyle="1" w:styleId="173">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16"/>
      <w:szCs w:val="16"/>
    </w:rPr>
  </w:style>
  <w:style w:type="paragraph" w:customStyle="1" w:styleId="174">
    <w:name w:val="xl123"/>
    <w:basedOn w:val="1"/>
    <w:uiPriority w:val="0"/>
    <w:pPr>
      <w:widowControl/>
      <w:pBdr>
        <w:top w:val="single" w:color="auto" w:sz="4" w:space="0"/>
        <w:left w:val="single" w:color="auto" w:sz="4" w:space="0"/>
        <w:right w:val="single" w:color="auto" w:sz="4" w:space="0"/>
      </w:pBdr>
      <w:spacing w:before="100" w:beforeAutospacing="1" w:after="100" w:afterAutospacing="1"/>
    </w:pPr>
    <w:rPr>
      <w:rFonts w:ascii="宋体" w:cs="宋体"/>
      <w:color w:val="000000"/>
      <w:kern w:val="0"/>
      <w:sz w:val="16"/>
      <w:szCs w:val="16"/>
    </w:rPr>
  </w:style>
  <w:style w:type="paragraph" w:customStyle="1" w:styleId="175">
    <w:name w:val="Normal"/>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76">
    <w:name w:val="xl1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FF"/>
      <w:kern w:val="0"/>
      <w:sz w:val="18"/>
      <w:szCs w:val="18"/>
    </w:rPr>
  </w:style>
  <w:style w:type="paragraph" w:customStyle="1" w:styleId="177">
    <w:name w:val="xl98"/>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kern w:val="0"/>
      <w:sz w:val="18"/>
      <w:szCs w:val="18"/>
    </w:rPr>
  </w:style>
  <w:style w:type="paragraph" w:customStyle="1" w:styleId="178">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6"/>
      <w:szCs w:val="16"/>
    </w:rPr>
  </w:style>
  <w:style w:type="paragraph" w:customStyle="1" w:styleId="179">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16"/>
      <w:szCs w:val="16"/>
    </w:rPr>
  </w:style>
  <w:style w:type="paragraph" w:customStyle="1" w:styleId="180">
    <w:name w:val="样式 ssss + 居中"/>
    <w:basedOn w:val="100"/>
    <w:uiPriority w:val="0"/>
    <w:pPr>
      <w:jc w:val="center"/>
    </w:pPr>
    <w:rPr>
      <w:rFonts w:cs="宋体"/>
      <w:szCs w:val="20"/>
    </w:rPr>
  </w:style>
  <w:style w:type="paragraph" w:customStyle="1" w:styleId="181">
    <w:name w:val="xl16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cs="宋体"/>
      <w:kern w:val="0"/>
      <w:sz w:val="16"/>
      <w:szCs w:val="16"/>
    </w:rPr>
  </w:style>
  <w:style w:type="paragraph" w:customStyle="1" w:styleId="182">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16"/>
      <w:szCs w:val="16"/>
    </w:rPr>
  </w:style>
  <w:style w:type="paragraph" w:customStyle="1" w:styleId="183">
    <w:name w:val="xl186"/>
    <w:basedOn w:val="1"/>
    <w:uiPriority w:val="0"/>
    <w:pPr>
      <w:widowControl/>
      <w:pBdr>
        <w:top w:val="single" w:color="auto" w:sz="4" w:space="0"/>
        <w:left w:val="single" w:color="auto" w:sz="4" w:space="0"/>
        <w:bottom w:val="single" w:color="auto" w:sz="4" w:space="0"/>
      </w:pBdr>
      <w:shd w:val="clear" w:color="auto" w:fill="99CC00"/>
      <w:spacing w:before="100" w:beforeAutospacing="1" w:after="100" w:afterAutospacing="1"/>
      <w:jc w:val="right"/>
    </w:pPr>
    <w:rPr>
      <w:rFonts w:ascii="宋体" w:cs="宋体"/>
      <w:kern w:val="0"/>
      <w:sz w:val="18"/>
      <w:szCs w:val="18"/>
    </w:rPr>
  </w:style>
  <w:style w:type="paragraph" w:customStyle="1" w:styleId="184">
    <w:name w:val="font18"/>
    <w:basedOn w:val="1"/>
    <w:uiPriority w:val="0"/>
    <w:pPr>
      <w:widowControl/>
      <w:spacing w:before="100" w:beforeAutospacing="1" w:after="100" w:afterAutospacing="1"/>
      <w:jc w:val="left"/>
    </w:pPr>
    <w:rPr>
      <w:rFonts w:ascii="Calibri" w:hAnsi="Calibri" w:cs="Calibri"/>
      <w:kern w:val="0"/>
      <w:sz w:val="20"/>
      <w:szCs w:val="20"/>
    </w:rPr>
  </w:style>
  <w:style w:type="paragraph" w:customStyle="1" w:styleId="185">
    <w:name w:val="xl136"/>
    <w:basedOn w:val="1"/>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jc w:val="left"/>
    </w:pPr>
    <w:rPr>
      <w:rFonts w:ascii="宋体" w:cs="宋体"/>
      <w:b/>
      <w:bCs/>
      <w:kern w:val="0"/>
      <w:sz w:val="18"/>
      <w:szCs w:val="18"/>
    </w:rPr>
  </w:style>
  <w:style w:type="paragraph" w:customStyle="1" w:styleId="186">
    <w:name w:val="xl172"/>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cs="宋体"/>
      <w:kern w:val="0"/>
      <w:sz w:val="16"/>
      <w:szCs w:val="16"/>
    </w:rPr>
  </w:style>
  <w:style w:type="paragraph" w:customStyle="1" w:styleId="187">
    <w:name w:val="xl23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FF"/>
      <w:kern w:val="0"/>
      <w:sz w:val="20"/>
      <w:szCs w:val="20"/>
    </w:rPr>
  </w:style>
  <w:style w:type="paragraph" w:customStyle="1" w:styleId="188">
    <w:name w:val="xl132"/>
    <w:basedOn w:val="1"/>
    <w:uiPriority w:val="0"/>
    <w:pPr>
      <w:widowControl/>
      <w:pBdr>
        <w:top w:val="single" w:color="auto" w:sz="4" w:space="0"/>
        <w:bottom w:val="single" w:color="auto" w:sz="4" w:space="0"/>
      </w:pBdr>
      <w:shd w:val="clear" w:color="auto" w:fill="FFFF00"/>
      <w:spacing w:before="100" w:beforeAutospacing="1" w:after="100" w:afterAutospacing="1"/>
      <w:jc w:val="left"/>
    </w:pPr>
    <w:rPr>
      <w:rFonts w:ascii="宋体" w:cs="宋体"/>
      <w:b/>
      <w:bCs/>
      <w:kern w:val="0"/>
      <w:sz w:val="16"/>
      <w:szCs w:val="16"/>
    </w:rPr>
  </w:style>
  <w:style w:type="paragraph" w:customStyle="1" w:styleId="189">
    <w:name w:val="xl239"/>
    <w:basedOn w:val="1"/>
    <w:uiPriority w:val="0"/>
    <w:pPr>
      <w:widowControl/>
      <w:pBdr>
        <w:bottom w:val="single" w:color="auto" w:sz="4" w:space="0"/>
      </w:pBdr>
      <w:spacing w:before="100" w:beforeAutospacing="1" w:after="100" w:afterAutospacing="1"/>
      <w:jc w:val="center"/>
    </w:pPr>
    <w:rPr>
      <w:rFonts w:ascii="宋体" w:cs="宋体"/>
      <w:kern w:val="0"/>
      <w:sz w:val="24"/>
    </w:rPr>
  </w:style>
  <w:style w:type="paragraph" w:customStyle="1" w:styleId="190">
    <w:name w:val="et7"/>
    <w:basedOn w:val="1"/>
    <w:uiPriority w:val="0"/>
    <w:pPr>
      <w:widowControl/>
      <w:spacing w:before="100" w:beforeAutospacing="1" w:after="100" w:afterAutospacing="1"/>
      <w:jc w:val="left"/>
      <w:textAlignment w:val="center"/>
    </w:pPr>
    <w:rPr>
      <w:color w:val="000000"/>
      <w:kern w:val="0"/>
      <w:sz w:val="22"/>
      <w:szCs w:val="22"/>
    </w:rPr>
  </w:style>
  <w:style w:type="paragraph" w:customStyle="1" w:styleId="191">
    <w:name w:val="et6"/>
    <w:basedOn w:val="1"/>
    <w:uiPriority w:val="0"/>
    <w:pPr>
      <w:widowControl/>
      <w:spacing w:before="100" w:beforeAutospacing="1" w:after="100" w:afterAutospacing="1"/>
      <w:jc w:val="left"/>
      <w:textAlignment w:val="center"/>
    </w:pPr>
    <w:rPr>
      <w:rFonts w:ascii="宋体" w:cs="宋体"/>
      <w:color w:val="000000"/>
      <w:kern w:val="0"/>
      <w:sz w:val="22"/>
      <w:szCs w:val="22"/>
    </w:rPr>
  </w:style>
  <w:style w:type="paragraph" w:customStyle="1" w:styleId="192">
    <w:name w:val="xl137"/>
    <w:basedOn w:val="1"/>
    <w:uiPriority w:val="0"/>
    <w:pPr>
      <w:widowControl/>
      <w:pBdr>
        <w:top w:val="single" w:color="auto" w:sz="4" w:space="0"/>
        <w:bottom w:val="single" w:color="auto" w:sz="4" w:space="0"/>
      </w:pBdr>
      <w:shd w:val="clear" w:color="auto" w:fill="FFFF00"/>
      <w:spacing w:before="100" w:beforeAutospacing="1" w:after="100" w:afterAutospacing="1"/>
      <w:jc w:val="left"/>
    </w:pPr>
    <w:rPr>
      <w:rFonts w:ascii="宋体" w:cs="宋体"/>
      <w:b/>
      <w:bCs/>
      <w:kern w:val="0"/>
      <w:sz w:val="18"/>
      <w:szCs w:val="18"/>
    </w:rPr>
  </w:style>
  <w:style w:type="paragraph" w:customStyle="1" w:styleId="193">
    <w:name w:val="xl97"/>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kern w:val="0"/>
      <w:sz w:val="18"/>
      <w:szCs w:val="18"/>
    </w:rPr>
  </w:style>
  <w:style w:type="paragraph" w:customStyle="1" w:styleId="194">
    <w:name w:val="xl233"/>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195">
    <w:name w:val="font13"/>
    <w:basedOn w:val="1"/>
    <w:uiPriority w:val="0"/>
    <w:pPr>
      <w:widowControl/>
      <w:spacing w:before="100" w:beforeAutospacing="1" w:after="100" w:afterAutospacing="1"/>
      <w:jc w:val="left"/>
    </w:pPr>
    <w:rPr>
      <w:rFonts w:ascii="Calibri" w:hAnsi="Calibri" w:cs="Calibri"/>
      <w:color w:val="000000"/>
      <w:kern w:val="0"/>
      <w:sz w:val="22"/>
      <w:szCs w:val="22"/>
    </w:rPr>
  </w:style>
  <w:style w:type="paragraph" w:customStyle="1" w:styleId="196">
    <w:name w:val="xl206"/>
    <w:basedOn w:val="1"/>
    <w:uiPriority w:val="0"/>
    <w:pPr>
      <w:widowControl/>
      <w:pBdr>
        <w:top w:val="single" w:color="auto" w:sz="4" w:space="0"/>
        <w:bottom w:val="single" w:color="auto" w:sz="4" w:space="0"/>
      </w:pBdr>
      <w:shd w:val="clear" w:color="auto" w:fill="99CC00"/>
      <w:spacing w:before="100" w:beforeAutospacing="1" w:after="100" w:afterAutospacing="1"/>
    </w:pPr>
    <w:rPr>
      <w:rFonts w:ascii="宋体" w:cs="宋体"/>
      <w:kern w:val="0"/>
      <w:sz w:val="18"/>
      <w:szCs w:val="18"/>
    </w:rPr>
  </w:style>
  <w:style w:type="paragraph" w:customStyle="1" w:styleId="197">
    <w:name w:val="xl2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198">
    <w:name w:val="et2"/>
    <w:basedOn w:val="1"/>
    <w:uiPriority w:val="0"/>
    <w:pPr>
      <w:widowControl/>
      <w:spacing w:before="100" w:beforeAutospacing="1" w:after="100" w:afterAutospacing="1"/>
      <w:jc w:val="left"/>
      <w:textAlignment w:val="center"/>
    </w:pPr>
    <w:rPr>
      <w:rFonts w:ascii="宋体" w:cs="宋体"/>
      <w:color w:val="000000"/>
      <w:kern w:val="0"/>
      <w:sz w:val="22"/>
      <w:szCs w:val="22"/>
    </w:rPr>
  </w:style>
  <w:style w:type="paragraph" w:customStyle="1" w:styleId="199">
    <w:name w:val="xl251"/>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cs="宋体"/>
      <w:color w:val="000000"/>
      <w:kern w:val="0"/>
      <w:sz w:val="20"/>
      <w:szCs w:val="20"/>
    </w:rPr>
  </w:style>
  <w:style w:type="paragraph" w:customStyle="1" w:styleId="200">
    <w:name w:val="xl26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01">
    <w:name w:val="xl173"/>
    <w:basedOn w:val="1"/>
    <w:uiPriority w:val="0"/>
    <w:pPr>
      <w:widowControl/>
      <w:shd w:val="clear" w:color="auto" w:fill="FFFF00"/>
      <w:spacing w:before="100" w:beforeAutospacing="1" w:after="100" w:afterAutospacing="1"/>
      <w:jc w:val="left"/>
    </w:pPr>
    <w:rPr>
      <w:rFonts w:ascii="宋体" w:cs="宋体"/>
      <w:b/>
      <w:bCs/>
      <w:kern w:val="0"/>
      <w:sz w:val="20"/>
      <w:szCs w:val="20"/>
    </w:rPr>
  </w:style>
  <w:style w:type="paragraph" w:customStyle="1" w:styleId="202">
    <w:name w:val="xl210"/>
    <w:basedOn w:val="1"/>
    <w:uiPriority w:val="0"/>
    <w:pPr>
      <w:widowControl/>
      <w:pBdr>
        <w:top w:val="single" w:color="auto" w:sz="4" w:space="0"/>
        <w:bottom w:val="single" w:color="auto" w:sz="4" w:space="0"/>
      </w:pBdr>
      <w:shd w:val="clear" w:color="auto" w:fill="99CC00"/>
      <w:spacing w:before="100" w:beforeAutospacing="1" w:after="100" w:afterAutospacing="1"/>
      <w:jc w:val="left"/>
    </w:pPr>
    <w:rPr>
      <w:rFonts w:ascii="Calibri" w:hAnsi="Calibri" w:cs="宋体"/>
      <w:kern w:val="0"/>
      <w:sz w:val="18"/>
      <w:szCs w:val="18"/>
    </w:rPr>
  </w:style>
  <w:style w:type="paragraph" w:customStyle="1" w:styleId="203">
    <w:name w:val="Header2"/>
    <w:basedOn w:val="1"/>
    <w:uiPriority w:val="0"/>
    <w:pPr>
      <w:numPr>
        <w:ilvl w:val="0"/>
        <w:numId w:val="1"/>
      </w:numPr>
    </w:pPr>
  </w:style>
  <w:style w:type="paragraph" w:customStyle="1" w:styleId="204">
    <w:name w:val="xl1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8"/>
      <w:szCs w:val="18"/>
    </w:rPr>
  </w:style>
  <w:style w:type="paragraph" w:customStyle="1" w:styleId="205">
    <w:name w:val="xl147"/>
    <w:basedOn w:val="1"/>
    <w:uiPriority w:val="0"/>
    <w:pPr>
      <w:widowControl/>
      <w:shd w:val="clear" w:color="auto" w:fill="FFFF00"/>
      <w:spacing w:before="100" w:beforeAutospacing="1" w:after="100" w:afterAutospacing="1"/>
      <w:jc w:val="left"/>
    </w:pPr>
    <w:rPr>
      <w:rFonts w:ascii="宋体" w:cs="宋体"/>
      <w:kern w:val="0"/>
      <w:sz w:val="24"/>
    </w:rPr>
  </w:style>
  <w:style w:type="paragraph" w:customStyle="1" w:styleId="206">
    <w:name w:val="font8"/>
    <w:basedOn w:val="1"/>
    <w:uiPriority w:val="0"/>
    <w:pPr>
      <w:widowControl/>
      <w:spacing w:before="100" w:beforeAutospacing="1" w:after="100" w:afterAutospacing="1"/>
      <w:jc w:val="left"/>
    </w:pPr>
    <w:rPr>
      <w:rFonts w:ascii="黑体" w:eastAsia="黑体" w:cs="宋体"/>
      <w:b/>
      <w:bCs/>
      <w:kern w:val="0"/>
      <w:sz w:val="32"/>
      <w:szCs w:val="32"/>
    </w:rPr>
  </w:style>
  <w:style w:type="paragraph" w:customStyle="1" w:styleId="207">
    <w:name w:val="xl189"/>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cs="宋体"/>
      <w:kern w:val="0"/>
      <w:sz w:val="16"/>
      <w:szCs w:val="16"/>
    </w:rPr>
  </w:style>
  <w:style w:type="paragraph" w:customStyle="1" w:styleId="208">
    <w:name w:val="xl219"/>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宋体" w:cs="宋体"/>
      <w:color w:val="0000FF"/>
      <w:kern w:val="0"/>
      <w:sz w:val="20"/>
      <w:szCs w:val="20"/>
    </w:rPr>
  </w:style>
  <w:style w:type="paragraph" w:customStyle="1" w:styleId="209">
    <w:name w:val="xl16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cs="宋体"/>
      <w:kern w:val="0"/>
      <w:sz w:val="16"/>
      <w:szCs w:val="16"/>
    </w:rPr>
  </w:style>
  <w:style w:type="paragraph" w:customStyle="1" w:styleId="210">
    <w:name w:val="xl225"/>
    <w:basedOn w:val="1"/>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center"/>
    </w:pPr>
    <w:rPr>
      <w:rFonts w:ascii="宋体" w:cs="宋体"/>
      <w:b/>
      <w:bCs/>
      <w:color w:val="000000"/>
      <w:kern w:val="0"/>
      <w:sz w:val="20"/>
      <w:szCs w:val="20"/>
    </w:rPr>
  </w:style>
  <w:style w:type="paragraph" w:customStyle="1" w:styleId="211">
    <w:name w:val="Table Paragraph"/>
    <w:basedOn w:val="1"/>
    <w:uiPriority w:val="0"/>
    <w:pPr>
      <w:spacing w:before="394" w:line="163" w:lineRule="exact"/>
      <w:ind w:left="107"/>
    </w:pPr>
    <w:rPr>
      <w:rFonts w:ascii="宋体" w:cs="宋体"/>
      <w:lang w:val="zh-CN"/>
    </w:rPr>
  </w:style>
  <w:style w:type="paragraph" w:customStyle="1" w:styleId="212">
    <w:name w:val="xl142"/>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cs="宋体"/>
      <w:b/>
      <w:bCs/>
      <w:color w:val="000000"/>
      <w:kern w:val="0"/>
      <w:sz w:val="18"/>
      <w:szCs w:val="18"/>
    </w:rPr>
  </w:style>
  <w:style w:type="paragraph" w:customStyle="1" w:styleId="213">
    <w:name w:val="xl115"/>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color w:val="000000"/>
      <w:kern w:val="0"/>
      <w:sz w:val="16"/>
      <w:szCs w:val="16"/>
    </w:rPr>
  </w:style>
  <w:style w:type="paragraph" w:customStyle="1" w:styleId="214">
    <w:name w:val="xl2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15">
    <w:name w:val="Char Char Char Char"/>
    <w:basedOn w:val="1"/>
    <w:uiPriority w:val="0"/>
    <w:rPr>
      <w:rFonts w:ascii="Tahoma" w:hAnsi="Tahoma"/>
      <w:sz w:val="24"/>
      <w:szCs w:val="20"/>
    </w:rPr>
  </w:style>
  <w:style w:type="paragraph" w:customStyle="1" w:styleId="216">
    <w:name w:val="xl1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eastAsia="黑体" w:cs="宋体"/>
      <w:color w:val="000000"/>
      <w:kern w:val="0"/>
      <w:sz w:val="18"/>
      <w:szCs w:val="18"/>
    </w:rPr>
  </w:style>
  <w:style w:type="paragraph" w:customStyle="1" w:styleId="217">
    <w:name w:val="font10"/>
    <w:basedOn w:val="1"/>
    <w:uiPriority w:val="0"/>
    <w:pPr>
      <w:widowControl/>
      <w:spacing w:before="100" w:beforeAutospacing="1" w:after="100" w:afterAutospacing="1"/>
      <w:jc w:val="left"/>
    </w:pPr>
    <w:rPr>
      <w:rFonts w:ascii="宋体" w:cs="宋体"/>
      <w:b/>
      <w:bCs/>
      <w:color w:val="0000FF"/>
      <w:kern w:val="0"/>
      <w:sz w:val="18"/>
      <w:szCs w:val="18"/>
    </w:rPr>
  </w:style>
  <w:style w:type="paragraph" w:customStyle="1" w:styleId="218">
    <w:name w:val="xl105"/>
    <w:basedOn w:val="1"/>
    <w:uiPriority w:val="0"/>
    <w:pPr>
      <w:widowControl/>
      <w:pBdr>
        <w:top w:val="single" w:color="auto" w:sz="4" w:space="0"/>
        <w:right w:val="single" w:color="000000" w:sz="4" w:space="0"/>
      </w:pBdr>
      <w:spacing w:before="100" w:beforeAutospacing="1" w:after="100" w:afterAutospacing="1"/>
      <w:jc w:val="center"/>
    </w:pPr>
    <w:rPr>
      <w:rFonts w:ascii="宋体" w:cs="宋体"/>
      <w:color w:val="000000"/>
      <w:kern w:val="0"/>
      <w:sz w:val="16"/>
      <w:szCs w:val="16"/>
    </w:rPr>
  </w:style>
  <w:style w:type="paragraph" w:customStyle="1" w:styleId="219">
    <w:name w:val="xl138"/>
    <w:basedOn w:val="1"/>
    <w:uiPriority w:val="0"/>
    <w:pPr>
      <w:widowControl/>
      <w:pBdr>
        <w:top w:val="single" w:color="auto" w:sz="4" w:space="0"/>
        <w:bottom w:val="single" w:color="auto" w:sz="4" w:space="0"/>
      </w:pBdr>
      <w:shd w:val="clear" w:color="auto" w:fill="FFFF00"/>
      <w:spacing w:before="100" w:beforeAutospacing="1" w:after="100" w:afterAutospacing="1"/>
      <w:jc w:val="center"/>
    </w:pPr>
    <w:rPr>
      <w:rFonts w:ascii="宋体" w:cs="宋体"/>
      <w:b/>
      <w:bCs/>
      <w:kern w:val="0"/>
      <w:sz w:val="18"/>
      <w:szCs w:val="18"/>
    </w:rPr>
  </w:style>
  <w:style w:type="paragraph" w:customStyle="1" w:styleId="220">
    <w:name w:val="xl1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16"/>
      <w:szCs w:val="16"/>
    </w:rPr>
  </w:style>
  <w:style w:type="paragraph" w:customStyle="1" w:styleId="221">
    <w:name w:val="xl240"/>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FF"/>
      <w:kern w:val="0"/>
      <w:sz w:val="24"/>
    </w:rPr>
  </w:style>
  <w:style w:type="paragraph" w:customStyle="1" w:styleId="222">
    <w:name w:val="xl247"/>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4"/>
    </w:rPr>
  </w:style>
  <w:style w:type="paragraph" w:customStyle="1" w:styleId="223">
    <w:name w:val="xl220"/>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宋体" w:cs="宋体"/>
      <w:b/>
      <w:bCs/>
      <w:kern w:val="0"/>
      <w:sz w:val="20"/>
      <w:szCs w:val="20"/>
    </w:rPr>
  </w:style>
  <w:style w:type="paragraph" w:customStyle="1" w:styleId="224">
    <w:name w:val="xl15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16"/>
      <w:szCs w:val="16"/>
    </w:rPr>
  </w:style>
  <w:style w:type="paragraph" w:customStyle="1" w:styleId="225">
    <w:name w:val="xl103"/>
    <w:basedOn w:val="1"/>
    <w:uiPriority w:val="0"/>
    <w:pPr>
      <w:widowControl/>
      <w:pBdr>
        <w:top w:val="single" w:color="auto" w:sz="4" w:space="0"/>
        <w:right w:val="single" w:color="000000" w:sz="4" w:space="0"/>
      </w:pBdr>
      <w:spacing w:before="100" w:beforeAutospacing="1" w:after="100" w:afterAutospacing="1"/>
      <w:jc w:val="left"/>
    </w:pPr>
    <w:rPr>
      <w:rFonts w:ascii="宋体" w:cs="宋体"/>
      <w:color w:val="000000"/>
      <w:kern w:val="0"/>
      <w:sz w:val="16"/>
      <w:szCs w:val="16"/>
    </w:rPr>
  </w:style>
  <w:style w:type="paragraph" w:customStyle="1" w:styleId="226">
    <w:name w:val="xl79"/>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cs="宋体"/>
      <w:kern w:val="0"/>
      <w:sz w:val="16"/>
      <w:szCs w:val="16"/>
    </w:rPr>
  </w:style>
  <w:style w:type="paragraph" w:customStyle="1" w:styleId="227">
    <w:name w:val="xl93"/>
    <w:basedOn w:val="1"/>
    <w:uiPriority w:val="0"/>
    <w:pPr>
      <w:widowControl/>
      <w:pBdr>
        <w:right w:val="single" w:color="000000" w:sz="4" w:space="0"/>
      </w:pBdr>
      <w:spacing w:before="100" w:beforeAutospacing="1" w:after="100" w:afterAutospacing="1"/>
      <w:jc w:val="center"/>
    </w:pPr>
    <w:rPr>
      <w:rFonts w:ascii="宋体" w:cs="宋体"/>
      <w:color w:val="000000"/>
      <w:kern w:val="0"/>
      <w:sz w:val="16"/>
      <w:szCs w:val="16"/>
    </w:rPr>
  </w:style>
  <w:style w:type="paragraph" w:customStyle="1" w:styleId="228">
    <w:name w:val="xl253"/>
    <w:basedOn w:val="1"/>
    <w:uiPriority w:val="0"/>
    <w:pPr>
      <w:widowControl/>
      <w:pBdr>
        <w:left w:val="single" w:color="auto" w:sz="4" w:space="0"/>
        <w:right w:val="single" w:color="auto" w:sz="4" w:space="0"/>
      </w:pBdr>
      <w:spacing w:before="100" w:beforeAutospacing="1" w:after="100" w:afterAutospacing="1"/>
      <w:jc w:val="left"/>
      <w:textAlignment w:val="center"/>
    </w:pPr>
    <w:rPr>
      <w:rFonts w:ascii="宋体" w:cs="宋体"/>
      <w:color w:val="000000"/>
      <w:kern w:val="0"/>
      <w:sz w:val="24"/>
    </w:rPr>
  </w:style>
  <w:style w:type="paragraph" w:customStyle="1" w:styleId="229">
    <w:name w:val="xl109"/>
    <w:basedOn w:val="1"/>
    <w:uiPriority w:val="0"/>
    <w:pPr>
      <w:widowControl/>
      <w:pBdr>
        <w:top w:val="single" w:color="auto" w:sz="4" w:space="0"/>
        <w:bottom w:val="single" w:color="auto" w:sz="4" w:space="0"/>
      </w:pBdr>
      <w:shd w:val="clear" w:color="auto" w:fill="FFFF00"/>
      <w:spacing w:before="100" w:beforeAutospacing="1" w:after="100" w:afterAutospacing="1"/>
      <w:jc w:val="center"/>
    </w:pPr>
    <w:rPr>
      <w:rFonts w:ascii="宋体" w:cs="宋体"/>
      <w:color w:val="000000"/>
      <w:kern w:val="0"/>
      <w:sz w:val="16"/>
      <w:szCs w:val="16"/>
    </w:rPr>
  </w:style>
  <w:style w:type="paragraph" w:customStyle="1" w:styleId="230">
    <w:name w:val="xl223"/>
    <w:basedOn w:val="1"/>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center"/>
    </w:pPr>
    <w:rPr>
      <w:rFonts w:ascii="宋体" w:cs="宋体"/>
      <w:b/>
      <w:bCs/>
      <w:color w:val="000000"/>
      <w:kern w:val="0"/>
      <w:sz w:val="20"/>
      <w:szCs w:val="20"/>
    </w:rPr>
  </w:style>
  <w:style w:type="paragraph" w:customStyle="1" w:styleId="231">
    <w:name w:val="样式 样式 ssss + 宋体 五号 + 首行缩进:  2 字符"/>
    <w:basedOn w:val="232"/>
    <w:uiPriority w:val="0"/>
  </w:style>
  <w:style w:type="paragraph" w:customStyle="1" w:styleId="232">
    <w:name w:val="样式 ssss + 宋体 五号"/>
    <w:basedOn w:val="100"/>
    <w:uiPriority w:val="0"/>
    <w:rPr>
      <w:rFonts w:ascii="宋体" w:cs="宋体"/>
      <w:szCs w:val="20"/>
    </w:rPr>
  </w:style>
  <w:style w:type="paragraph" w:customStyle="1" w:styleId="233">
    <w:name w:val="xl83"/>
    <w:basedOn w:val="1"/>
    <w:uiPriority w:val="0"/>
    <w:pPr>
      <w:widowControl/>
      <w:spacing w:before="100" w:beforeAutospacing="1" w:after="100" w:afterAutospacing="1"/>
      <w:jc w:val="left"/>
    </w:pPr>
    <w:rPr>
      <w:rFonts w:ascii="宋体" w:cs="宋体"/>
      <w:b/>
      <w:bCs/>
      <w:kern w:val="0"/>
      <w:sz w:val="36"/>
      <w:szCs w:val="36"/>
    </w:rPr>
  </w:style>
  <w:style w:type="paragraph" w:customStyle="1" w:styleId="234">
    <w:name w:val="xl2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235">
    <w:name w:val="样式 标题 2 + Times New Roman 四号 非加粗 段前: 5 磅 段后: 0 磅 行距: 固定值 20..."/>
    <w:basedOn w:val="5"/>
    <w:uiPriority w:val="0"/>
    <w:pPr>
      <w:spacing w:before="100" w:line="400" w:lineRule="exact"/>
    </w:pPr>
    <w:rPr>
      <w:rFonts w:cs="宋体"/>
      <w:b w:val="0"/>
      <w:bCs w:val="0"/>
      <w:szCs w:val="20"/>
    </w:rPr>
  </w:style>
  <w:style w:type="paragraph" w:customStyle="1" w:styleId="236">
    <w:name w:val="xl74"/>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cs="宋体"/>
      <w:b/>
      <w:bCs/>
      <w:kern w:val="0"/>
      <w:sz w:val="16"/>
      <w:szCs w:val="16"/>
    </w:rPr>
  </w:style>
  <w:style w:type="paragraph" w:customStyle="1" w:styleId="237">
    <w:name w:val="xl2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eastAsia="黑体" w:cs="宋体"/>
      <w:color w:val="0000FF"/>
      <w:kern w:val="0"/>
      <w:sz w:val="20"/>
      <w:szCs w:val="20"/>
    </w:rPr>
  </w:style>
  <w:style w:type="paragraph" w:customStyle="1" w:styleId="238">
    <w:name w:val="xl96"/>
    <w:basedOn w:val="1"/>
    <w:uiPriority w:val="0"/>
    <w:pPr>
      <w:widowControl/>
      <w:pBdr>
        <w:left w:val="single" w:color="000000" w:sz="4" w:space="0"/>
        <w:right w:val="single" w:color="000000" w:sz="4" w:space="0"/>
      </w:pBdr>
      <w:spacing w:before="100" w:beforeAutospacing="1" w:after="100" w:afterAutospacing="1"/>
      <w:jc w:val="center"/>
    </w:pPr>
    <w:rPr>
      <w:rFonts w:ascii="宋体" w:cs="宋体"/>
      <w:kern w:val="0"/>
      <w:sz w:val="16"/>
      <w:szCs w:val="16"/>
    </w:rPr>
  </w:style>
  <w:style w:type="paragraph" w:customStyle="1" w:styleId="239">
    <w:name w:val="xl231"/>
    <w:basedOn w:val="1"/>
    <w:uiPriority w:val="0"/>
    <w:pPr>
      <w:widowControl/>
      <w:pBdr>
        <w:top w:val="single" w:color="auto" w:sz="4" w:space="0"/>
        <w:bottom w:val="single" w:color="auto" w:sz="4" w:space="0"/>
        <w:right w:val="single" w:color="auto" w:sz="4" w:space="0"/>
      </w:pBdr>
      <w:shd w:val="clear" w:color="auto" w:fill="FF99CC"/>
      <w:spacing w:before="100" w:beforeAutospacing="1" w:after="100" w:afterAutospacing="1"/>
      <w:jc w:val="left"/>
      <w:textAlignment w:val="center"/>
    </w:pPr>
    <w:rPr>
      <w:rFonts w:ascii="宋体" w:cs="宋体"/>
      <w:color w:val="000000"/>
      <w:kern w:val="0"/>
      <w:sz w:val="24"/>
    </w:rPr>
  </w:style>
  <w:style w:type="paragraph" w:customStyle="1" w:styleId="240">
    <w:name w:val="xl100"/>
    <w:basedOn w:val="1"/>
    <w:uiPriority w:val="0"/>
    <w:pPr>
      <w:widowControl/>
      <w:pBdr>
        <w:top w:val="single" w:color="auto" w:sz="4" w:space="0"/>
        <w:bottom w:val="single" w:color="auto" w:sz="4" w:space="0"/>
      </w:pBdr>
      <w:shd w:val="clear" w:color="auto" w:fill="FFFF00"/>
      <w:spacing w:before="100" w:beforeAutospacing="1" w:after="100" w:afterAutospacing="1"/>
      <w:jc w:val="left"/>
    </w:pPr>
    <w:rPr>
      <w:rFonts w:ascii="宋体" w:cs="宋体"/>
      <w:kern w:val="0"/>
      <w:sz w:val="16"/>
      <w:szCs w:val="16"/>
    </w:rPr>
  </w:style>
  <w:style w:type="paragraph" w:customStyle="1" w:styleId="241">
    <w:name w:val="xl120"/>
    <w:basedOn w:val="1"/>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jc w:val="left"/>
    </w:pPr>
    <w:rPr>
      <w:rFonts w:ascii="宋体" w:cs="宋体"/>
      <w:kern w:val="0"/>
      <w:sz w:val="16"/>
      <w:szCs w:val="16"/>
    </w:rPr>
  </w:style>
  <w:style w:type="paragraph" w:customStyle="1" w:styleId="242">
    <w:name w:val="xl140"/>
    <w:basedOn w:val="1"/>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jc w:val="left"/>
    </w:pPr>
    <w:rPr>
      <w:rFonts w:ascii="宋体" w:cs="宋体"/>
      <w:b/>
      <w:bCs/>
      <w:kern w:val="0"/>
      <w:sz w:val="16"/>
      <w:szCs w:val="16"/>
    </w:rPr>
  </w:style>
  <w:style w:type="paragraph" w:customStyle="1" w:styleId="243">
    <w:name w:val="xl75"/>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16"/>
      <w:szCs w:val="16"/>
    </w:rPr>
  </w:style>
  <w:style w:type="paragraph" w:customStyle="1" w:styleId="244">
    <w:name w:val="纯文本1"/>
    <w:basedOn w:val="1"/>
    <w:uiPriority w:val="0"/>
    <w:rPr>
      <w:rFonts w:ascii="宋体" w:cs="宋体"/>
      <w:sz w:val="28"/>
      <w:szCs w:val="28"/>
    </w:rPr>
  </w:style>
  <w:style w:type="paragraph" w:customStyle="1" w:styleId="245">
    <w:name w:val="xl8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b/>
      <w:bCs/>
      <w:kern w:val="0"/>
      <w:sz w:val="16"/>
      <w:szCs w:val="16"/>
    </w:rPr>
  </w:style>
  <w:style w:type="paragraph" w:customStyle="1" w:styleId="246">
    <w:name w:val="xl176"/>
    <w:basedOn w:val="1"/>
    <w:uiPriority w:val="0"/>
    <w:pPr>
      <w:widowControl/>
      <w:pBdr>
        <w:top w:val="single" w:color="auto" w:sz="4" w:space="0"/>
        <w:bottom w:val="single" w:color="auto" w:sz="4" w:space="0"/>
      </w:pBdr>
      <w:spacing w:before="100" w:beforeAutospacing="1" w:after="100" w:afterAutospacing="1"/>
      <w:jc w:val="center"/>
    </w:pPr>
    <w:rPr>
      <w:rFonts w:ascii="宋体" w:cs="宋体"/>
      <w:kern w:val="0"/>
      <w:sz w:val="16"/>
      <w:szCs w:val="16"/>
    </w:rPr>
  </w:style>
  <w:style w:type="paragraph" w:customStyle="1" w:styleId="247">
    <w:name w:val="xl1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16"/>
      <w:szCs w:val="16"/>
    </w:rPr>
  </w:style>
  <w:style w:type="paragraph" w:customStyle="1" w:styleId="248">
    <w:name w:val="正文-2字符首行缩进"/>
    <w:basedOn w:val="1"/>
    <w:uiPriority w:val="0"/>
    <w:pPr>
      <w:widowControl/>
      <w:spacing w:before="240" w:after="240"/>
      <w:ind w:hanging="720"/>
      <w:jc w:val="left"/>
    </w:pPr>
    <w:rPr>
      <w:rFonts w:ascii="仿宋_GB2312" w:eastAsia="仿宋_GB2312"/>
      <w:kern w:val="0"/>
      <w:sz w:val="28"/>
      <w:szCs w:val="22"/>
    </w:rPr>
  </w:style>
  <w:style w:type="paragraph" w:customStyle="1" w:styleId="249">
    <w:name w:val="xl224"/>
    <w:basedOn w:val="1"/>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center"/>
    </w:pPr>
    <w:rPr>
      <w:rFonts w:ascii="宋体" w:cs="宋体"/>
      <w:b/>
      <w:bCs/>
      <w:color w:val="000000"/>
      <w:kern w:val="0"/>
      <w:sz w:val="20"/>
      <w:szCs w:val="20"/>
    </w:rPr>
  </w:style>
  <w:style w:type="paragraph" w:customStyle="1" w:styleId="250">
    <w:name w:val="xl199"/>
    <w:basedOn w:val="1"/>
    <w:uiPriority w:val="0"/>
    <w:pPr>
      <w:widowControl/>
      <w:pBdr>
        <w:top w:val="single" w:color="auto" w:sz="4" w:space="0"/>
        <w:left w:val="single" w:color="auto" w:sz="4" w:space="0"/>
        <w:bottom w:val="single" w:color="auto" w:sz="4" w:space="0"/>
      </w:pBdr>
      <w:shd w:val="clear" w:color="auto" w:fill="99CC00"/>
      <w:spacing w:before="100" w:beforeAutospacing="1" w:after="100" w:afterAutospacing="1"/>
      <w:jc w:val="center"/>
    </w:pPr>
    <w:rPr>
      <w:rFonts w:ascii="宋体" w:cs="宋体"/>
      <w:kern w:val="0"/>
      <w:sz w:val="16"/>
      <w:szCs w:val="16"/>
    </w:rPr>
  </w:style>
  <w:style w:type="paragraph" w:customStyle="1" w:styleId="251">
    <w:name w:val="xl106"/>
    <w:basedOn w:val="1"/>
    <w:uiPriority w:val="0"/>
    <w:pPr>
      <w:widowControl/>
      <w:pBdr>
        <w:top w:val="single" w:color="auto" w:sz="4" w:space="0"/>
        <w:right w:val="single" w:color="000000" w:sz="4" w:space="0"/>
      </w:pBdr>
      <w:spacing w:before="100" w:beforeAutospacing="1" w:after="100" w:afterAutospacing="1"/>
      <w:jc w:val="right"/>
    </w:pPr>
    <w:rPr>
      <w:rFonts w:ascii="宋体" w:cs="宋体"/>
      <w:color w:val="000000"/>
      <w:kern w:val="0"/>
      <w:sz w:val="16"/>
      <w:szCs w:val="16"/>
    </w:rPr>
  </w:style>
  <w:style w:type="paragraph" w:customStyle="1" w:styleId="252">
    <w:name w:val="xl204"/>
    <w:basedOn w:val="1"/>
    <w:uiPriority w:val="0"/>
    <w:pPr>
      <w:widowControl/>
      <w:pBdr>
        <w:top w:val="single" w:color="auto" w:sz="4" w:space="0"/>
        <w:left w:val="single" w:color="auto" w:sz="4" w:space="0"/>
        <w:bottom w:val="single" w:color="auto" w:sz="4" w:space="0"/>
      </w:pBdr>
      <w:shd w:val="clear" w:color="auto" w:fill="99CC00"/>
      <w:spacing w:before="100" w:beforeAutospacing="1" w:after="100" w:afterAutospacing="1"/>
      <w:jc w:val="right"/>
    </w:pPr>
    <w:rPr>
      <w:rFonts w:ascii="宋体" w:cs="宋体"/>
      <w:kern w:val="0"/>
      <w:sz w:val="16"/>
      <w:szCs w:val="16"/>
    </w:rPr>
  </w:style>
  <w:style w:type="paragraph" w:customStyle="1" w:styleId="253">
    <w:name w:val="font6"/>
    <w:basedOn w:val="1"/>
    <w:uiPriority w:val="0"/>
    <w:pPr>
      <w:widowControl/>
      <w:spacing w:before="100" w:beforeAutospacing="1" w:after="100" w:afterAutospacing="1"/>
      <w:jc w:val="left"/>
    </w:pPr>
    <w:rPr>
      <w:rFonts w:ascii="黑体" w:eastAsia="黑体" w:cs="宋体"/>
      <w:b/>
      <w:bCs/>
      <w:kern w:val="0"/>
      <w:sz w:val="28"/>
      <w:szCs w:val="28"/>
    </w:rPr>
  </w:style>
  <w:style w:type="paragraph" w:customStyle="1" w:styleId="254">
    <w:name w:val="font11"/>
    <w:basedOn w:val="1"/>
    <w:uiPriority w:val="0"/>
    <w:pPr>
      <w:widowControl/>
      <w:spacing w:before="100" w:beforeAutospacing="1" w:after="100" w:afterAutospacing="1"/>
      <w:jc w:val="left"/>
    </w:pPr>
    <w:rPr>
      <w:rFonts w:ascii="宋体" w:cs="宋体"/>
      <w:b/>
      <w:bCs/>
      <w:color w:val="FF0000"/>
      <w:kern w:val="0"/>
      <w:sz w:val="18"/>
      <w:szCs w:val="18"/>
    </w:rPr>
  </w:style>
  <w:style w:type="paragraph" w:customStyle="1" w:styleId="255">
    <w:name w:val="font5"/>
    <w:basedOn w:val="1"/>
    <w:uiPriority w:val="0"/>
    <w:pPr>
      <w:widowControl/>
      <w:spacing w:before="100" w:beforeAutospacing="1" w:after="100" w:afterAutospacing="1"/>
      <w:jc w:val="left"/>
    </w:pPr>
    <w:rPr>
      <w:rFonts w:ascii="宋体" w:cs="宋体"/>
      <w:kern w:val="0"/>
      <w:sz w:val="18"/>
      <w:szCs w:val="18"/>
    </w:rPr>
  </w:style>
  <w:style w:type="paragraph" w:customStyle="1" w:styleId="256">
    <w:name w:val="xl20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kern w:val="0"/>
      <w:sz w:val="16"/>
      <w:szCs w:val="16"/>
    </w:rPr>
  </w:style>
  <w:style w:type="paragraph" w:customStyle="1" w:styleId="257">
    <w:name w:val="xl1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8"/>
      <w:szCs w:val="18"/>
    </w:rPr>
  </w:style>
  <w:style w:type="paragraph" w:customStyle="1" w:styleId="258">
    <w:name w:val="xl134"/>
    <w:basedOn w:val="1"/>
    <w:uiPriority w:val="0"/>
    <w:pPr>
      <w:widowControl/>
      <w:spacing w:before="100" w:beforeAutospacing="1" w:after="100" w:afterAutospacing="1"/>
      <w:jc w:val="center"/>
    </w:pPr>
    <w:rPr>
      <w:rFonts w:ascii="宋体" w:cs="宋体"/>
      <w:b/>
      <w:bCs/>
      <w:kern w:val="0"/>
      <w:sz w:val="30"/>
      <w:szCs w:val="30"/>
    </w:rPr>
  </w:style>
  <w:style w:type="paragraph" w:customStyle="1" w:styleId="259">
    <w:name w:val="xl221"/>
    <w:basedOn w:val="1"/>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center"/>
    </w:pPr>
    <w:rPr>
      <w:rFonts w:ascii="宋体" w:cs="宋体"/>
      <w:b/>
      <w:bCs/>
      <w:kern w:val="0"/>
      <w:sz w:val="20"/>
      <w:szCs w:val="20"/>
    </w:rPr>
  </w:style>
  <w:style w:type="paragraph" w:customStyle="1" w:styleId="260">
    <w:name w:val="x"/>
    <w:basedOn w:val="5"/>
    <w:uiPriority w:val="0"/>
    <w:rPr>
      <w:b w:val="0"/>
      <w:bCs w:val="0"/>
      <w:color w:val="000000"/>
      <w:kern w:val="2"/>
      <w:szCs w:val="28"/>
    </w:rPr>
  </w:style>
  <w:style w:type="paragraph" w:customStyle="1" w:styleId="261">
    <w:name w:val=" Char Char Char Char Char Char Char Char Char Char Char Char Char"/>
    <w:basedOn w:val="1"/>
    <w:uiPriority w:val="0"/>
  </w:style>
  <w:style w:type="paragraph" w:customStyle="1" w:styleId="262">
    <w:name w:val="标题------4"/>
    <w:basedOn w:val="7"/>
    <w:uiPriority w:val="0"/>
    <w:pPr>
      <w:keepLines/>
      <w:spacing w:line="360" w:lineRule="auto"/>
      <w:ind w:left="960" w:hanging="420"/>
      <w:jc w:val="both"/>
    </w:pPr>
    <w:rPr>
      <w:rFonts w:ascii="仿宋_GB2312" w:eastAsia="仿宋_GB2312" w:cs="仿宋_GB2312"/>
      <w:b/>
      <w:sz w:val="28"/>
      <w:szCs w:val="28"/>
      <w:lang w:val="zh-CN"/>
    </w:rPr>
  </w:style>
  <w:style w:type="paragraph" w:customStyle="1" w:styleId="263">
    <w:name w:val="xl1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kern w:val="0"/>
      <w:sz w:val="16"/>
      <w:szCs w:val="16"/>
    </w:rPr>
  </w:style>
  <w:style w:type="paragraph" w:customStyle="1" w:styleId="264">
    <w:name w:val="xl25"/>
    <w:basedOn w:val="1"/>
    <w:uiPriority w:val="0"/>
    <w:pPr>
      <w:widowControl/>
      <w:pBdr>
        <w:bottom w:val="single" w:color="auto" w:sz="4" w:space="0"/>
        <w:right w:val="single" w:color="auto" w:sz="4" w:space="0"/>
      </w:pBdr>
      <w:spacing w:before="100" w:beforeAutospacing="1" w:after="100" w:afterAutospacing="1"/>
    </w:pPr>
    <w:rPr>
      <w:rFonts w:ascii="华文细黑" w:eastAsia="华文细黑"/>
      <w:kern w:val="0"/>
      <w:sz w:val="18"/>
      <w:szCs w:val="18"/>
    </w:rPr>
  </w:style>
  <w:style w:type="paragraph" w:customStyle="1" w:styleId="265">
    <w:name w:val="xl16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kern w:val="0"/>
      <w:sz w:val="16"/>
      <w:szCs w:val="16"/>
    </w:rPr>
  </w:style>
  <w:style w:type="paragraph" w:customStyle="1" w:styleId="266">
    <w:name w:val="xl236"/>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cs="宋体"/>
      <w:color w:val="0000FF"/>
      <w:kern w:val="0"/>
      <w:sz w:val="20"/>
      <w:szCs w:val="20"/>
    </w:rPr>
  </w:style>
  <w:style w:type="paragraph" w:customStyle="1" w:styleId="267">
    <w:name w:val="xl185"/>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cs="宋体"/>
      <w:color w:val="0000FF"/>
      <w:kern w:val="0"/>
      <w:sz w:val="20"/>
      <w:szCs w:val="20"/>
    </w:rPr>
  </w:style>
  <w:style w:type="paragraph" w:customStyle="1" w:styleId="268">
    <w:name w:val="xl187"/>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kern w:val="0"/>
      <w:sz w:val="18"/>
      <w:szCs w:val="18"/>
    </w:rPr>
  </w:style>
  <w:style w:type="paragraph" w:customStyle="1" w:styleId="269">
    <w:name w:val="xl217"/>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宋体" w:cs="宋体"/>
      <w:b/>
      <w:bCs/>
      <w:kern w:val="0"/>
      <w:sz w:val="20"/>
      <w:szCs w:val="20"/>
    </w:rPr>
  </w:style>
  <w:style w:type="paragraph" w:customStyle="1" w:styleId="270">
    <w:name w:val="xl1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eastAsia="黑体" w:cs="宋体"/>
      <w:color w:val="000000"/>
      <w:kern w:val="0"/>
      <w:sz w:val="18"/>
      <w:szCs w:val="18"/>
    </w:rPr>
  </w:style>
  <w:style w:type="paragraph" w:customStyle="1" w:styleId="271">
    <w:name w:val="font9"/>
    <w:basedOn w:val="1"/>
    <w:uiPriority w:val="0"/>
    <w:pPr>
      <w:widowControl/>
      <w:spacing w:before="100" w:beforeAutospacing="1" w:after="100" w:afterAutospacing="1"/>
      <w:jc w:val="left"/>
    </w:pPr>
    <w:rPr>
      <w:rFonts w:ascii="宋体" w:cs="宋体"/>
      <w:b/>
      <w:bCs/>
      <w:kern w:val="0"/>
      <w:sz w:val="32"/>
      <w:szCs w:val="32"/>
    </w:rPr>
  </w:style>
  <w:style w:type="paragraph" w:customStyle="1" w:styleId="272">
    <w:name w:val="xl234"/>
    <w:basedOn w:val="1"/>
    <w:uiPriority w:val="0"/>
    <w:pPr>
      <w:widowControl/>
      <w:pBdr>
        <w:top w:val="single" w:color="auto" w:sz="4" w:space="0"/>
        <w:left w:val="single" w:color="auto" w:sz="4" w:space="0"/>
        <w:bottom w:val="single" w:color="auto" w:sz="4" w:space="0"/>
      </w:pBdr>
      <w:shd w:val="clear" w:color="auto" w:fill="FF99CC"/>
      <w:spacing w:before="100" w:beforeAutospacing="1" w:after="100" w:afterAutospacing="1"/>
      <w:jc w:val="left"/>
      <w:textAlignment w:val="center"/>
    </w:pPr>
    <w:rPr>
      <w:rFonts w:ascii="宋体" w:cs="宋体"/>
      <w:b/>
      <w:bCs/>
      <w:color w:val="000000"/>
      <w:kern w:val="0"/>
      <w:sz w:val="20"/>
      <w:szCs w:val="20"/>
    </w:rPr>
  </w:style>
  <w:style w:type="paragraph" w:customStyle="1" w:styleId="273">
    <w:name w:val="xl107"/>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color w:val="000000"/>
      <w:kern w:val="0"/>
      <w:sz w:val="16"/>
      <w:szCs w:val="16"/>
    </w:rPr>
  </w:style>
  <w:style w:type="paragraph" w:customStyle="1" w:styleId="274">
    <w:name w:val="xl17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kern w:val="0"/>
      <w:sz w:val="18"/>
      <w:szCs w:val="18"/>
    </w:rPr>
  </w:style>
  <w:style w:type="paragraph" w:customStyle="1" w:styleId="275">
    <w:name w:val=" Char Char1 Char Char Char Char Char Char"/>
    <w:basedOn w:val="1"/>
    <w:uiPriority w:val="0"/>
    <w:pPr>
      <w:widowControl/>
      <w:spacing w:after="160" w:line="240" w:lineRule="exact"/>
      <w:jc w:val="left"/>
    </w:pPr>
    <w:rPr>
      <w:rFonts w:ascii="Verdana" w:hAnsi="Verdana" w:eastAsia="仿宋_GB2312"/>
      <w:kern w:val="0"/>
      <w:sz w:val="24"/>
      <w:szCs w:val="20"/>
    </w:rPr>
  </w:style>
  <w:style w:type="paragraph" w:customStyle="1" w:styleId="276">
    <w:name w:val="font15"/>
    <w:basedOn w:val="1"/>
    <w:uiPriority w:val="0"/>
    <w:pPr>
      <w:widowControl/>
      <w:spacing w:before="100" w:beforeAutospacing="1" w:after="100" w:afterAutospacing="1"/>
      <w:jc w:val="left"/>
    </w:pPr>
    <w:rPr>
      <w:rFonts w:ascii="Microsoft YaHei UI" w:hAnsi="Microsoft YaHei UI" w:eastAsia="Microsoft YaHei UI" w:cs="宋体"/>
      <w:kern w:val="0"/>
      <w:sz w:val="20"/>
      <w:szCs w:val="20"/>
    </w:rPr>
  </w:style>
  <w:style w:type="paragraph" w:customStyle="1" w:styleId="277">
    <w:name w:val="xl178"/>
    <w:basedOn w:val="1"/>
    <w:uiPriority w:val="0"/>
    <w:pPr>
      <w:widowControl/>
      <w:spacing w:before="100" w:beforeAutospacing="1" w:after="100" w:afterAutospacing="1"/>
      <w:jc w:val="center"/>
    </w:pPr>
    <w:rPr>
      <w:rFonts w:ascii="宋体" w:cs="宋体"/>
      <w:b/>
      <w:bCs/>
      <w:kern w:val="0"/>
      <w:sz w:val="30"/>
      <w:szCs w:val="30"/>
    </w:rPr>
  </w:style>
  <w:style w:type="paragraph" w:customStyle="1" w:styleId="278">
    <w:name w:val="xl148"/>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cs="宋体"/>
      <w:b/>
      <w:bCs/>
      <w:color w:val="000000"/>
      <w:kern w:val="0"/>
      <w:sz w:val="18"/>
      <w:szCs w:val="18"/>
    </w:rPr>
  </w:style>
  <w:style w:type="paragraph" w:customStyle="1" w:styleId="279">
    <w:name w:val="2cxsplast"/>
    <w:basedOn w:val="1"/>
    <w:uiPriority w:val="0"/>
    <w:pPr>
      <w:widowControl/>
      <w:spacing w:before="100" w:beforeAutospacing="1" w:after="100" w:afterAutospacing="1"/>
      <w:jc w:val="left"/>
    </w:pPr>
    <w:rPr>
      <w:rFonts w:ascii="宋体" w:cs="宋体"/>
      <w:kern w:val="0"/>
      <w:sz w:val="24"/>
    </w:rPr>
  </w:style>
  <w:style w:type="paragraph" w:customStyle="1" w:styleId="280">
    <w:name w:val="xl85"/>
    <w:basedOn w:val="1"/>
    <w:uiPriority w:val="0"/>
    <w:pPr>
      <w:widowControl/>
      <w:spacing w:before="100" w:beforeAutospacing="1" w:after="100" w:afterAutospacing="1"/>
      <w:jc w:val="center"/>
    </w:pPr>
    <w:rPr>
      <w:rFonts w:ascii="宋体" w:cs="宋体"/>
      <w:b/>
      <w:bCs/>
      <w:kern w:val="0"/>
      <w:sz w:val="20"/>
      <w:szCs w:val="20"/>
    </w:rPr>
  </w:style>
  <w:style w:type="paragraph" w:customStyle="1" w:styleId="281">
    <w:name w:val="xl133"/>
    <w:basedOn w:val="1"/>
    <w:uiPriority w:val="0"/>
    <w:pPr>
      <w:widowControl/>
      <w:pBdr>
        <w:top w:val="single" w:color="auto" w:sz="4" w:space="0"/>
        <w:bottom w:val="single" w:color="auto" w:sz="4" w:space="0"/>
      </w:pBdr>
      <w:shd w:val="clear" w:color="auto" w:fill="FFFF00"/>
      <w:spacing w:before="100" w:beforeAutospacing="1" w:after="100" w:afterAutospacing="1"/>
      <w:jc w:val="center"/>
    </w:pPr>
    <w:rPr>
      <w:rFonts w:ascii="宋体" w:cs="宋体"/>
      <w:b/>
      <w:bCs/>
      <w:kern w:val="0"/>
      <w:sz w:val="16"/>
      <w:szCs w:val="16"/>
    </w:rPr>
  </w:style>
  <w:style w:type="paragraph" w:customStyle="1" w:styleId="282">
    <w:name w:val="默认段落字体 Para Char Char Char Char"/>
    <w:basedOn w:val="1"/>
    <w:uiPriority w:val="0"/>
  </w:style>
  <w:style w:type="paragraph" w:customStyle="1" w:styleId="283">
    <w:name w:val="xl127"/>
    <w:basedOn w:val="1"/>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jc w:val="left"/>
    </w:pPr>
    <w:rPr>
      <w:rFonts w:ascii="宋体" w:cs="宋体"/>
      <w:kern w:val="0"/>
      <w:sz w:val="18"/>
      <w:szCs w:val="18"/>
    </w:rPr>
  </w:style>
  <w:style w:type="paragraph" w:customStyle="1" w:styleId="284">
    <w:name w:val="xl180"/>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cs="宋体"/>
      <w:kern w:val="0"/>
      <w:sz w:val="18"/>
      <w:szCs w:val="18"/>
    </w:rPr>
  </w:style>
  <w:style w:type="paragraph" w:customStyle="1" w:styleId="285">
    <w:name w:val="xl155"/>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eastAsia="黑体" w:cs="宋体"/>
      <w:color w:val="000000"/>
      <w:kern w:val="0"/>
      <w:sz w:val="20"/>
      <w:szCs w:val="20"/>
    </w:rPr>
  </w:style>
  <w:style w:type="paragraph" w:customStyle="1" w:styleId="286">
    <w:name w:val="TOC 标题1"/>
    <w:basedOn w:val="2"/>
    <w:next w:val="1"/>
    <w:uiPriority w:val="0"/>
    <w:pPr>
      <w:widowControl/>
      <w:spacing w:before="240" w:after="0" w:line="259" w:lineRule="auto"/>
      <w:jc w:val="left"/>
      <w:outlineLvl w:val="9"/>
    </w:pPr>
    <w:rPr>
      <w:rFonts w:ascii="Cambria" w:hAnsi="Cambria"/>
      <w:b w:val="0"/>
      <w:bCs w:val="0"/>
      <w:color w:val="365F91"/>
      <w:kern w:val="0"/>
      <w:sz w:val="32"/>
      <w:szCs w:val="32"/>
    </w:rPr>
  </w:style>
  <w:style w:type="paragraph" w:customStyle="1" w:styleId="287">
    <w:name w:val="xl125"/>
    <w:basedOn w:val="1"/>
    <w:uiPriority w:val="0"/>
    <w:pPr>
      <w:widowControl/>
      <w:pBdr>
        <w:top w:val="single" w:color="auto" w:sz="4" w:space="0"/>
        <w:bottom w:val="single" w:color="auto" w:sz="4" w:space="0"/>
      </w:pBdr>
      <w:shd w:val="clear" w:color="auto" w:fill="FFFF00"/>
      <w:spacing w:before="100" w:beforeAutospacing="1" w:after="100" w:afterAutospacing="1"/>
      <w:jc w:val="center"/>
    </w:pPr>
    <w:rPr>
      <w:rFonts w:ascii="宋体" w:cs="宋体"/>
      <w:color w:val="000000"/>
      <w:kern w:val="0"/>
      <w:sz w:val="18"/>
      <w:szCs w:val="18"/>
    </w:rPr>
  </w:style>
  <w:style w:type="paragraph" w:customStyle="1" w:styleId="288">
    <w:name w:val="标题-----3"/>
    <w:basedOn w:val="6"/>
    <w:uiPriority w:val="0"/>
    <w:pPr>
      <w:spacing w:before="0" w:after="0" w:line="240" w:lineRule="auto"/>
      <w:outlineLvl w:val="0"/>
    </w:pPr>
    <w:rPr>
      <w:rFonts w:ascii="宋体"/>
      <w:b w:val="0"/>
      <w:bCs w:val="0"/>
      <w:sz w:val="28"/>
      <w:szCs w:val="28"/>
    </w:rPr>
  </w:style>
  <w:style w:type="paragraph" w:customStyle="1" w:styleId="289">
    <w:name w:val="xl130"/>
    <w:basedOn w:val="1"/>
    <w:uiPriority w:val="0"/>
    <w:pPr>
      <w:widowControl/>
      <w:pBdr>
        <w:top w:val="single" w:color="auto" w:sz="4" w:space="0"/>
        <w:bottom w:val="single" w:color="auto" w:sz="4" w:space="0"/>
      </w:pBdr>
      <w:shd w:val="clear" w:color="auto" w:fill="FFFF00"/>
      <w:spacing w:before="100" w:beforeAutospacing="1" w:after="100" w:afterAutospacing="1"/>
      <w:jc w:val="left"/>
    </w:pPr>
    <w:rPr>
      <w:rFonts w:ascii="宋体" w:cs="宋体"/>
      <w:b/>
      <w:bCs/>
      <w:kern w:val="0"/>
      <w:sz w:val="18"/>
      <w:szCs w:val="18"/>
    </w:rPr>
  </w:style>
  <w:style w:type="paragraph" w:customStyle="1" w:styleId="290">
    <w:name w:val="xl6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b/>
      <w:bCs/>
      <w:kern w:val="0"/>
      <w:sz w:val="16"/>
      <w:szCs w:val="16"/>
    </w:rPr>
  </w:style>
  <w:style w:type="paragraph" w:customStyle="1" w:styleId="291">
    <w:name w:val="xl111"/>
    <w:basedOn w:val="1"/>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cs="宋体"/>
      <w:color w:val="000000"/>
      <w:kern w:val="0"/>
      <w:sz w:val="16"/>
      <w:szCs w:val="16"/>
    </w:rPr>
  </w:style>
  <w:style w:type="paragraph" w:customStyle="1" w:styleId="292">
    <w:name w:val="xl151"/>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cs="宋体"/>
      <w:b/>
      <w:bCs/>
      <w:color w:val="000000"/>
      <w:kern w:val="0"/>
      <w:sz w:val="18"/>
      <w:szCs w:val="18"/>
    </w:rPr>
  </w:style>
  <w:style w:type="paragraph" w:customStyle="1" w:styleId="293">
    <w:name w:val="xl164"/>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cs="宋体"/>
      <w:kern w:val="0"/>
      <w:sz w:val="16"/>
      <w:szCs w:val="16"/>
    </w:rPr>
  </w:style>
  <w:style w:type="paragraph" w:customStyle="1" w:styleId="294">
    <w:name w:val="xl117"/>
    <w:basedOn w:val="1"/>
    <w:uiPriority w:val="0"/>
    <w:pPr>
      <w:widowControl/>
      <w:pBdr>
        <w:bottom w:val="single" w:color="000000" w:sz="4" w:space="0"/>
      </w:pBdr>
      <w:spacing w:before="100" w:beforeAutospacing="1" w:after="100" w:afterAutospacing="1"/>
      <w:jc w:val="right"/>
    </w:pPr>
    <w:rPr>
      <w:rFonts w:ascii="宋体" w:cs="宋体"/>
      <w:color w:val="000000"/>
      <w:kern w:val="0"/>
      <w:sz w:val="16"/>
      <w:szCs w:val="16"/>
    </w:rPr>
  </w:style>
  <w:style w:type="paragraph" w:customStyle="1" w:styleId="295">
    <w:name w:val="xl8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cs="宋体"/>
      <w:b/>
      <w:bCs/>
      <w:kern w:val="0"/>
      <w:sz w:val="16"/>
      <w:szCs w:val="16"/>
    </w:rPr>
  </w:style>
  <w:style w:type="paragraph" w:customStyle="1" w:styleId="296">
    <w:name w:val="xl1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FF"/>
      <w:kern w:val="0"/>
      <w:sz w:val="20"/>
      <w:szCs w:val="20"/>
    </w:rPr>
  </w:style>
  <w:style w:type="paragraph" w:customStyle="1" w:styleId="297">
    <w:name w:val="xl122"/>
    <w:basedOn w:val="1"/>
    <w:uiPriority w:val="0"/>
    <w:pPr>
      <w:widowControl/>
      <w:pBdr>
        <w:top w:val="single" w:color="auto" w:sz="4" w:space="0"/>
        <w:left w:val="single" w:color="000000" w:sz="4" w:space="0"/>
        <w:right w:val="single" w:color="auto" w:sz="4" w:space="0"/>
      </w:pBdr>
      <w:spacing w:before="100" w:beforeAutospacing="1" w:after="100" w:afterAutospacing="1"/>
      <w:jc w:val="left"/>
    </w:pPr>
    <w:rPr>
      <w:rFonts w:ascii="宋体" w:cs="宋体"/>
      <w:b/>
      <w:bCs/>
      <w:color w:val="000000"/>
      <w:kern w:val="0"/>
      <w:sz w:val="16"/>
      <w:szCs w:val="16"/>
    </w:rPr>
  </w:style>
  <w:style w:type="paragraph" w:customStyle="1" w:styleId="298">
    <w:name w:val="p15"/>
    <w:basedOn w:val="1"/>
    <w:uiPriority w:val="0"/>
    <w:pPr>
      <w:widowControl/>
      <w:ind w:firstLine="420"/>
    </w:pPr>
    <w:rPr>
      <w:kern w:val="0"/>
      <w:szCs w:val="20"/>
    </w:rPr>
  </w:style>
  <w:style w:type="paragraph" w:customStyle="1" w:styleId="299">
    <w:name w:val="xl20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kern w:val="0"/>
      <w:sz w:val="16"/>
      <w:szCs w:val="16"/>
    </w:rPr>
  </w:style>
  <w:style w:type="paragraph" w:customStyle="1" w:styleId="300">
    <w:name w:val="xl9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kern w:val="0"/>
      <w:sz w:val="16"/>
      <w:szCs w:val="16"/>
    </w:rPr>
  </w:style>
  <w:style w:type="paragraph" w:customStyle="1" w:styleId="301">
    <w:name w:val="xl26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4"/>
    </w:rPr>
  </w:style>
  <w:style w:type="paragraph" w:customStyle="1" w:styleId="302">
    <w:name w:val=" Char Char Char Char"/>
    <w:basedOn w:val="1"/>
    <w:uiPriority w:val="0"/>
    <w:rPr>
      <w:rFonts w:ascii="Tahoma" w:hAnsi="Tahoma"/>
      <w:sz w:val="24"/>
      <w:szCs w:val="20"/>
    </w:rPr>
  </w:style>
  <w:style w:type="paragraph" w:customStyle="1" w:styleId="303">
    <w:name w:val="xl230"/>
    <w:basedOn w:val="1"/>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left"/>
      <w:textAlignment w:val="center"/>
    </w:pPr>
    <w:rPr>
      <w:rFonts w:ascii="宋体" w:cs="宋体"/>
      <w:b/>
      <w:bCs/>
      <w:color w:val="000000"/>
      <w:kern w:val="0"/>
      <w:sz w:val="20"/>
      <w:szCs w:val="20"/>
    </w:rPr>
  </w:style>
  <w:style w:type="paragraph" w:customStyle="1" w:styleId="304">
    <w:name w:val="xl246"/>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宋体" w:cs="宋体"/>
      <w:color w:val="000000"/>
      <w:kern w:val="0"/>
      <w:sz w:val="20"/>
      <w:szCs w:val="20"/>
    </w:rPr>
  </w:style>
  <w:style w:type="paragraph" w:customStyle="1" w:styleId="305">
    <w:name w:val="font16"/>
    <w:basedOn w:val="1"/>
    <w:uiPriority w:val="0"/>
    <w:pPr>
      <w:widowControl/>
      <w:spacing w:before="100" w:beforeAutospacing="1" w:after="100" w:afterAutospacing="1"/>
      <w:jc w:val="left"/>
    </w:pPr>
    <w:rPr>
      <w:rFonts w:ascii="宋体" w:cs="宋体"/>
      <w:kern w:val="0"/>
      <w:sz w:val="18"/>
      <w:szCs w:val="18"/>
    </w:rPr>
  </w:style>
  <w:style w:type="paragraph" w:customStyle="1" w:styleId="306">
    <w:name w:val="xl152"/>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cs="宋体"/>
      <w:b/>
      <w:bCs/>
      <w:color w:val="000000"/>
      <w:kern w:val="0"/>
      <w:sz w:val="18"/>
      <w:szCs w:val="18"/>
    </w:rPr>
  </w:style>
  <w:style w:type="paragraph" w:customStyle="1" w:styleId="307">
    <w:name w:val="xl102"/>
    <w:basedOn w:val="1"/>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cs="宋体"/>
      <w:kern w:val="0"/>
      <w:sz w:val="16"/>
      <w:szCs w:val="16"/>
    </w:rPr>
  </w:style>
  <w:style w:type="paragraph" w:customStyle="1" w:styleId="308">
    <w:name w:val="xl104"/>
    <w:basedOn w:val="1"/>
    <w:uiPriority w:val="0"/>
    <w:pPr>
      <w:widowControl/>
      <w:pBdr>
        <w:top w:val="single" w:color="auto" w:sz="4" w:space="0"/>
        <w:right w:val="single" w:color="000000" w:sz="4" w:space="0"/>
      </w:pBdr>
      <w:spacing w:before="100" w:beforeAutospacing="1" w:after="100" w:afterAutospacing="1"/>
      <w:jc w:val="center"/>
    </w:pPr>
    <w:rPr>
      <w:rFonts w:ascii="宋体" w:cs="宋体"/>
      <w:color w:val="000000"/>
      <w:kern w:val="0"/>
      <w:sz w:val="16"/>
      <w:szCs w:val="16"/>
    </w:rPr>
  </w:style>
  <w:style w:type="paragraph" w:customStyle="1" w:styleId="309">
    <w:name w:val="xl15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eastAsia="黑体" w:cs="宋体"/>
      <w:kern w:val="0"/>
      <w:sz w:val="20"/>
      <w:szCs w:val="20"/>
    </w:rPr>
  </w:style>
  <w:style w:type="paragraph" w:customStyle="1" w:styleId="310">
    <w:name w:val=" Char Char 字元 字元 字元 Char Char Char Char"/>
    <w:basedOn w:val="1"/>
    <w:uiPriority w:val="0"/>
    <w:pPr>
      <w:adjustRightInd w:val="0"/>
      <w:spacing w:line="360" w:lineRule="auto"/>
    </w:pPr>
    <w:rPr>
      <w:kern w:val="0"/>
      <w:sz w:val="24"/>
      <w:szCs w:val="20"/>
    </w:rPr>
  </w:style>
  <w:style w:type="paragraph" w:customStyle="1" w:styleId="311">
    <w:name w:val="xl238"/>
    <w:basedOn w:val="1"/>
    <w:uiPriority w:val="0"/>
    <w:pPr>
      <w:widowControl/>
      <w:pBdr>
        <w:bottom w:val="single" w:color="auto" w:sz="4" w:space="0"/>
      </w:pBdr>
      <w:spacing w:before="100" w:beforeAutospacing="1" w:after="100" w:afterAutospacing="1"/>
      <w:jc w:val="center"/>
      <w:textAlignment w:val="center"/>
    </w:pPr>
    <w:rPr>
      <w:rFonts w:ascii="宋体" w:cs="宋体"/>
      <w:b/>
      <w:bCs/>
      <w:kern w:val="0"/>
      <w:sz w:val="24"/>
    </w:rPr>
  </w:style>
  <w:style w:type="paragraph" w:customStyle="1" w:styleId="312">
    <w:name w:val="xl1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6"/>
      <w:szCs w:val="16"/>
    </w:rPr>
  </w:style>
  <w:style w:type="paragraph" w:customStyle="1" w:styleId="313">
    <w:name w:val="xl175"/>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cs="宋体"/>
      <w:kern w:val="0"/>
      <w:sz w:val="16"/>
      <w:szCs w:val="16"/>
    </w:rPr>
  </w:style>
  <w:style w:type="paragraph" w:customStyle="1" w:styleId="314">
    <w:name w:val="样式 正文文本缩进 3 + 四号"/>
    <w:basedOn w:val="31"/>
    <w:uiPriority w:val="0"/>
    <w:pPr>
      <w:spacing w:after="0" w:line="360" w:lineRule="auto"/>
      <w:ind w:left="0" w:leftChars="0" w:firstLine="437"/>
    </w:pPr>
    <w:rPr>
      <w:sz w:val="24"/>
      <w:szCs w:val="21"/>
    </w:rPr>
  </w:style>
  <w:style w:type="paragraph" w:customStyle="1" w:styleId="315">
    <w:name w:val="msonormal"/>
    <w:basedOn w:val="1"/>
    <w:uiPriority w:val="0"/>
    <w:pPr>
      <w:widowControl/>
      <w:spacing w:before="100" w:beforeAutospacing="1" w:after="100" w:afterAutospacing="1"/>
      <w:jc w:val="left"/>
    </w:pPr>
    <w:rPr>
      <w:rFonts w:ascii="宋体" w:cs="宋体"/>
      <w:kern w:val="0"/>
      <w:sz w:val="24"/>
    </w:rPr>
  </w:style>
  <w:style w:type="paragraph" w:customStyle="1" w:styleId="316">
    <w:name w:val="xl84"/>
    <w:basedOn w:val="1"/>
    <w:uiPriority w:val="0"/>
    <w:pPr>
      <w:widowControl/>
      <w:spacing w:before="100" w:beforeAutospacing="1" w:after="100" w:afterAutospacing="1"/>
      <w:jc w:val="left"/>
    </w:pPr>
    <w:rPr>
      <w:rFonts w:ascii="宋体" w:cs="宋体"/>
      <w:b/>
      <w:bCs/>
      <w:kern w:val="0"/>
      <w:sz w:val="36"/>
      <w:szCs w:val="36"/>
    </w:rPr>
  </w:style>
  <w:style w:type="paragraph" w:customStyle="1" w:styleId="317">
    <w:name w:val="1级小标"/>
    <w:basedOn w:val="1"/>
    <w:uiPriority w:val="0"/>
    <w:pPr>
      <w:keepLines/>
      <w:spacing w:line="360" w:lineRule="auto"/>
      <w:contextualSpacing/>
      <w:jc w:val="left"/>
      <w:outlineLvl w:val="1"/>
    </w:pPr>
    <w:rPr>
      <w:rFonts w:eastAsia="黑体"/>
      <w:kern w:val="0"/>
      <w:sz w:val="28"/>
      <w:szCs w:val="36"/>
      <w:lang w:bidi="en-US"/>
    </w:rPr>
  </w:style>
  <w:style w:type="paragraph" w:customStyle="1" w:styleId="318">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19">
    <w:name w:val="font2"/>
    <w:basedOn w:val="1"/>
    <w:qFormat/>
    <w:uiPriority w:val="0"/>
    <w:pPr>
      <w:widowControl/>
      <w:spacing w:before="100" w:beforeAutospacing="1" w:after="100" w:afterAutospacing="1"/>
      <w:jc w:val="left"/>
    </w:pPr>
    <w:rPr>
      <w:rFonts w:ascii="宋体" w:cs="宋体"/>
      <w:b/>
      <w:bCs/>
      <w:color w:val="000000"/>
      <w:kern w:val="0"/>
      <w:szCs w:val="21"/>
    </w:rPr>
  </w:style>
  <w:style w:type="paragraph" w:customStyle="1" w:styleId="320">
    <w:name w:val="Char Char Char Char Char Char Char Char Char Char"/>
    <w:basedOn w:val="1"/>
    <w:uiPriority w:val="0"/>
    <w:rPr>
      <w:rFonts w:ascii="Tahoma" w:hAnsi="Tahoma"/>
      <w:sz w:val="24"/>
      <w:szCs w:val="20"/>
    </w:rPr>
  </w:style>
  <w:style w:type="paragraph" w:customStyle="1" w:styleId="321">
    <w:name w:val="xl198"/>
    <w:basedOn w:val="1"/>
    <w:uiPriority w:val="0"/>
    <w:pPr>
      <w:widowControl/>
      <w:spacing w:before="100" w:beforeAutospacing="1" w:after="100" w:afterAutospacing="1"/>
      <w:jc w:val="center"/>
    </w:pPr>
    <w:rPr>
      <w:rFonts w:ascii="宋体" w:cs="宋体"/>
      <w:kern w:val="0"/>
      <w:sz w:val="16"/>
      <w:szCs w:val="16"/>
    </w:rPr>
  </w:style>
  <w:style w:type="paragraph" w:customStyle="1" w:styleId="322">
    <w:name w:val="xl86"/>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cs="宋体"/>
      <w:b/>
      <w:bCs/>
      <w:kern w:val="0"/>
      <w:sz w:val="16"/>
      <w:szCs w:val="16"/>
    </w:rPr>
  </w:style>
  <w:style w:type="paragraph" w:customStyle="1" w:styleId="323">
    <w:name w:val="xl114"/>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cs="宋体"/>
      <w:color w:val="000000"/>
      <w:kern w:val="0"/>
      <w:sz w:val="16"/>
      <w:szCs w:val="16"/>
    </w:rPr>
  </w:style>
  <w:style w:type="paragraph" w:customStyle="1" w:styleId="324">
    <w:name w:val="font1"/>
    <w:basedOn w:val="1"/>
    <w:uiPriority w:val="0"/>
    <w:pPr>
      <w:widowControl/>
      <w:spacing w:before="100" w:beforeAutospacing="1" w:after="100" w:afterAutospacing="1"/>
      <w:jc w:val="left"/>
    </w:pPr>
    <w:rPr>
      <w:rFonts w:ascii="宋体" w:cs="宋体"/>
      <w:color w:val="000000"/>
      <w:kern w:val="0"/>
      <w:szCs w:val="21"/>
    </w:rPr>
  </w:style>
  <w:style w:type="paragraph" w:customStyle="1" w:styleId="325">
    <w:name w:val="xl73"/>
    <w:basedOn w:val="1"/>
    <w:uiPriority w:val="0"/>
    <w:pPr>
      <w:widowControl/>
      <w:pBdr>
        <w:bottom w:val="single" w:color="auto" w:sz="4" w:space="0"/>
      </w:pBdr>
      <w:spacing w:before="100" w:beforeAutospacing="1" w:after="100" w:afterAutospacing="1"/>
      <w:jc w:val="center"/>
    </w:pPr>
    <w:rPr>
      <w:rFonts w:ascii="黑体" w:eastAsia="黑体" w:cs="宋体"/>
      <w:b/>
      <w:bCs/>
      <w:kern w:val="0"/>
      <w:sz w:val="28"/>
      <w:szCs w:val="28"/>
    </w:rPr>
  </w:style>
  <w:style w:type="paragraph" w:customStyle="1" w:styleId="326">
    <w:name w:val="xl1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6"/>
      <w:szCs w:val="16"/>
    </w:rPr>
  </w:style>
  <w:style w:type="paragraph" w:customStyle="1" w:styleId="327">
    <w:name w:val="xl25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rPr>
  </w:style>
  <w:style w:type="paragraph" w:customStyle="1" w:styleId="328">
    <w:name w:val="正文样式1"/>
    <w:basedOn w:val="1"/>
    <w:uiPriority w:val="0"/>
    <w:pPr>
      <w:spacing w:before="120" w:after="120" w:line="360" w:lineRule="auto"/>
      <w:ind w:firstLine="200" w:firstLineChars="200"/>
    </w:pPr>
    <w:rPr>
      <w:sz w:val="24"/>
      <w:szCs w:val="20"/>
    </w:rPr>
  </w:style>
  <w:style w:type="paragraph" w:customStyle="1" w:styleId="329">
    <w:name w:val="ec_msonormal"/>
    <w:basedOn w:val="1"/>
    <w:uiPriority w:val="0"/>
    <w:pPr>
      <w:widowControl/>
      <w:spacing w:before="100" w:beforeAutospacing="1" w:after="100" w:afterAutospacing="1"/>
      <w:jc w:val="left"/>
    </w:pPr>
    <w:rPr>
      <w:rFonts w:ascii="宋体"/>
      <w:kern w:val="0"/>
      <w:sz w:val="24"/>
    </w:rPr>
  </w:style>
  <w:style w:type="paragraph" w:customStyle="1" w:styleId="330">
    <w:name w:val="Revision"/>
    <w:uiPriority w:val="0"/>
    <w:rPr>
      <w:rFonts w:ascii="Times New Roman" w:hAnsi="Times New Roman" w:eastAsia="宋体" w:cs="Arial"/>
      <w:kern w:val="2"/>
      <w:sz w:val="21"/>
      <w:szCs w:val="21"/>
      <w:lang w:val="en-US" w:eastAsia="zh-CN" w:bidi="ar-SA"/>
    </w:rPr>
  </w:style>
  <w:style w:type="paragraph" w:customStyle="1" w:styleId="331">
    <w:name w:val="xl71"/>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cs="宋体"/>
      <w:b/>
      <w:bCs/>
      <w:kern w:val="0"/>
      <w:sz w:val="16"/>
      <w:szCs w:val="16"/>
    </w:rPr>
  </w:style>
  <w:style w:type="paragraph" w:customStyle="1" w:styleId="332">
    <w:name w:val="xl8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b/>
      <w:bCs/>
      <w:kern w:val="0"/>
      <w:sz w:val="20"/>
      <w:szCs w:val="20"/>
    </w:rPr>
  </w:style>
  <w:style w:type="paragraph" w:customStyle="1" w:styleId="333">
    <w:name w:val="xl2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4"/>
    </w:rPr>
  </w:style>
  <w:style w:type="paragraph" w:customStyle="1" w:styleId="334">
    <w:name w:val="xl213"/>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宋体" w:cs="宋体"/>
      <w:b/>
      <w:bCs/>
      <w:color w:val="0000FF"/>
      <w:kern w:val="0"/>
      <w:sz w:val="20"/>
      <w:szCs w:val="20"/>
    </w:rPr>
  </w:style>
  <w:style w:type="paragraph" w:customStyle="1" w:styleId="335">
    <w:name w:val="xl256"/>
    <w:basedOn w:val="1"/>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left"/>
      <w:textAlignment w:val="center"/>
    </w:pPr>
    <w:rPr>
      <w:rFonts w:ascii="宋体" w:cs="宋体"/>
      <w:color w:val="000000"/>
      <w:kern w:val="0"/>
      <w:sz w:val="24"/>
    </w:rPr>
  </w:style>
  <w:style w:type="paragraph" w:customStyle="1" w:styleId="336">
    <w:name w:val="xl2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337">
    <w:name w:val="xl15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eastAsia="黑体" w:cs="宋体"/>
      <w:color w:val="000000"/>
      <w:kern w:val="0"/>
      <w:sz w:val="20"/>
      <w:szCs w:val="20"/>
    </w:rPr>
  </w:style>
  <w:style w:type="paragraph" w:customStyle="1" w:styleId="338">
    <w:name w:val="xl218"/>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宋体" w:cs="宋体"/>
      <w:color w:val="0000FF"/>
      <w:kern w:val="0"/>
      <w:sz w:val="20"/>
      <w:szCs w:val="20"/>
    </w:rPr>
  </w:style>
  <w:style w:type="paragraph" w:customStyle="1" w:styleId="339">
    <w:name w:val="xl214"/>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楷体" w:eastAsia="楷体" w:cs="宋体"/>
      <w:b/>
      <w:bCs/>
      <w:color w:val="0000FF"/>
      <w:kern w:val="0"/>
      <w:sz w:val="20"/>
      <w:szCs w:val="20"/>
    </w:rPr>
  </w:style>
  <w:style w:type="paragraph" w:customStyle="1" w:styleId="340">
    <w:name w:val="xl131"/>
    <w:basedOn w:val="1"/>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jc w:val="left"/>
    </w:pPr>
    <w:rPr>
      <w:rFonts w:ascii="宋体" w:cs="宋体"/>
      <w:b/>
      <w:bCs/>
      <w:kern w:val="0"/>
      <w:sz w:val="16"/>
      <w:szCs w:val="16"/>
    </w:rPr>
  </w:style>
  <w:style w:type="paragraph" w:customStyle="1" w:styleId="341">
    <w:name w:val="xl124"/>
    <w:basedOn w:val="1"/>
    <w:uiPriority w:val="0"/>
    <w:pPr>
      <w:widowControl/>
      <w:pBdr>
        <w:top w:val="single" w:color="auto" w:sz="4" w:space="0"/>
        <w:bottom w:val="single" w:color="auto" w:sz="4" w:space="0"/>
      </w:pBdr>
      <w:shd w:val="clear" w:color="auto" w:fill="FFFF00"/>
      <w:spacing w:before="100" w:beforeAutospacing="1" w:after="100" w:afterAutospacing="1"/>
      <w:jc w:val="center"/>
    </w:pPr>
    <w:rPr>
      <w:rFonts w:ascii="宋体" w:cs="宋体"/>
      <w:color w:val="000000"/>
      <w:kern w:val="0"/>
      <w:sz w:val="18"/>
      <w:szCs w:val="18"/>
    </w:rPr>
  </w:style>
  <w:style w:type="paragraph" w:customStyle="1" w:styleId="342">
    <w:name w:val="xl18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cs="宋体"/>
      <w:kern w:val="0"/>
      <w:sz w:val="16"/>
      <w:szCs w:val="16"/>
    </w:rPr>
  </w:style>
  <w:style w:type="paragraph" w:customStyle="1" w:styleId="343">
    <w:name w:val="_Style 17"/>
    <w:basedOn w:val="1"/>
    <w:uiPriority w:val="0"/>
    <w:pPr>
      <w:widowControl/>
      <w:spacing w:line="400" w:lineRule="exact"/>
      <w:jc w:val="center"/>
    </w:pPr>
  </w:style>
  <w:style w:type="paragraph" w:customStyle="1" w:styleId="344">
    <w:name w:val="xl171"/>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cs="宋体"/>
      <w:kern w:val="0"/>
      <w:sz w:val="16"/>
      <w:szCs w:val="16"/>
    </w:rPr>
  </w:style>
  <w:style w:type="paragraph" w:customStyle="1" w:styleId="345">
    <w:name w:val="xl94"/>
    <w:basedOn w:val="1"/>
    <w:uiPriority w:val="0"/>
    <w:pPr>
      <w:widowControl/>
      <w:pBdr>
        <w:right w:val="single" w:color="000000" w:sz="4" w:space="0"/>
      </w:pBdr>
      <w:spacing w:before="100" w:beforeAutospacing="1" w:after="100" w:afterAutospacing="1"/>
      <w:jc w:val="right"/>
    </w:pPr>
    <w:rPr>
      <w:rFonts w:ascii="宋体" w:cs="宋体"/>
      <w:color w:val="000000"/>
      <w:kern w:val="0"/>
      <w:sz w:val="16"/>
      <w:szCs w:val="16"/>
    </w:rPr>
  </w:style>
  <w:style w:type="paragraph" w:customStyle="1" w:styleId="346">
    <w:name w:val="修订1"/>
    <w:uiPriority w:val="0"/>
    <w:rPr>
      <w:rFonts w:ascii="Times New Roman" w:hAnsi="Times New Roman" w:eastAsia="宋体" w:cs="Arial"/>
      <w:kern w:val="2"/>
      <w:sz w:val="21"/>
      <w:szCs w:val="21"/>
      <w:lang w:val="en-US" w:eastAsia="zh-CN" w:bidi="ar-SA"/>
    </w:rPr>
  </w:style>
  <w:style w:type="paragraph" w:customStyle="1" w:styleId="347">
    <w:name w:val="Char Char1 Char Char Char Char Char Char Char Char"/>
    <w:basedOn w:val="1"/>
    <w:next w:val="1"/>
    <w:uiPriority w:val="0"/>
    <w:pPr>
      <w:adjustRightInd w:val="0"/>
      <w:spacing w:after="160" w:line="240" w:lineRule="exact"/>
    </w:pPr>
    <w:rPr>
      <w:rFonts w:ascii="Verdana" w:hAnsi="Verdana"/>
      <w:kern w:val="0"/>
      <w:sz w:val="20"/>
      <w:szCs w:val="20"/>
    </w:rPr>
  </w:style>
  <w:style w:type="paragraph" w:customStyle="1" w:styleId="348">
    <w:name w:val="xl229"/>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349">
    <w:name w:val="xl190"/>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cs="宋体"/>
      <w:kern w:val="0"/>
      <w:sz w:val="16"/>
      <w:szCs w:val="16"/>
    </w:rPr>
  </w:style>
  <w:style w:type="paragraph" w:customStyle="1" w:styleId="350">
    <w:name w:val="xl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b/>
      <w:bCs/>
      <w:kern w:val="0"/>
      <w:sz w:val="16"/>
      <w:szCs w:val="16"/>
    </w:rPr>
  </w:style>
  <w:style w:type="paragraph" w:customStyle="1" w:styleId="351">
    <w:name w:val="xl82"/>
    <w:basedOn w:val="1"/>
    <w:uiPriority w:val="0"/>
    <w:pPr>
      <w:widowControl/>
      <w:spacing w:before="100" w:beforeAutospacing="1" w:after="100" w:afterAutospacing="1"/>
      <w:jc w:val="center"/>
    </w:pPr>
    <w:rPr>
      <w:rFonts w:ascii="宋体" w:cs="宋体"/>
      <w:b/>
      <w:bCs/>
      <w:kern w:val="0"/>
      <w:sz w:val="36"/>
      <w:szCs w:val="36"/>
    </w:rPr>
  </w:style>
  <w:style w:type="paragraph" w:customStyle="1" w:styleId="352">
    <w:name w:val="xl235"/>
    <w:basedOn w:val="1"/>
    <w:uiPriority w:val="0"/>
    <w:pPr>
      <w:widowControl/>
      <w:pBdr>
        <w:top w:val="single" w:color="auto" w:sz="4" w:space="0"/>
        <w:bottom w:val="single" w:color="auto" w:sz="4" w:space="0"/>
        <w:right w:val="single" w:color="auto" w:sz="4" w:space="0"/>
      </w:pBdr>
      <w:shd w:val="clear" w:color="auto" w:fill="FF99CC"/>
      <w:spacing w:before="100" w:beforeAutospacing="1" w:after="100" w:afterAutospacing="1"/>
      <w:jc w:val="left"/>
      <w:textAlignment w:val="center"/>
    </w:pPr>
    <w:rPr>
      <w:rFonts w:ascii="宋体" w:cs="宋体"/>
      <w:kern w:val="0"/>
      <w:sz w:val="24"/>
    </w:rPr>
  </w:style>
  <w:style w:type="paragraph" w:customStyle="1" w:styleId="353">
    <w:name w:val="xl118"/>
    <w:basedOn w:val="1"/>
    <w:uiPriority w:val="0"/>
    <w:pPr>
      <w:widowControl/>
      <w:pBdr>
        <w:top w:val="single" w:color="auto" w:sz="4" w:space="0"/>
        <w:bottom w:val="single" w:color="auto" w:sz="4" w:space="0"/>
      </w:pBdr>
      <w:shd w:val="clear" w:color="auto" w:fill="FFFF00"/>
      <w:spacing w:before="100" w:beforeAutospacing="1" w:after="100" w:afterAutospacing="1"/>
      <w:jc w:val="center"/>
    </w:pPr>
    <w:rPr>
      <w:rFonts w:ascii="宋体" w:cs="宋体"/>
      <w:color w:val="000000"/>
      <w:kern w:val="0"/>
      <w:sz w:val="16"/>
      <w:szCs w:val="16"/>
    </w:rPr>
  </w:style>
  <w:style w:type="paragraph" w:customStyle="1" w:styleId="354">
    <w:name w:val="xl141"/>
    <w:basedOn w:val="1"/>
    <w:qFormat/>
    <w:uiPriority w:val="0"/>
    <w:pPr>
      <w:widowControl/>
      <w:pBdr>
        <w:top w:val="single" w:color="auto" w:sz="4" w:space="0"/>
        <w:bottom w:val="single" w:color="auto" w:sz="4" w:space="0"/>
      </w:pBdr>
      <w:shd w:val="clear" w:color="auto" w:fill="FFFF00"/>
      <w:spacing w:before="100" w:beforeAutospacing="1" w:after="100" w:afterAutospacing="1"/>
      <w:jc w:val="left"/>
    </w:pPr>
    <w:rPr>
      <w:rFonts w:ascii="宋体" w:cs="宋体"/>
      <w:b/>
      <w:bCs/>
      <w:kern w:val="0"/>
      <w:sz w:val="16"/>
      <w:szCs w:val="16"/>
    </w:rPr>
  </w:style>
  <w:style w:type="paragraph" w:customStyle="1" w:styleId="355">
    <w:name w:val="xl209"/>
    <w:basedOn w:val="1"/>
    <w:uiPriority w:val="0"/>
    <w:pPr>
      <w:widowControl/>
      <w:pBdr>
        <w:top w:val="single" w:color="auto" w:sz="4" w:space="0"/>
        <w:bottom w:val="single" w:color="auto" w:sz="4" w:space="0"/>
        <w:right w:val="single" w:color="auto" w:sz="4" w:space="0"/>
      </w:pBdr>
      <w:shd w:val="clear" w:color="auto" w:fill="99CC00"/>
      <w:spacing w:before="100" w:beforeAutospacing="1" w:after="100" w:afterAutospacing="1"/>
      <w:jc w:val="center"/>
    </w:pPr>
    <w:rPr>
      <w:rFonts w:ascii="Calibri" w:hAnsi="Calibri" w:cs="宋体"/>
      <w:kern w:val="0"/>
      <w:sz w:val="18"/>
      <w:szCs w:val="18"/>
    </w:rPr>
  </w:style>
  <w:style w:type="paragraph" w:customStyle="1" w:styleId="356">
    <w:name w:val="表格标题"/>
    <w:basedOn w:val="1"/>
    <w:uiPriority w:val="0"/>
    <w:pPr>
      <w:spacing w:line="220" w:lineRule="exact"/>
    </w:pPr>
    <w:rPr>
      <w:rFonts w:ascii="Arial" w:hAnsi="Arial" w:eastAsia="黑体"/>
      <w:color w:val="007CA8"/>
      <w:kern w:val="0"/>
      <w:sz w:val="15"/>
      <w:szCs w:val="13"/>
    </w:rPr>
  </w:style>
  <w:style w:type="paragraph" w:customStyle="1" w:styleId="357">
    <w:name w:val="xl242"/>
    <w:basedOn w:val="1"/>
    <w:uiPriority w:val="0"/>
    <w:pPr>
      <w:widowControl/>
      <w:pBdr>
        <w:left w:val="single" w:color="auto" w:sz="4" w:space="0"/>
        <w:right w:val="single" w:color="auto" w:sz="4" w:space="0"/>
      </w:pBdr>
      <w:spacing w:before="100" w:beforeAutospacing="1" w:after="100" w:afterAutospacing="1"/>
      <w:jc w:val="left"/>
      <w:textAlignment w:val="center"/>
    </w:pPr>
    <w:rPr>
      <w:rFonts w:ascii="宋体" w:cs="宋体"/>
      <w:color w:val="0000FF"/>
      <w:kern w:val="0"/>
      <w:sz w:val="24"/>
    </w:rPr>
  </w:style>
  <w:style w:type="paragraph" w:customStyle="1" w:styleId="358">
    <w:name w:val="xl92"/>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cs="宋体"/>
      <w:b/>
      <w:bCs/>
      <w:kern w:val="0"/>
      <w:sz w:val="16"/>
      <w:szCs w:val="16"/>
    </w:rPr>
  </w:style>
  <w:style w:type="paragraph" w:customStyle="1" w:styleId="359">
    <w:name w:val="xl208"/>
    <w:basedOn w:val="1"/>
    <w:uiPriority w:val="0"/>
    <w:pPr>
      <w:widowControl/>
      <w:pBdr>
        <w:top w:val="single" w:color="auto" w:sz="4" w:space="0"/>
        <w:bottom w:val="single" w:color="auto" w:sz="4" w:space="0"/>
      </w:pBdr>
      <w:shd w:val="clear" w:color="auto" w:fill="99CC00"/>
      <w:spacing w:before="100" w:beforeAutospacing="1" w:after="100" w:afterAutospacing="1"/>
    </w:pPr>
    <w:rPr>
      <w:rFonts w:ascii="Calibri" w:hAnsi="Calibri" w:cs="宋体"/>
      <w:kern w:val="0"/>
      <w:sz w:val="18"/>
      <w:szCs w:val="18"/>
    </w:rPr>
  </w:style>
  <w:style w:type="paragraph" w:customStyle="1" w:styleId="360">
    <w:name w:val="样式1"/>
    <w:basedOn w:val="1"/>
    <w:next w:val="2"/>
    <w:uiPriority w:val="0"/>
    <w:pPr>
      <w:spacing w:line="360" w:lineRule="auto"/>
      <w:jc w:val="center"/>
    </w:pPr>
    <w:rPr>
      <w:rFonts w:eastAsia="黑体"/>
      <w:sz w:val="36"/>
    </w:rPr>
  </w:style>
  <w:style w:type="paragraph" w:customStyle="1" w:styleId="361">
    <w:name w:val="xl144"/>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8"/>
      <w:szCs w:val="18"/>
    </w:rPr>
  </w:style>
  <w:style w:type="paragraph" w:customStyle="1" w:styleId="362">
    <w:name w:val="font12"/>
    <w:basedOn w:val="1"/>
    <w:uiPriority w:val="0"/>
    <w:pPr>
      <w:widowControl/>
      <w:spacing w:before="100" w:beforeAutospacing="1" w:after="100" w:afterAutospacing="1"/>
      <w:jc w:val="left"/>
    </w:pPr>
    <w:rPr>
      <w:rFonts w:ascii="宋体" w:cs="宋体"/>
      <w:color w:val="000000"/>
      <w:kern w:val="0"/>
      <w:sz w:val="22"/>
      <w:szCs w:val="22"/>
    </w:rPr>
  </w:style>
  <w:style w:type="paragraph" w:customStyle="1" w:styleId="363">
    <w:name w:val="Address"/>
    <w:basedOn w:val="1"/>
    <w:next w:val="1"/>
    <w:uiPriority w:val="0"/>
    <w:pPr>
      <w:autoSpaceDE w:val="0"/>
      <w:autoSpaceDN w:val="0"/>
      <w:adjustRightInd w:val="0"/>
      <w:jc w:val="left"/>
    </w:pPr>
    <w:rPr>
      <w:i/>
      <w:kern w:val="0"/>
      <w:sz w:val="24"/>
      <w:szCs w:val="20"/>
    </w:rPr>
  </w:style>
  <w:style w:type="paragraph" w:customStyle="1" w:styleId="364">
    <w:name w:val="xl116"/>
    <w:basedOn w:val="1"/>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cs="宋体"/>
      <w:color w:val="000000"/>
      <w:kern w:val="0"/>
      <w:sz w:val="16"/>
      <w:szCs w:val="16"/>
    </w:rPr>
  </w:style>
  <w:style w:type="paragraph" w:customStyle="1" w:styleId="365">
    <w:name w:val="xl177"/>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cs="宋体"/>
      <w:kern w:val="0"/>
      <w:sz w:val="16"/>
      <w:szCs w:val="16"/>
    </w:rPr>
  </w:style>
  <w:style w:type="paragraph" w:customStyle="1" w:styleId="366">
    <w:name w:val="xl183"/>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宋体" w:cs="宋体"/>
      <w:color w:val="000000"/>
      <w:kern w:val="0"/>
      <w:sz w:val="20"/>
      <w:szCs w:val="20"/>
    </w:rPr>
  </w:style>
  <w:style w:type="paragraph" w:customStyle="1" w:styleId="367">
    <w:name w:val="xl25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368">
    <w:name w:val="xl76"/>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cs="宋体"/>
      <w:b/>
      <w:bCs/>
      <w:color w:val="000000"/>
      <w:kern w:val="0"/>
      <w:sz w:val="16"/>
      <w:szCs w:val="16"/>
    </w:rPr>
  </w:style>
  <w:style w:type="paragraph" w:customStyle="1" w:styleId="369">
    <w:name w:val="xl205"/>
    <w:basedOn w:val="1"/>
    <w:uiPriority w:val="0"/>
    <w:pPr>
      <w:widowControl/>
      <w:pBdr>
        <w:bottom w:val="single" w:color="auto" w:sz="4" w:space="0"/>
      </w:pBdr>
      <w:spacing w:before="100" w:beforeAutospacing="1" w:after="100" w:afterAutospacing="1"/>
      <w:jc w:val="center"/>
    </w:pPr>
    <w:rPr>
      <w:rFonts w:ascii="宋体" w:cs="宋体"/>
      <w:b/>
      <w:bCs/>
      <w:kern w:val="0"/>
      <w:sz w:val="32"/>
      <w:szCs w:val="32"/>
    </w:rPr>
  </w:style>
  <w:style w:type="paragraph" w:customStyle="1" w:styleId="370">
    <w:name w:val="xl119"/>
    <w:basedOn w:val="1"/>
    <w:uiPriority w:val="0"/>
    <w:pPr>
      <w:widowControl/>
      <w:pBdr>
        <w:top w:val="single" w:color="auto" w:sz="4" w:space="0"/>
        <w:bottom w:val="single" w:color="auto" w:sz="4" w:space="0"/>
      </w:pBdr>
      <w:shd w:val="clear" w:color="auto" w:fill="FFFF00"/>
      <w:spacing w:before="100" w:beforeAutospacing="1" w:after="100" w:afterAutospacing="1"/>
      <w:jc w:val="left"/>
    </w:pPr>
    <w:rPr>
      <w:rFonts w:ascii="宋体" w:cs="宋体"/>
      <w:color w:val="000000"/>
      <w:kern w:val="0"/>
      <w:sz w:val="16"/>
      <w:szCs w:val="16"/>
    </w:rPr>
  </w:style>
  <w:style w:type="paragraph" w:customStyle="1" w:styleId="371">
    <w:name w:val="样式 标题 3 + (中文) 黑体 小四 非加粗 段前: 7.8 磅 段后: 0 磅 行距: 固定值 20 磅"/>
    <w:basedOn w:val="6"/>
    <w:uiPriority w:val="0"/>
    <w:pPr>
      <w:spacing w:before="0" w:after="0" w:line="400" w:lineRule="exact"/>
    </w:pPr>
    <w:rPr>
      <w:rFonts w:eastAsia="黑体" w:cs="宋体"/>
      <w:b w:val="0"/>
      <w:bCs w:val="0"/>
      <w:sz w:val="24"/>
      <w:szCs w:val="20"/>
    </w:rPr>
  </w:style>
  <w:style w:type="paragraph" w:customStyle="1" w:styleId="372">
    <w:name w:val="xl128"/>
    <w:basedOn w:val="1"/>
    <w:uiPriority w:val="0"/>
    <w:pPr>
      <w:widowControl/>
      <w:pBdr>
        <w:left w:val="single" w:color="000000" w:sz="4" w:space="0"/>
        <w:right w:val="single" w:color="000000" w:sz="4" w:space="0"/>
      </w:pBdr>
      <w:spacing w:before="100" w:beforeAutospacing="1" w:after="100" w:afterAutospacing="1"/>
      <w:jc w:val="left"/>
    </w:pPr>
    <w:rPr>
      <w:rFonts w:ascii="宋体" w:cs="宋体"/>
      <w:b/>
      <w:bCs/>
      <w:kern w:val="0"/>
      <w:sz w:val="16"/>
      <w:szCs w:val="16"/>
    </w:rPr>
  </w:style>
  <w:style w:type="paragraph" w:customStyle="1" w:styleId="373">
    <w:name w:val="xl254"/>
    <w:basedOn w:val="1"/>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4"/>
    </w:rPr>
  </w:style>
  <w:style w:type="paragraph" w:customStyle="1" w:styleId="374">
    <w:name w:val="xl78"/>
    <w:basedOn w:val="1"/>
    <w:uiPriority w:val="0"/>
    <w:pPr>
      <w:widowControl/>
      <w:pBdr>
        <w:top w:val="single" w:color="auto" w:sz="4" w:space="0"/>
        <w:left w:val="single" w:color="auto" w:sz="4" w:space="0"/>
      </w:pBdr>
      <w:spacing w:before="100" w:beforeAutospacing="1" w:after="100" w:afterAutospacing="1"/>
      <w:jc w:val="center"/>
    </w:pPr>
    <w:rPr>
      <w:rFonts w:ascii="宋体" w:cs="宋体"/>
      <w:color w:val="000000"/>
      <w:kern w:val="0"/>
      <w:sz w:val="16"/>
      <w:szCs w:val="16"/>
    </w:rPr>
  </w:style>
  <w:style w:type="paragraph" w:customStyle="1" w:styleId="375">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16"/>
      <w:szCs w:val="16"/>
    </w:rPr>
  </w:style>
  <w:style w:type="paragraph" w:customStyle="1" w:styleId="376">
    <w:name w:val="xl228"/>
    <w:basedOn w:val="1"/>
    <w:uiPriority w:val="0"/>
    <w:pPr>
      <w:widowControl/>
      <w:pBdr>
        <w:top w:val="single" w:color="auto" w:sz="4" w:space="0"/>
        <w:left w:val="single" w:color="auto" w:sz="4" w:space="0"/>
        <w:bottom w:val="single" w:color="auto" w:sz="4" w:space="0"/>
      </w:pBdr>
      <w:shd w:val="clear" w:color="auto" w:fill="FF99CC"/>
      <w:spacing w:before="100" w:beforeAutospacing="1" w:after="100" w:afterAutospacing="1"/>
      <w:jc w:val="left"/>
      <w:textAlignment w:val="center"/>
    </w:pPr>
    <w:rPr>
      <w:rFonts w:ascii="宋体" w:cs="宋体"/>
      <w:b/>
      <w:bCs/>
      <w:color w:val="000000"/>
      <w:kern w:val="0"/>
      <w:sz w:val="20"/>
      <w:szCs w:val="20"/>
    </w:rPr>
  </w:style>
  <w:style w:type="paragraph" w:customStyle="1" w:styleId="377">
    <w:name w:val="表格内文"/>
    <w:basedOn w:val="1"/>
    <w:uiPriority w:val="0"/>
    <w:pPr>
      <w:spacing w:line="200" w:lineRule="exact"/>
      <w:jc w:val="left"/>
    </w:pPr>
    <w:rPr>
      <w:rFonts w:ascii="Arial" w:hAnsi="Arial"/>
      <w:kern w:val="0"/>
      <w:sz w:val="15"/>
      <w:szCs w:val="15"/>
    </w:rPr>
  </w:style>
  <w:style w:type="paragraph" w:customStyle="1" w:styleId="378">
    <w:name w:val="表格"/>
    <w:basedOn w:val="1"/>
    <w:uiPriority w:val="0"/>
    <w:rPr>
      <w:rFonts w:ascii="Arial" w:hAnsi="Arial"/>
      <w:sz w:val="24"/>
    </w:rPr>
  </w:style>
  <w:style w:type="paragraph" w:customStyle="1" w:styleId="379">
    <w:name w:val="xl245"/>
    <w:basedOn w:val="1"/>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cs="宋体"/>
      <w:color w:val="000000"/>
      <w:kern w:val="0"/>
      <w:sz w:val="20"/>
      <w:szCs w:val="20"/>
    </w:rPr>
  </w:style>
  <w:style w:type="paragraph" w:customStyle="1" w:styleId="380">
    <w:name w:val="xl87"/>
    <w:basedOn w:val="1"/>
    <w:uiPriority w:val="0"/>
    <w:pPr>
      <w:widowControl/>
      <w:pBdr>
        <w:top w:val="single" w:color="auto" w:sz="4" w:space="0"/>
        <w:bottom w:val="single" w:color="auto" w:sz="4" w:space="0"/>
      </w:pBdr>
      <w:spacing w:before="100" w:beforeAutospacing="1" w:after="100" w:afterAutospacing="1"/>
      <w:jc w:val="center"/>
    </w:pPr>
    <w:rPr>
      <w:rFonts w:ascii="宋体" w:cs="宋体"/>
      <w:b/>
      <w:bCs/>
      <w:kern w:val="0"/>
      <w:sz w:val="16"/>
      <w:szCs w:val="16"/>
    </w:rPr>
  </w:style>
  <w:style w:type="paragraph" w:customStyle="1" w:styleId="381">
    <w:name w:val="xl15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6"/>
      <w:szCs w:val="16"/>
    </w:rPr>
  </w:style>
  <w:style w:type="paragraph" w:customStyle="1" w:styleId="382">
    <w:name w:val="font7"/>
    <w:basedOn w:val="1"/>
    <w:uiPriority w:val="0"/>
    <w:pPr>
      <w:widowControl/>
      <w:spacing w:before="100" w:beforeAutospacing="1" w:after="100" w:afterAutospacing="1"/>
      <w:jc w:val="left"/>
    </w:pPr>
    <w:rPr>
      <w:rFonts w:ascii="Courier New" w:hAnsi="Courier New" w:cs="Courier New"/>
      <w:b/>
      <w:bCs/>
      <w:kern w:val="0"/>
      <w:sz w:val="28"/>
      <w:szCs w:val="28"/>
    </w:rPr>
  </w:style>
  <w:style w:type="paragraph" w:customStyle="1" w:styleId="383">
    <w:name w:val="xl1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16"/>
      <w:szCs w:val="16"/>
    </w:rPr>
  </w:style>
  <w:style w:type="paragraph" w:customStyle="1" w:styleId="384">
    <w:name w:val="xl126"/>
    <w:basedOn w:val="1"/>
    <w:uiPriority w:val="0"/>
    <w:pPr>
      <w:widowControl/>
      <w:pBdr>
        <w:top w:val="single" w:color="auto" w:sz="4" w:space="0"/>
        <w:bottom w:val="single" w:color="auto" w:sz="4" w:space="0"/>
      </w:pBdr>
      <w:shd w:val="clear" w:color="auto" w:fill="FFFF00"/>
      <w:spacing w:before="100" w:beforeAutospacing="1" w:after="100" w:afterAutospacing="1"/>
      <w:jc w:val="right"/>
    </w:pPr>
    <w:rPr>
      <w:rFonts w:ascii="宋体" w:cs="宋体"/>
      <w:color w:val="000000"/>
      <w:kern w:val="0"/>
      <w:sz w:val="18"/>
      <w:szCs w:val="18"/>
    </w:rPr>
  </w:style>
  <w:style w:type="paragraph" w:customStyle="1" w:styleId="385">
    <w:name w:val="xl215"/>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楷体" w:eastAsia="楷体" w:cs="宋体"/>
      <w:b/>
      <w:bCs/>
      <w:color w:val="0000FF"/>
      <w:kern w:val="0"/>
      <w:sz w:val="20"/>
      <w:szCs w:val="20"/>
    </w:rPr>
  </w:style>
  <w:style w:type="paragraph" w:customStyle="1" w:styleId="386">
    <w:name w:val="xl2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387">
    <w:name w:val="xl222"/>
    <w:basedOn w:val="1"/>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center"/>
    </w:pPr>
    <w:rPr>
      <w:rFonts w:ascii="宋体" w:cs="宋体"/>
      <w:b/>
      <w:bCs/>
      <w:color w:val="000000"/>
      <w:kern w:val="0"/>
      <w:sz w:val="20"/>
      <w:szCs w:val="20"/>
    </w:rPr>
  </w:style>
  <w:style w:type="paragraph" w:customStyle="1" w:styleId="388">
    <w:name w:val="Char Char1 Char Char Char Char Char Char Char Char Char Char Char Char Char Char"/>
    <w:basedOn w:val="1"/>
    <w:uiPriority w:val="0"/>
    <w:pPr>
      <w:spacing w:after="160" w:line="240" w:lineRule="exact"/>
      <w:jc w:val="left"/>
    </w:pPr>
  </w:style>
  <w:style w:type="paragraph" w:customStyle="1" w:styleId="389">
    <w:name w:val="xl1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16"/>
      <w:szCs w:val="16"/>
    </w:rPr>
  </w:style>
  <w:style w:type="paragraph" w:customStyle="1" w:styleId="390">
    <w:name w:val="1"/>
    <w:basedOn w:val="1"/>
    <w:next w:val="1"/>
    <w:uiPriority w:val="0"/>
    <w:pPr>
      <w:spacing w:line="360" w:lineRule="auto"/>
      <w:ind w:left="1680" w:firstLine="200" w:firstLineChars="200"/>
      <w:jc w:val="left"/>
    </w:pPr>
    <w:rPr>
      <w:rFonts w:cs="Arial"/>
      <w:sz w:val="20"/>
      <w:szCs w:val="20"/>
    </w:rPr>
  </w:style>
  <w:style w:type="paragraph" w:customStyle="1" w:styleId="391">
    <w:name w:val="xl216"/>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楷体" w:eastAsia="楷体" w:cs="宋体"/>
      <w:b/>
      <w:bCs/>
      <w:color w:val="0000FF"/>
      <w:kern w:val="0"/>
      <w:sz w:val="20"/>
      <w:szCs w:val="20"/>
    </w:rPr>
  </w:style>
  <w:style w:type="paragraph" w:customStyle="1" w:styleId="392">
    <w:name w:val="font17"/>
    <w:basedOn w:val="1"/>
    <w:uiPriority w:val="0"/>
    <w:pPr>
      <w:widowControl/>
      <w:spacing w:before="100" w:beforeAutospacing="1" w:after="100" w:afterAutospacing="1"/>
      <w:jc w:val="left"/>
    </w:pPr>
    <w:rPr>
      <w:rFonts w:ascii="宋体" w:cs="宋体"/>
      <w:kern w:val="0"/>
      <w:sz w:val="18"/>
      <w:szCs w:val="18"/>
    </w:rPr>
  </w:style>
  <w:style w:type="paragraph" w:customStyle="1" w:styleId="393">
    <w:name w:val="xl252"/>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394">
    <w:name w:val="xl72"/>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16"/>
      <w:szCs w:val="16"/>
    </w:rPr>
  </w:style>
  <w:style w:type="paragraph" w:customStyle="1" w:styleId="395">
    <w:name w:val="msonormalcxsplast"/>
    <w:basedOn w:val="1"/>
    <w:uiPriority w:val="0"/>
    <w:pPr>
      <w:widowControl/>
      <w:spacing w:before="100" w:beforeAutospacing="1" w:after="100" w:afterAutospacing="1"/>
      <w:jc w:val="left"/>
    </w:pPr>
    <w:rPr>
      <w:rFonts w:ascii="宋体" w:cs="宋体"/>
      <w:kern w:val="0"/>
      <w:sz w:val="24"/>
    </w:rPr>
  </w:style>
  <w:style w:type="paragraph" w:customStyle="1" w:styleId="396">
    <w:name w:val="xl7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color w:val="000000"/>
      <w:kern w:val="0"/>
      <w:sz w:val="16"/>
      <w:szCs w:val="16"/>
    </w:rPr>
  </w:style>
  <w:style w:type="paragraph" w:customStyle="1" w:styleId="397">
    <w:name w:val="xl99"/>
    <w:basedOn w:val="1"/>
    <w:uiPriority w:val="0"/>
    <w:pPr>
      <w:widowControl/>
      <w:pBdr>
        <w:top w:val="single" w:color="auto" w:sz="4" w:space="0"/>
        <w:bottom w:val="single" w:color="auto" w:sz="4" w:space="0"/>
      </w:pBdr>
      <w:shd w:val="clear" w:color="auto" w:fill="FFFF00"/>
      <w:spacing w:before="100" w:beforeAutospacing="1" w:after="100" w:afterAutospacing="1"/>
      <w:jc w:val="center"/>
    </w:pPr>
    <w:rPr>
      <w:rFonts w:ascii="宋体" w:cs="宋体"/>
      <w:kern w:val="0"/>
      <w:sz w:val="16"/>
      <w:szCs w:val="16"/>
    </w:rPr>
  </w:style>
  <w:style w:type="paragraph" w:customStyle="1" w:styleId="398">
    <w:name w:val="xl1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eastAsia="黑体" w:cs="宋体"/>
      <w:color w:val="000000"/>
      <w:kern w:val="0"/>
      <w:sz w:val="20"/>
      <w:szCs w:val="20"/>
    </w:rPr>
  </w:style>
  <w:style w:type="paragraph" w:customStyle="1" w:styleId="399">
    <w:name w:val="2cxspmiddle"/>
    <w:basedOn w:val="1"/>
    <w:uiPriority w:val="0"/>
    <w:pPr>
      <w:widowControl/>
      <w:spacing w:before="100" w:beforeAutospacing="1" w:after="100" w:afterAutospacing="1"/>
      <w:jc w:val="left"/>
    </w:pPr>
    <w:rPr>
      <w:rFonts w:ascii="宋体" w:cs="宋体"/>
      <w:kern w:val="0"/>
      <w:sz w:val="24"/>
    </w:rPr>
  </w:style>
  <w:style w:type="paragraph" w:customStyle="1" w:styleId="400">
    <w:name w:val="xl1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cs="宋体"/>
      <w:kern w:val="0"/>
      <w:sz w:val="16"/>
      <w:szCs w:val="16"/>
    </w:rPr>
  </w:style>
  <w:style w:type="paragraph" w:customStyle="1" w:styleId="401">
    <w:name w:val="xl150"/>
    <w:basedOn w:val="1"/>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cs="宋体"/>
      <w:b/>
      <w:bCs/>
      <w:color w:val="000000"/>
      <w:kern w:val="0"/>
      <w:sz w:val="18"/>
      <w:szCs w:val="18"/>
    </w:rPr>
  </w:style>
  <w:style w:type="paragraph" w:customStyle="1" w:styleId="402">
    <w:name w:val="xl1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8"/>
      <w:szCs w:val="18"/>
    </w:rPr>
  </w:style>
  <w:style w:type="paragraph" w:customStyle="1" w:styleId="403">
    <w:name w:val="xl101"/>
    <w:basedOn w:val="1"/>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cs="宋体"/>
      <w:kern w:val="0"/>
      <w:sz w:val="16"/>
      <w:szCs w:val="16"/>
    </w:rPr>
  </w:style>
  <w:style w:type="paragraph" w:customStyle="1" w:styleId="404">
    <w:name w:val="xl162"/>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kern w:val="0"/>
      <w:sz w:val="16"/>
      <w:szCs w:val="16"/>
    </w:rPr>
  </w:style>
  <w:style w:type="paragraph" w:customStyle="1" w:styleId="405">
    <w:name w:val="xl250"/>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cs="宋体"/>
      <w:color w:val="000000"/>
      <w:kern w:val="0"/>
      <w:sz w:val="20"/>
      <w:szCs w:val="20"/>
    </w:rPr>
  </w:style>
  <w:style w:type="paragraph" w:customStyle="1" w:styleId="406">
    <w:name w:val="xl202"/>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cs="宋体"/>
      <w:kern w:val="0"/>
      <w:sz w:val="16"/>
      <w:szCs w:val="16"/>
    </w:rPr>
  </w:style>
  <w:style w:type="paragraph" w:customStyle="1" w:styleId="407">
    <w:name w:val="xl15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eastAsia="黑体" w:cs="宋体"/>
      <w:kern w:val="0"/>
      <w:sz w:val="20"/>
      <w:szCs w:val="20"/>
    </w:rPr>
  </w:style>
  <w:style w:type="paragraph" w:customStyle="1" w:styleId="408">
    <w:name w:val="xl249"/>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cs="宋体"/>
      <w:color w:val="000000"/>
      <w:kern w:val="0"/>
      <w:sz w:val="20"/>
      <w:szCs w:val="20"/>
    </w:rPr>
  </w:style>
  <w:style w:type="paragraph" w:customStyle="1" w:styleId="409">
    <w:name w:val="列出段落2"/>
    <w:basedOn w:val="1"/>
    <w:uiPriority w:val="0"/>
    <w:pPr>
      <w:widowControl/>
      <w:spacing w:before="240" w:after="240"/>
      <w:ind w:firstLine="420"/>
      <w:jc w:val="left"/>
    </w:pPr>
    <w:rPr>
      <w:rFonts w:ascii="华文仿宋" w:hAnsi="华文仿宋" w:eastAsia="仿宋_GB2312"/>
      <w:sz w:val="32"/>
      <w:szCs w:val="32"/>
    </w:rPr>
  </w:style>
  <w:style w:type="paragraph" w:customStyle="1" w:styleId="410">
    <w:name w:val="Char Char Char Char Char Char Char Char Char Char Char Char Char"/>
    <w:basedOn w:val="1"/>
    <w:uiPriority w:val="0"/>
    <w:rPr>
      <w:sz w:val="24"/>
    </w:rPr>
  </w:style>
  <w:style w:type="paragraph" w:customStyle="1" w:styleId="411">
    <w:name w:val="表格正文"/>
    <w:basedOn w:val="1"/>
    <w:uiPriority w:val="0"/>
    <w:pPr>
      <w:spacing w:line="360" w:lineRule="auto"/>
      <w:jc w:val="left"/>
    </w:pPr>
    <w:rPr>
      <w:rFonts w:ascii="Calibri" w:hAnsi="Calibri"/>
      <w:color w:val="000000"/>
      <w:szCs w:val="28"/>
    </w:rPr>
  </w:style>
  <w:style w:type="character" w:customStyle="1" w:styleId="412">
    <w:name w:val="NormalCharacter"/>
    <w:uiPriority w:val="0"/>
  </w:style>
  <w:style w:type="paragraph" w:customStyle="1" w:styleId="413">
    <w:name w:val="表格文字"/>
    <w:basedOn w:val="1"/>
    <w:next w:val="17"/>
    <w:uiPriority w:val="0"/>
    <w:pPr>
      <w:adjustRightInd w:val="0"/>
      <w:spacing w:line="420" w:lineRule="atLeast"/>
      <w:jc w:val="left"/>
      <w:textAlignment w:val="baseline"/>
    </w:pPr>
    <w:rPr>
      <w:kern w:val="0"/>
    </w:rPr>
  </w:style>
  <w:style w:type="paragraph" w:customStyle="1" w:styleId="414">
    <w:name w:val="列出段落1"/>
    <w:basedOn w:val="1"/>
    <w:uiPriority w:val="0"/>
    <w:pPr>
      <w:widowControl/>
      <w:ind w:left="720"/>
      <w:contextualSpacing/>
      <w:jc w:val="left"/>
    </w:pPr>
    <w:rPr>
      <w:kern w:val="0"/>
      <w:sz w:val="24"/>
      <w:lang w:bidi="en-US"/>
    </w:rPr>
  </w:style>
  <w:style w:type="paragraph" w:customStyle="1" w:styleId="415">
    <w:name w:val="段"/>
    <w:next w:val="1"/>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6">
    <w:name w:val="纯文本2"/>
    <w:basedOn w:val="1"/>
    <w:uiPriority w:val="0"/>
    <w:pPr>
      <w:adjustRightInd w:val="0"/>
    </w:pPr>
    <w:rPr>
      <w:rFonts w:ascii="宋体"/>
    </w:rPr>
  </w:style>
  <w:style w:type="paragraph" w:customStyle="1" w:styleId="417">
    <w:name w:val="正文文本缩进1"/>
    <w:basedOn w:val="1"/>
    <w:next w:val="418"/>
    <w:uiPriority w:val="0"/>
    <w:pPr>
      <w:spacing w:line="240" w:lineRule="atLeast"/>
      <w:ind w:right="-159" w:firstLine="246"/>
    </w:pPr>
    <w:rPr>
      <w:spacing w:val="20"/>
    </w:rPr>
  </w:style>
  <w:style w:type="paragraph" w:customStyle="1" w:styleId="418">
    <w:name w:val="寄信人地址1"/>
    <w:basedOn w:val="1"/>
    <w:uiPriority w:val="0"/>
    <w:pPr>
      <w:widowControl/>
      <w:spacing w:before="160" w:after="160" w:line="240" w:lineRule="atLeast"/>
      <w:ind w:left="1701"/>
      <w:jc w:val="left"/>
    </w:pPr>
    <w:rPr>
      <w:rFonts w:ascii="Arial" w:hAnsi="Arial" w:cs="Arial"/>
      <w:szCs w:val="21"/>
    </w:rPr>
  </w:style>
  <w:style w:type="character" w:customStyle="1" w:styleId="419">
    <w:name w:val="ql-size-14"/>
    <w:uiPriority w:val="0"/>
  </w:style>
  <w:style w:type="paragraph" w:customStyle="1" w:styleId="420">
    <w:name w:val="纯文本11"/>
    <w:basedOn w:val="1"/>
    <w:uiPriority w:val="0"/>
    <w:rPr>
      <w:rFonts w:ascii="宋体"/>
      <w:sz w:val="20"/>
      <w:szCs w:val="21"/>
    </w:rPr>
  </w:style>
  <w:style w:type="paragraph" w:customStyle="1" w:styleId="421">
    <w:name w:val="正文文本缩进12"/>
    <w:basedOn w:val="1"/>
    <w:next w:val="1"/>
    <w:uiPriority w:val="0"/>
    <w:pPr>
      <w:spacing w:line="400" w:lineRule="exact"/>
      <w:ind w:firstLine="540"/>
    </w:pPr>
    <w:rPr>
      <w:sz w:val="24"/>
    </w:rPr>
  </w:style>
  <w:style w:type="paragraph" w:customStyle="1" w:styleId="422">
    <w:name w:val="纯文本12"/>
    <w:basedOn w:val="1"/>
    <w:uiPriority w:val="0"/>
    <w:rPr>
      <w:rFonts w:ascii="宋体"/>
      <w:sz w:val="20"/>
      <w:szCs w:val="21"/>
    </w:rPr>
  </w:style>
  <w:style w:type="paragraph" w:customStyle="1" w:styleId="423">
    <w:name w:val="正文首行缩进1"/>
    <w:basedOn w:val="424"/>
    <w:uiPriority w:val="0"/>
    <w:pPr>
      <w:spacing w:after="120" w:line="240" w:lineRule="auto"/>
      <w:ind w:firstLine="420"/>
    </w:pPr>
    <w:rPr>
      <w:rFonts w:ascii="Calibri" w:hAnsi="Calibri"/>
      <w:sz w:val="26"/>
    </w:rPr>
  </w:style>
  <w:style w:type="paragraph" w:customStyle="1" w:styleId="424">
    <w:name w:val="正文文本1"/>
    <w:basedOn w:val="1"/>
    <w:next w:val="244"/>
    <w:uiPriority w:val="0"/>
    <w:pPr>
      <w:spacing w:line="400" w:lineRule="exact"/>
    </w:pPr>
    <w:rPr>
      <w:rFonts w:ascii="楷体_GB2312" w:hAnsi="楷体_GB2312"/>
      <w:sz w:val="28"/>
    </w:rPr>
  </w:style>
  <w:style w:type="paragraph" w:customStyle="1" w:styleId="425">
    <w:name w:val="表正文"/>
    <w:basedOn w:val="1"/>
    <w:qFormat/>
    <w:uiPriority w:val="0"/>
    <w:rPr>
      <w:rFonts w:ascii="Calibri" w:hAnsi="Calibri"/>
      <w:sz w:val="18"/>
    </w:rPr>
  </w:style>
  <w:style w:type="paragraph" w:customStyle="1" w:styleId="426">
    <w:name w:val="列表段落2"/>
    <w:basedOn w:val="1"/>
    <w:qFormat/>
    <w:uiPriority w:val="34"/>
    <w:pPr>
      <w:ind w:firstLine="420" w:firstLineChars="200"/>
    </w:pPr>
    <w:rPr>
      <w:rFonts w:ascii="Calibri" w:hAnsi="Calibri"/>
    </w:rPr>
  </w:style>
  <w:style w:type="paragraph" w:customStyle="1" w:styleId="427">
    <w:name w:val="msolistparagraph"/>
    <w:basedOn w:val="1"/>
    <w:qFormat/>
    <w:uiPriority w:val="0"/>
    <w:pPr>
      <w:ind w:firstLine="420" w:firstLineChars="200"/>
    </w:pPr>
    <w:rPr>
      <w:rFonts w:ascii="Calibri" w:hAnsi="Calibri"/>
      <w:szCs w:val="22"/>
    </w:rPr>
  </w:style>
  <w:style w:type="paragraph" w:customStyle="1" w:styleId="428">
    <w:name w:val="正文缩进1"/>
    <w:basedOn w:val="1"/>
    <w:qFormat/>
    <w:uiPriority w:val="0"/>
    <w:pPr>
      <w:adjustRightInd w:val="0"/>
      <w:spacing w:line="312" w:lineRule="atLeast"/>
      <w:ind w:firstLine="420"/>
    </w:pPr>
    <w:rPr>
      <w:rFonts w:hint="eastAsia" w:ascii="Plotter" w:hAnsi="Plotter"/>
      <w:szCs w:val="20"/>
    </w:rPr>
  </w:style>
  <w:style w:type="paragraph" w:customStyle="1" w:styleId="429">
    <w:name w:val="索引 11"/>
    <w:basedOn w:val="1"/>
    <w:next w:val="1"/>
    <w:qFormat/>
    <w:uiPriority w:val="0"/>
    <w:pPr>
      <w:spacing w:line="360" w:lineRule="auto"/>
    </w:pPr>
    <w:rPr>
      <w:rFonts w:ascii="仿宋_GB2312"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29177</Words>
  <Characters>30497</Characters>
  <Lines>259</Lines>
  <Paragraphs>72</Paragraphs>
  <TotalTime>71</TotalTime>
  <ScaleCrop>false</ScaleCrop>
  <LinksUpToDate>false</LinksUpToDate>
  <CharactersWithSpaces>33207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2026-02-04T04:11:00Z</dcterms:created>
  <dc:creator>Administrator</dc:creator>
  <cp:lastModifiedBy>王梅梅</cp:lastModifiedBy>
  <cp:lastPrinted>2020-03-18T02:57:00Z</cp:lastPrinted>
  <dcterms:modified xsi:type="dcterms:W3CDTF">2026-02-27T05:25:00Z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eyJoZGlkIjoiOWI3ZDZmNjNiMWQwOTRhY2FmZjZiNDQ5ZGRlZjhjMzQiLCJ1c2VySWQiOiI4MDExMTEyMTMifQ==</vt:lpwstr>
  </property>
  <property fmtid="{D5CDD505-2E9C-101B-9397-08002B2CF9AE}" pid="4" name="ICV">
    <vt:lpwstr>3B11FB39501742C0ABDE4FBBDA38D7E2_13</vt:lpwstr>
  </property>
</Properties>
</file>